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7307" w14:textId="18D42608" w:rsidR="00A85061" w:rsidRDefault="00F04891">
      <w:pPr>
        <w:rPr>
          <w:vanish/>
        </w:rPr>
      </w:pPr>
      <w:r>
        <w:rPr>
          <w:rFonts w:ascii="宋体" w:eastAsia="宋体" w:hAnsi="宋体" w:cs="宋体"/>
        </w:rPr>
        <w:t xml:space="preserve"> </w:t>
      </w:r>
      <w:r>
        <w:rPr>
          <w:rFonts w:ascii="宋体" w:eastAsia="宋体" w:hAnsi="宋体" w:cs="宋体"/>
          <w:vanish/>
        </w:rPr>
        <w:t>00010458101/302022Q1FALSE00010458102021-02-012021-05-02xbrli:shares00010458102021-05-21iso4217:USD00010458102020-01-272020-04-26iso4217:USDxbrli:shares00010458102021-05-0200010458102021-01-310001045810us-gaap:CommonStockMember2021-01-310001045810us-gaap:Ad</w:t>
      </w:r>
      <w:r>
        <w:rPr>
          <w:rFonts w:ascii="宋体" w:eastAsia="宋体" w:hAnsi="宋体" w:cs="宋体"/>
          <w:vanish/>
        </w:rPr>
        <w:t>ditionalPaidInCapitalMember2021-01-310001045810us-gaap:TreasuryStockMember2021-01-310001045810us-gaap:AccumulatedOtherComprehensiveIncomeMember2021-01-310001045810us-gaap:RetainedEarningsMember2021-01-310001045810us-gaap:RetainedEarningsMember2021-02-01202</w:t>
      </w:r>
      <w:r>
        <w:rPr>
          <w:rFonts w:ascii="宋体" w:eastAsia="宋体" w:hAnsi="宋体" w:cs="宋体"/>
          <w:vanish/>
        </w:rPr>
        <w:t>1-05-020001045810us-gaap:AccumulatedOtherComprehensiveIncomeMember2021-02-012021-05-020001045810us-gaap:CommonStockMember2021-02-012021-05-020001045810us-gaap:AdditionalPaidInCapitalMember2021-02-012021-05-020001045810us-gaap:TreasuryStockMember2021-02-012</w:t>
      </w:r>
      <w:r>
        <w:rPr>
          <w:rFonts w:ascii="宋体" w:eastAsia="宋体" w:hAnsi="宋体" w:cs="宋体"/>
          <w:vanish/>
        </w:rPr>
        <w:t>021-05-020001045810us-gaap:CommonStockMember2021-05-020001045810us-gaap:AdditionalPaidInCapitalMember2021-05-020001045810us-gaap:TreasuryStockMember2021-05-020001045810us-gaap:AccumulatedOtherComprehensiveIncomeMember2021-05-020001045810us-gaap:RetainedEar</w:t>
      </w:r>
      <w:r>
        <w:rPr>
          <w:rFonts w:ascii="宋体" w:eastAsia="宋体" w:hAnsi="宋体" w:cs="宋体"/>
          <w:vanish/>
        </w:rPr>
        <w:t>ningsMember2021-05-020001045810us-gaap:CommonStockMember2020-01-260001045810us-gaap:AdditionalPaidInCapitalMember2020-01-260001045810us-gaap:TreasuryStockMember2020-01-260001045810us-gaap:AccumulatedOtherComprehensiveIncomeMember2020-01-260001045810us-gaap</w:t>
      </w:r>
      <w:r>
        <w:rPr>
          <w:rFonts w:ascii="宋体" w:eastAsia="宋体" w:hAnsi="宋体" w:cs="宋体"/>
          <w:vanish/>
        </w:rPr>
        <w:t>:RetainedEarningsMember2020-01-2600010458102020-01-260001045810us-gaap:RetainedEarningsMember2020-01-272020-04-260001045810us-gaap:AccumulatedOtherComprehensiveIncomeMember2020-01-272020-04-260001045810us-gaap:CommonStockMember2020-01-272020-04-26000104581</w:t>
      </w:r>
      <w:r>
        <w:rPr>
          <w:rFonts w:ascii="宋体" w:eastAsia="宋体" w:hAnsi="宋体" w:cs="宋体"/>
          <w:vanish/>
        </w:rPr>
        <w:t>0us-gaap:AdditionalPaidInCapitalMember2020-01-272020-04-260001045810us-gaap:TreasuryStockMember2020-01-272020-04-260001045810us-gaap:CommonStockMember2020-04-260001045810us-gaap:AdditionalPaidInCapitalMember2020-04-260001045810us-gaap:TreasuryStockMember20</w:t>
      </w:r>
      <w:r>
        <w:rPr>
          <w:rFonts w:ascii="宋体" w:eastAsia="宋体" w:hAnsi="宋体" w:cs="宋体"/>
          <w:vanish/>
        </w:rPr>
        <w:t>20-04-260001045810us-gaap:AccumulatedOtherComprehensiveIncomeMember2020-04-260001045810us-gaap:RetainedEarningsMember2020-04-2600010458102020-04-260001045810nvda:ArmLimitedMembersrt:ScenarioForecastMember2022-01-012022-03-310001045810nvda:ArmLimitedMember2</w:t>
      </w:r>
      <w:r>
        <w:rPr>
          <w:rFonts w:ascii="宋体" w:eastAsia="宋体" w:hAnsi="宋体" w:cs="宋体"/>
          <w:vanish/>
        </w:rPr>
        <w:t>020-09-132020-09-130001045810srt:MaximumMembernvda:ArmLimitedMember2020-09-130001045810nvda:ArmLimitedMember2020-09-130001045810nvda:ArmLimitedMemberus-gaap:IntellectualPropertyMember2020-09-130001045810nvda:ArmLimitedMembernvda:PrepaidRoyaltiesMember2020-</w:t>
      </w:r>
      <w:r>
        <w:rPr>
          <w:rFonts w:ascii="宋体" w:eastAsia="宋体" w:hAnsi="宋体" w:cs="宋体"/>
          <w:vanish/>
        </w:rPr>
        <w:t>09-132020-09-130001045810nvda:ArmLimitedMemberus-gaap:IntellectualPropertyMember2020-09-132020-09-130001045810nvda:MellanoxTechnologiesLtdMember2020-04-272020-04-27xbrli:pure0001045810us-gaap:CostOfSalesMember2021-02-012021-05-020001045810us-gaap:CostOfSal</w:t>
      </w:r>
      <w:r>
        <w:rPr>
          <w:rFonts w:ascii="宋体" w:eastAsia="宋体" w:hAnsi="宋体" w:cs="宋体"/>
          <w:vanish/>
        </w:rPr>
        <w:t>esMember2020-01-272020-04-260001045810us-gaap:ResearchAndDevelopmentExpenseMember2021-02-012021-05-020001045810us-gaap:ResearchAndDevelopmentExpenseMember2020-01-272020-04-260001045810us-gaap:SellingGeneralAndAdministrativeExpensesMember2021-02-012021-05-0</w:t>
      </w:r>
      <w:r>
        <w:rPr>
          <w:rFonts w:ascii="宋体" w:eastAsia="宋体" w:hAnsi="宋体" w:cs="宋体"/>
          <w:vanish/>
        </w:rPr>
        <w:t>20001045810us-gaap:SellingGeneralAndAdministrativeExpensesMember2020-01-272020-04-260001045810nvda:RSUsPSUsandMarketbasedPSUsMember2021-01-310001045810nvda:RSUsPSUsandMarketbasedPSUsMember2021-02-012021-05-020001045810nvda:RSUsPSUsandMarketbasedPSUsMember2</w:t>
      </w:r>
      <w:r>
        <w:rPr>
          <w:rFonts w:ascii="宋体" w:eastAsia="宋体" w:hAnsi="宋体" w:cs="宋体"/>
          <w:vanish/>
        </w:rPr>
        <w:t>021-05-020001045810nvda:ShareBasedCompensationArrangementsByShareBasedPaymentAwardEmployeeStockPurchasePlanMember2021-02-012021-05-020001045810us-gaap:CorporateDebtSecuritiesMember2021-05-020001045810us-gaap:USGovernmentAgenciesDebtSecuritiesMember2021-05-</w:t>
      </w:r>
      <w:r>
        <w:rPr>
          <w:rFonts w:ascii="宋体" w:eastAsia="宋体" w:hAnsi="宋体" w:cs="宋体"/>
          <w:vanish/>
        </w:rPr>
        <w:t>020001045810us-gaap:USTreasurySecuritiesMember2021-05-020001045810us-gaap:CertificatesOfDepositMember2021-05-020001045810us-gaap:MoneyMarketFundsMember2021-05-020001045810us-gaap:ForeignGovernmentDebtMember2021-05-020001045810us-gaap:CorporateDebtSecuritie</w:t>
      </w:r>
      <w:r>
        <w:rPr>
          <w:rFonts w:ascii="宋体" w:eastAsia="宋体" w:hAnsi="宋体" w:cs="宋体"/>
          <w:vanish/>
        </w:rPr>
        <w:t>sMember2021-01-310001045810us-gaap:USGovernmentAgenciesDebtSecuritiesMember2021-01-310001045810us-gaap:USTreasurySecuritiesMember2021-01-310001045810us-gaap:CertificatesOfDepositMember2021-01-310001045810us-gaap:MoneyMarketFundsMember2021-01-310001045810us</w:t>
      </w:r>
      <w:r>
        <w:rPr>
          <w:rFonts w:ascii="宋体" w:eastAsia="宋体" w:hAnsi="宋体" w:cs="宋体"/>
          <w:vanish/>
        </w:rPr>
        <w:t>-gaap:ForeignGovernmentDebtMember2021-01-310001045810us-gaap:MoneyMarketFundsMemberus-gaap:FairValueInputsLevel1Member2021-05-020001045810us-gaap:MoneyMarketFundsMemberus-gaap:FairValueInputsLevel1Member2021-01-310001045810us-gaap:CorporateDebtSecuritiesMe</w:t>
      </w:r>
      <w:r>
        <w:rPr>
          <w:rFonts w:ascii="宋体" w:eastAsia="宋体" w:hAnsi="宋体" w:cs="宋体"/>
          <w:vanish/>
        </w:rPr>
        <w:t>mberus-gaap:FairValueInputsLevel2Member2021-05-020001045810us-gaap:CorporateDebtSecuritiesMemberus-gaap:FairValueInputsLevel2Member2021-01-310001045810us-gaap:FairValueInputsLevel2Memberus-gaap:USGovernmentAgenciesDebtSecuritiesMember2021-05-020001045810us</w:t>
      </w:r>
      <w:r>
        <w:rPr>
          <w:rFonts w:ascii="宋体" w:eastAsia="宋体" w:hAnsi="宋体" w:cs="宋体"/>
          <w:vanish/>
        </w:rPr>
        <w:t>-gaap:FairValueInputsLevel2Memberus-gaap:USGovernmentAgenciesDebtSecuritiesMember2021-01-310001045810us-gaap:FairValueInputsLevel2Memberus-gaap:USTreasurySecuritiesMember2021-05-020001045810us-gaap:FairValueInputsLevel2Memberus-gaap:USTreasurySecuritiesMem</w:t>
      </w:r>
      <w:r>
        <w:rPr>
          <w:rFonts w:ascii="宋体" w:eastAsia="宋体" w:hAnsi="宋体" w:cs="宋体"/>
          <w:vanish/>
        </w:rPr>
        <w:t>ber2021-01-310001045810us-gaap:CertificatesOfDepositMemberus-gaap:FairValueInputsLevel2Member2021-05-020001045810us-gaap:CertificatesOfDepositMemberus-gaap:FairValueInputsLevel2Member2021-01-310001045810us-gaap:FairValueInputsLevel2Memberus-gaap:ForeignGov</w:t>
      </w:r>
      <w:r>
        <w:rPr>
          <w:rFonts w:ascii="宋体" w:eastAsia="宋体" w:hAnsi="宋体" w:cs="宋体"/>
          <w:vanish/>
        </w:rPr>
        <w:t>ernmentDebtMember2021-05-020001045810us-gaap:FairValueInputsLevel2Memberus-gaap:ForeignGovernmentDebtMember2021-01-310001045810us-gaap:FairValueInputsLevel1Member2021-05-020001045810us-gaap:FairValueInputsLevel1Member2021-01-310001045810us-gaap:FairValueIn</w:t>
      </w:r>
      <w:r>
        <w:rPr>
          <w:rFonts w:ascii="宋体" w:eastAsia="宋体" w:hAnsi="宋体" w:cs="宋体"/>
          <w:vanish/>
        </w:rPr>
        <w:t>putsLevel3Member2021-05-020001045810us-gaap:FairValueInputsLevel3Member2021-01-310001045810nvda:A2021NotesMember2021-05-020001045810nvda:A2021NotesMemberus-gaap:FairValueInputsLevel2Member2021-05-020001045810nvda:A2021NotesMemberus-gaap:FairValueInputsLeve</w:t>
      </w:r>
      <w:r>
        <w:rPr>
          <w:rFonts w:ascii="宋体" w:eastAsia="宋体" w:hAnsi="宋体" w:cs="宋体"/>
          <w:vanish/>
        </w:rPr>
        <w:t>l2Member2021-01-310001045810nvda:A2026NotesMember2021-05-020001045810nvda:A2026NotesMemberus-gaap:FairValueInputsLevel2Member2021-05-020001045810nvda:A2026NotesMemberus-gaap:FairValueInputsLevel2Member2021-01-310001045810nvda:A2030NotesMember2021-05-020001</w:t>
      </w:r>
      <w:r>
        <w:rPr>
          <w:rFonts w:ascii="宋体" w:eastAsia="宋体" w:hAnsi="宋体" w:cs="宋体"/>
          <w:vanish/>
        </w:rPr>
        <w:t>045810us-gaap:FairValueInputsLevel2Membernvda:A2030NotesMember2021-05-020001045810us-gaap:FairValueInputsLevel2Membernvda:A2030NotesMember2021-01-310001045810nvda:A2040NotesMember2021-05-020001045810nvda:A2040NotesMemberus-gaap:FairValueInputsLevel2Member2</w:t>
      </w:r>
      <w:r>
        <w:rPr>
          <w:rFonts w:ascii="宋体" w:eastAsia="宋体" w:hAnsi="宋体" w:cs="宋体"/>
          <w:vanish/>
        </w:rPr>
        <w:t>021-05-020001045810nvda:A2040NotesMemberus-gaap:FairValueInputsLevel2Member2021-01-310001045810nvda:A2050NotesMember2021-05-020001045810us-gaap:FairValueInputsLevel2Membernvda:A2050NotesMember2021-05-020001045810us-gaap:FairValueInputsLevel2Membernvda:A205</w:t>
      </w:r>
      <w:r>
        <w:rPr>
          <w:rFonts w:ascii="宋体" w:eastAsia="宋体" w:hAnsi="宋体" w:cs="宋体"/>
          <w:vanish/>
        </w:rPr>
        <w:t>0NotesMember2021-01-310001045810nvda:A2060NotesMember2021-05-020001045810us-gaap:FairValueInputsLevel2Membernvda:A2060NotesMember2021-05-020001045810us-gaap:FairValueInputsLevel2Membernvda:A2060NotesMember2021-01-310001045810nvda:IntangibleAssetsArisingFro</w:t>
      </w:r>
      <w:r>
        <w:rPr>
          <w:rFonts w:ascii="宋体" w:eastAsia="宋体" w:hAnsi="宋体" w:cs="宋体"/>
          <w:vanish/>
        </w:rPr>
        <w:t>mBusinessCombinationMember2021-05-020001045810nvda:IntangibleAssetsArisingFromBusinessCombinationMember2021-01-310001045810nvda:PatentsAndLicensedTechnologyMember2021-05-020001045810nvda:PatentsAndLicensedTechnologyMember2021-01-310001045810nvda:MellanoxTe</w:t>
      </w:r>
      <w:r>
        <w:rPr>
          <w:rFonts w:ascii="宋体" w:eastAsia="宋体" w:hAnsi="宋体" w:cs="宋体"/>
          <w:vanish/>
        </w:rPr>
        <w:t>chnologiesLtdMember2021-05-0200010458102021-05-032021-05-020001045810us-gaap:ForeignExchangeForwardMember2021-02-012021-05-020001045810nvda:A2030NotesMember2020-03-310001045810nvda:A2040NotesMember2020-03-310001045810nvda:A2050NotesMember2020-03-3100010458</w:t>
      </w:r>
      <w:r>
        <w:rPr>
          <w:rFonts w:ascii="宋体" w:eastAsia="宋体" w:hAnsi="宋体" w:cs="宋体"/>
          <w:vanish/>
        </w:rPr>
        <w:t>10nvda:A2060NotesMember2020-03-310001045810nvda:A2021NotesMember2016-09-300001045810nvda:A2026NotesMember2016-09-300001045810nvda:A2021NotesMember2021-02-012021-05-020001045810nvda:A2021NotesMember2021-01-310001045810nvda:A2026NotesMember2021-02-012021-05-</w:t>
      </w:r>
      <w:r>
        <w:rPr>
          <w:rFonts w:ascii="宋体" w:eastAsia="宋体" w:hAnsi="宋体" w:cs="宋体"/>
          <w:vanish/>
        </w:rPr>
        <w:t>020001045810nvda:A2026NotesMember2021-01-310001045810nvda:A2030NotesMember2021-02-012021-05-020001045810nvda:A2030NotesMember2021-01-310001045810nvda:A2040NotesMember2021-02-012021-05-020001045810nvda:A2040NotesMember2021-01-310001045810nvda:A2050NotesMemb</w:t>
      </w:r>
      <w:r>
        <w:rPr>
          <w:rFonts w:ascii="宋体" w:eastAsia="宋体" w:hAnsi="宋体" w:cs="宋体"/>
          <w:vanish/>
        </w:rPr>
        <w:t>er2021-02-012021-05-020001045810nvda:A2050NotesMember2021-01-310001045810nvda:A2060NotesMember2021-02-012021-05-020001045810nvda:A2060NotesMember2021-01-310001045810us-gaap:RevolvingCreditFacilityMember2021-05-020001045810us-gaap:CommercialPaperMember2021-</w:t>
      </w:r>
      <w:r>
        <w:rPr>
          <w:rFonts w:ascii="宋体" w:eastAsia="宋体" w:hAnsi="宋体" w:cs="宋体"/>
          <w:vanish/>
        </w:rPr>
        <w:t>05-02nvda:segment0001045810nvda:GraphicsMemberus-gaap:OperatingSegmentsMember2021-02-012021-05-020001045810us-gaap:OperatingSegmentsMembernvda:ComputeAndNetworkingMember2021-02-012021-05-020001045810us-gaap:CorporateNonSegmentMember2021-02-012021-05-020001</w:t>
      </w:r>
      <w:r>
        <w:rPr>
          <w:rFonts w:ascii="宋体" w:eastAsia="宋体" w:hAnsi="宋体" w:cs="宋体"/>
          <w:vanish/>
        </w:rPr>
        <w:t>045810nvda:GraphicsMemberus-gaap:OperatingSegmentsMember2020-01-272020-04-260001045810us-gaap:OperatingSegmentsMembernvda:ComputeAndNetworkingMember2020-01-272020-04-260001045810us-gaap:CorporateNonSegmentMember2020-01-272020-04-260001045810country:TW2021-</w:t>
      </w:r>
      <w:r>
        <w:rPr>
          <w:rFonts w:ascii="宋体" w:eastAsia="宋体" w:hAnsi="宋体" w:cs="宋体"/>
          <w:vanish/>
        </w:rPr>
        <w:t>02-012021-05-020001045810country:TW2020-01-272020-04-260001045810nvda:ChinaIncludingHongKongMember2021-02-012021-05-020001045810nvda:ChinaIncludingHongKongMember2020-01-272020-04-260001045810nvda:OtherAsiaPacificMember2021-02-012021-05-020001045810nvda:Oth</w:t>
      </w:r>
      <w:r>
        <w:rPr>
          <w:rFonts w:ascii="宋体" w:eastAsia="宋体" w:hAnsi="宋体" w:cs="宋体"/>
          <w:vanish/>
        </w:rPr>
        <w:t>erAsiaPacificMember2020-01-272020-04-260001045810country:US2021-02-012021-05-020001045810country:US2020-01-272020-04-260001045810srt:EuropeMember2021-02-012021-05-020001045810srt:EuropeMember2020-01-272020-04-260001045810nvda:AllOtherCountriesNotSeparately</w:t>
      </w:r>
      <w:r>
        <w:rPr>
          <w:rFonts w:ascii="宋体" w:eastAsia="宋体" w:hAnsi="宋体" w:cs="宋体"/>
          <w:vanish/>
        </w:rPr>
        <w:t>DisclosedMember2021-02-012021-05-020001045810nvda:AllOtherCountriesNotSeparatelyDisclosedMember2020-01-272020-04-260001045810nvda:GamingMember2021-02-012021-05-020001045810nvda:GamingMember2020-01-272020-04-260001045810nvda:DataCenterMember2021-02-012021-0</w:t>
      </w:r>
      <w:r>
        <w:rPr>
          <w:rFonts w:ascii="宋体" w:eastAsia="宋体" w:hAnsi="宋体" w:cs="宋体"/>
          <w:vanish/>
        </w:rPr>
        <w:t>5-020001045810nvda:DataCenterMember2020-01-272020-04-260001045810nvda:ProfessionalVisualizationMember2021-02-012021-05-020001045810nvda:ProfessionalVisualizationMember2020-01-272020-04-260001045810nvda:AutomotiveMember2021-02-012021-05-020001045810nvda:Aut</w:t>
      </w:r>
      <w:r>
        <w:rPr>
          <w:rFonts w:ascii="宋体" w:eastAsia="宋体" w:hAnsi="宋体" w:cs="宋体"/>
          <w:vanish/>
        </w:rPr>
        <w:t>omotiveMember2020-01-272020-04-260001045810nvda:OEMAndOtherMember2021-02-012021-05-020001045810nvda:OEMAndOtherMember2020-01-272020-04-260001045810nvda:OneCustomerMemberus-gaap:CustomerConcentrationRiskMemberus-gaap:AccountsReceivableMember2021-02-012021-0</w:t>
      </w:r>
      <w:r>
        <w:rPr>
          <w:rFonts w:ascii="宋体" w:eastAsia="宋体" w:hAnsi="宋体" w:cs="宋体"/>
          <w:vanish/>
        </w:rPr>
        <w:t>5-020001045810nvda:OneCustomerMemberus-gaap:CustomerConcentrationRiskMemberus-gaap:AccountsReceivableMember2019-01-282020-01-260001045810srt:ScenarioForecastMember2021-06-032021-06-030001045810srt:ScenarioForecastMember2021-06-030001045810srt:ProFormaMembe</w:t>
      </w:r>
      <w:r>
        <w:rPr>
          <w:rFonts w:ascii="宋体" w:eastAsia="宋体" w:hAnsi="宋体" w:cs="宋体"/>
          <w:vanish/>
        </w:rPr>
        <w:t>r2021-02-012021-05-020001045810srt:ProFormaMember2020-01-272020-04-260001045810srt:ProFormaMember2020-01-272021-01-310001045810srt:ProFormaMember2019-01-282020-01-260001045810srt:ProFormaMember2018-01-292019-01-27</w:t>
      </w:r>
    </w:p>
    <w:p w14:paraId="27E07308" w14:textId="77777777" w:rsidR="00A85061" w:rsidRDefault="00A85061">
      <w:pPr>
        <w:spacing w:after="180"/>
        <w:jc w:val="both"/>
      </w:pPr>
    </w:p>
    <w:p w14:paraId="27E07309" w14:textId="77777777" w:rsidR="00A85061" w:rsidRDefault="00F04891">
      <w:pPr>
        <w:jc w:val="center"/>
      </w:pPr>
      <w:r>
        <w:rPr>
          <w:rFonts w:ascii="sans-serif" w:eastAsia="sans-serif" w:hAnsi="sans-serif" w:cs="sans-serif"/>
          <w:b/>
          <w:bCs/>
          <w:color w:val="000000"/>
          <w:sz w:val="18"/>
          <w:szCs w:val="18"/>
        </w:rPr>
        <w:t>UNITED STATES</w:t>
      </w:r>
    </w:p>
    <w:p w14:paraId="27E0730A" w14:textId="77777777" w:rsidR="00A85061" w:rsidRDefault="00F04891">
      <w:pPr>
        <w:jc w:val="center"/>
      </w:pPr>
      <w:r>
        <w:rPr>
          <w:rFonts w:ascii="sans-serif" w:eastAsia="sans-serif" w:hAnsi="sans-serif" w:cs="sans-serif"/>
          <w:b/>
          <w:bCs/>
          <w:color w:val="000000"/>
          <w:sz w:val="18"/>
          <w:szCs w:val="18"/>
        </w:rPr>
        <w:t>SECURITIES AND EXCHANGE COM</w:t>
      </w:r>
      <w:r>
        <w:rPr>
          <w:rFonts w:ascii="sans-serif" w:eastAsia="sans-serif" w:hAnsi="sans-serif" w:cs="sans-serif"/>
          <w:b/>
          <w:bCs/>
          <w:color w:val="000000"/>
          <w:sz w:val="18"/>
          <w:szCs w:val="18"/>
        </w:rPr>
        <w:t>MISSION</w:t>
      </w:r>
    </w:p>
    <w:p w14:paraId="27E0730B" w14:textId="77777777" w:rsidR="00A85061" w:rsidRDefault="00F04891">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A85061" w14:paraId="27E0730F" w14:textId="77777777">
        <w:trPr>
          <w:jc w:val="center"/>
        </w:trPr>
        <w:tc>
          <w:tcPr>
            <w:tcW w:w="50" w:type="pct"/>
            <w:shd w:val="clear" w:color="auto" w:fill="auto"/>
            <w:vAlign w:val="bottom"/>
          </w:tcPr>
          <w:p w14:paraId="27E0730C" w14:textId="77777777" w:rsidR="00A85061" w:rsidRDefault="00A85061">
            <w:pPr>
              <w:rPr>
                <w:rFonts w:ascii="宋体"/>
              </w:rPr>
            </w:pPr>
          </w:p>
        </w:tc>
        <w:tc>
          <w:tcPr>
            <w:tcW w:w="4945" w:type="pct"/>
            <w:shd w:val="clear" w:color="auto" w:fill="auto"/>
            <w:vAlign w:val="bottom"/>
          </w:tcPr>
          <w:p w14:paraId="27E0730D" w14:textId="77777777" w:rsidR="00A85061" w:rsidRDefault="00A85061">
            <w:pPr>
              <w:rPr>
                <w:rFonts w:ascii="宋体"/>
              </w:rPr>
            </w:pPr>
          </w:p>
        </w:tc>
        <w:tc>
          <w:tcPr>
            <w:tcW w:w="5" w:type="pct"/>
            <w:shd w:val="clear" w:color="auto" w:fill="auto"/>
            <w:vAlign w:val="bottom"/>
          </w:tcPr>
          <w:p w14:paraId="27E0730E" w14:textId="77777777" w:rsidR="00A85061" w:rsidRDefault="00A85061">
            <w:pPr>
              <w:rPr>
                <w:rFonts w:ascii="宋体"/>
              </w:rPr>
            </w:pPr>
          </w:p>
        </w:tc>
      </w:tr>
      <w:tr w:rsidR="00A85061" w14:paraId="27E07311"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27E07310" w14:textId="77777777" w:rsidR="00A85061" w:rsidRDefault="00A85061">
            <w:pPr>
              <w:rPr>
                <w:rFonts w:ascii="宋体"/>
              </w:rPr>
            </w:pPr>
          </w:p>
        </w:tc>
      </w:tr>
    </w:tbl>
    <w:p w14:paraId="27E07312" w14:textId="77777777" w:rsidR="00A85061" w:rsidRDefault="00F04891">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A85061" w14:paraId="27E07319" w14:textId="77777777">
        <w:trPr>
          <w:jc w:val="center"/>
        </w:trPr>
        <w:tc>
          <w:tcPr>
            <w:tcW w:w="50" w:type="pct"/>
            <w:shd w:val="clear" w:color="auto" w:fill="auto"/>
            <w:vAlign w:val="bottom"/>
          </w:tcPr>
          <w:p w14:paraId="27E07313" w14:textId="77777777" w:rsidR="00A85061" w:rsidRDefault="00A85061">
            <w:pPr>
              <w:rPr>
                <w:rFonts w:ascii="宋体"/>
              </w:rPr>
            </w:pPr>
          </w:p>
        </w:tc>
        <w:tc>
          <w:tcPr>
            <w:tcW w:w="120" w:type="pct"/>
            <w:shd w:val="clear" w:color="auto" w:fill="auto"/>
            <w:vAlign w:val="bottom"/>
          </w:tcPr>
          <w:p w14:paraId="27E07314" w14:textId="77777777" w:rsidR="00A85061" w:rsidRDefault="00A85061">
            <w:pPr>
              <w:rPr>
                <w:rFonts w:ascii="宋体"/>
              </w:rPr>
            </w:pPr>
          </w:p>
        </w:tc>
        <w:tc>
          <w:tcPr>
            <w:tcW w:w="5" w:type="pct"/>
            <w:shd w:val="clear" w:color="auto" w:fill="auto"/>
            <w:vAlign w:val="bottom"/>
          </w:tcPr>
          <w:p w14:paraId="27E07315" w14:textId="77777777" w:rsidR="00A85061" w:rsidRDefault="00A85061">
            <w:pPr>
              <w:rPr>
                <w:rFonts w:ascii="宋体"/>
              </w:rPr>
            </w:pPr>
          </w:p>
        </w:tc>
        <w:tc>
          <w:tcPr>
            <w:tcW w:w="50" w:type="pct"/>
            <w:shd w:val="clear" w:color="auto" w:fill="auto"/>
            <w:vAlign w:val="bottom"/>
          </w:tcPr>
          <w:p w14:paraId="27E07316" w14:textId="77777777" w:rsidR="00A85061" w:rsidRDefault="00A85061">
            <w:pPr>
              <w:rPr>
                <w:rFonts w:ascii="宋体"/>
              </w:rPr>
            </w:pPr>
          </w:p>
        </w:tc>
        <w:tc>
          <w:tcPr>
            <w:tcW w:w="4769" w:type="pct"/>
            <w:shd w:val="clear" w:color="auto" w:fill="auto"/>
            <w:vAlign w:val="bottom"/>
          </w:tcPr>
          <w:p w14:paraId="27E07317" w14:textId="77777777" w:rsidR="00A85061" w:rsidRDefault="00A85061">
            <w:pPr>
              <w:rPr>
                <w:rFonts w:ascii="宋体"/>
              </w:rPr>
            </w:pPr>
          </w:p>
        </w:tc>
        <w:tc>
          <w:tcPr>
            <w:tcW w:w="5" w:type="pct"/>
            <w:shd w:val="clear" w:color="auto" w:fill="auto"/>
            <w:vAlign w:val="bottom"/>
          </w:tcPr>
          <w:p w14:paraId="27E07318" w14:textId="77777777" w:rsidR="00A85061" w:rsidRDefault="00A85061">
            <w:pPr>
              <w:rPr>
                <w:rFonts w:ascii="宋体"/>
              </w:rPr>
            </w:pPr>
          </w:p>
        </w:tc>
      </w:tr>
      <w:tr w:rsidR="00A85061" w14:paraId="27E0731C" w14:textId="77777777">
        <w:trPr>
          <w:jc w:val="center"/>
        </w:trPr>
        <w:tc>
          <w:tcPr>
            <w:tcW w:w="0" w:type="auto"/>
            <w:gridSpan w:val="3"/>
            <w:shd w:val="clear" w:color="auto" w:fill="auto"/>
            <w:tcMar>
              <w:top w:w="40" w:type="dxa"/>
              <w:left w:w="20" w:type="dxa"/>
              <w:bottom w:w="40" w:type="dxa"/>
              <w:right w:w="20" w:type="dxa"/>
            </w:tcMar>
          </w:tcPr>
          <w:p w14:paraId="27E0731A" w14:textId="77777777" w:rsidR="00A85061" w:rsidRDefault="00F04891">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27E0731B" w14:textId="77777777" w:rsidR="00A85061" w:rsidRDefault="00F04891">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27E0731D" w14:textId="77777777" w:rsidR="00A85061" w:rsidRDefault="00F04891">
      <w:pPr>
        <w:ind w:firstLine="450"/>
        <w:jc w:val="both"/>
      </w:pPr>
      <w:r>
        <w:rPr>
          <w:rFonts w:ascii="sans-serif" w:eastAsia="sans-serif" w:hAnsi="sans-serif" w:cs="sans-serif"/>
          <w:b/>
          <w:bCs/>
          <w:color w:val="000000"/>
          <w:sz w:val="18"/>
          <w:szCs w:val="18"/>
        </w:rPr>
        <w:t>For the quarterly period ended May 2, 2021</w:t>
      </w:r>
    </w:p>
    <w:p w14:paraId="27E0731E" w14:textId="77777777" w:rsidR="00A85061" w:rsidRDefault="00F04891">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A85061" w14:paraId="27E07325" w14:textId="77777777">
        <w:trPr>
          <w:jc w:val="center"/>
        </w:trPr>
        <w:tc>
          <w:tcPr>
            <w:tcW w:w="50" w:type="pct"/>
            <w:shd w:val="clear" w:color="auto" w:fill="auto"/>
            <w:vAlign w:val="bottom"/>
          </w:tcPr>
          <w:p w14:paraId="27E0731F" w14:textId="77777777" w:rsidR="00A85061" w:rsidRDefault="00A85061">
            <w:pPr>
              <w:rPr>
                <w:rFonts w:ascii="宋体"/>
              </w:rPr>
            </w:pPr>
          </w:p>
        </w:tc>
        <w:tc>
          <w:tcPr>
            <w:tcW w:w="120" w:type="pct"/>
            <w:shd w:val="clear" w:color="auto" w:fill="auto"/>
            <w:vAlign w:val="bottom"/>
          </w:tcPr>
          <w:p w14:paraId="27E07320" w14:textId="77777777" w:rsidR="00A85061" w:rsidRDefault="00A85061">
            <w:pPr>
              <w:rPr>
                <w:rFonts w:ascii="宋体"/>
              </w:rPr>
            </w:pPr>
          </w:p>
        </w:tc>
        <w:tc>
          <w:tcPr>
            <w:tcW w:w="5" w:type="pct"/>
            <w:shd w:val="clear" w:color="auto" w:fill="auto"/>
            <w:vAlign w:val="bottom"/>
          </w:tcPr>
          <w:p w14:paraId="27E07321" w14:textId="77777777" w:rsidR="00A85061" w:rsidRDefault="00A85061">
            <w:pPr>
              <w:rPr>
                <w:rFonts w:ascii="宋体"/>
              </w:rPr>
            </w:pPr>
          </w:p>
        </w:tc>
        <w:tc>
          <w:tcPr>
            <w:tcW w:w="50" w:type="pct"/>
            <w:shd w:val="clear" w:color="auto" w:fill="auto"/>
            <w:vAlign w:val="bottom"/>
          </w:tcPr>
          <w:p w14:paraId="27E07322" w14:textId="77777777" w:rsidR="00A85061" w:rsidRDefault="00A85061">
            <w:pPr>
              <w:rPr>
                <w:rFonts w:ascii="宋体"/>
              </w:rPr>
            </w:pPr>
          </w:p>
        </w:tc>
        <w:tc>
          <w:tcPr>
            <w:tcW w:w="4769" w:type="pct"/>
            <w:shd w:val="clear" w:color="auto" w:fill="auto"/>
            <w:vAlign w:val="bottom"/>
          </w:tcPr>
          <w:p w14:paraId="27E07323" w14:textId="77777777" w:rsidR="00A85061" w:rsidRDefault="00A85061">
            <w:pPr>
              <w:rPr>
                <w:rFonts w:ascii="宋体"/>
              </w:rPr>
            </w:pPr>
          </w:p>
        </w:tc>
        <w:tc>
          <w:tcPr>
            <w:tcW w:w="5" w:type="pct"/>
            <w:shd w:val="clear" w:color="auto" w:fill="auto"/>
            <w:vAlign w:val="bottom"/>
          </w:tcPr>
          <w:p w14:paraId="27E07324" w14:textId="77777777" w:rsidR="00A85061" w:rsidRDefault="00A85061">
            <w:pPr>
              <w:rPr>
                <w:rFonts w:ascii="宋体"/>
              </w:rPr>
            </w:pPr>
          </w:p>
        </w:tc>
      </w:tr>
      <w:tr w:rsidR="00A85061" w14:paraId="27E07328" w14:textId="77777777">
        <w:trPr>
          <w:jc w:val="center"/>
        </w:trPr>
        <w:tc>
          <w:tcPr>
            <w:tcW w:w="0" w:type="auto"/>
            <w:gridSpan w:val="3"/>
            <w:shd w:val="clear" w:color="auto" w:fill="auto"/>
            <w:tcMar>
              <w:top w:w="40" w:type="dxa"/>
              <w:left w:w="20" w:type="dxa"/>
              <w:bottom w:w="40" w:type="dxa"/>
              <w:right w:w="20" w:type="dxa"/>
            </w:tcMar>
          </w:tcPr>
          <w:p w14:paraId="27E07326" w14:textId="77777777" w:rsidR="00A85061" w:rsidRDefault="00F04891">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27E07327" w14:textId="77777777" w:rsidR="00A85061" w:rsidRDefault="00F04891">
            <w:pPr>
              <w:textAlignment w:val="top"/>
            </w:pPr>
            <w:r>
              <w:rPr>
                <w:rFonts w:ascii="sans-serif" w:eastAsia="sans-serif" w:hAnsi="sans-serif" w:cs="sans-serif"/>
                <w:b/>
                <w:bCs/>
                <w:color w:val="000000"/>
                <w:sz w:val="18"/>
                <w:szCs w:val="18"/>
              </w:rPr>
              <w:t xml:space="preserve">TRANSITION REPORT PURSUANT TO SECTION 13 OR 15(d) OF </w:t>
            </w:r>
            <w:r>
              <w:rPr>
                <w:rFonts w:ascii="sans-serif" w:eastAsia="sans-serif" w:hAnsi="sans-serif" w:cs="sans-serif"/>
                <w:b/>
                <w:bCs/>
                <w:color w:val="000000"/>
                <w:sz w:val="18"/>
                <w:szCs w:val="18"/>
              </w:rPr>
              <w:t>THE SECURITIES EXCHANGE ACT OF 1934</w:t>
            </w:r>
          </w:p>
        </w:tc>
      </w:tr>
    </w:tbl>
    <w:p w14:paraId="27E07329" w14:textId="77777777" w:rsidR="00A85061" w:rsidRDefault="00F04891">
      <w:pPr>
        <w:jc w:val="center"/>
      </w:pPr>
      <w:r>
        <w:rPr>
          <w:rFonts w:ascii="sans-serif" w:eastAsia="sans-serif" w:hAnsi="sans-serif" w:cs="sans-serif"/>
          <w:b/>
          <w:bCs/>
          <w:color w:val="000000"/>
          <w:sz w:val="16"/>
          <w:szCs w:val="16"/>
        </w:rPr>
        <w:t xml:space="preserve">Commission file number: 0-23985 </w:t>
      </w:r>
    </w:p>
    <w:p w14:paraId="27E0732A" w14:textId="77777777" w:rsidR="00A85061" w:rsidRDefault="00F0489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Viewer6_files/nvda-20210502_g1.jpg"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7E08EF0" wp14:editId="27E08EF1">
            <wp:extent cx="304800" cy="304800"/>
            <wp:effectExtent l="0" t="0" r="0" b="0"/>
            <wp:docPr id="73" name="图片 1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0"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7E0732B" w14:textId="77777777" w:rsidR="00A85061" w:rsidRDefault="00A85061">
      <w:pPr>
        <w:jc w:val="center"/>
      </w:pPr>
    </w:p>
    <w:p w14:paraId="27E0732C" w14:textId="77777777" w:rsidR="00A85061" w:rsidRDefault="00F04891">
      <w:pPr>
        <w:jc w:val="center"/>
      </w:pPr>
      <w:r>
        <w:rPr>
          <w:rFonts w:ascii="sans-serif" w:eastAsia="sans-serif" w:hAnsi="sans-serif" w:cs="sans-serif"/>
          <w:b/>
          <w:bCs/>
          <w:color w:val="000000"/>
          <w:sz w:val="28"/>
          <w:szCs w:val="28"/>
        </w:rPr>
        <w:t>NVIDIA CORPORATION</w:t>
      </w:r>
    </w:p>
    <w:p w14:paraId="27E0732D" w14:textId="77777777" w:rsidR="00A85061" w:rsidRDefault="00F04891">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A85061" w14:paraId="27E07334" w14:textId="77777777">
        <w:trPr>
          <w:jc w:val="center"/>
        </w:trPr>
        <w:tc>
          <w:tcPr>
            <w:tcW w:w="50" w:type="pct"/>
            <w:shd w:val="clear" w:color="auto" w:fill="auto"/>
            <w:vAlign w:val="bottom"/>
          </w:tcPr>
          <w:p w14:paraId="27E0732E" w14:textId="77777777" w:rsidR="00A85061" w:rsidRDefault="00A85061">
            <w:pPr>
              <w:rPr>
                <w:rFonts w:ascii="宋体"/>
              </w:rPr>
            </w:pPr>
          </w:p>
        </w:tc>
        <w:tc>
          <w:tcPr>
            <w:tcW w:w="2445" w:type="pct"/>
            <w:shd w:val="clear" w:color="auto" w:fill="auto"/>
            <w:vAlign w:val="bottom"/>
          </w:tcPr>
          <w:p w14:paraId="27E0732F" w14:textId="77777777" w:rsidR="00A85061" w:rsidRDefault="00A85061">
            <w:pPr>
              <w:rPr>
                <w:rFonts w:ascii="宋体"/>
              </w:rPr>
            </w:pPr>
          </w:p>
        </w:tc>
        <w:tc>
          <w:tcPr>
            <w:tcW w:w="5" w:type="pct"/>
            <w:shd w:val="clear" w:color="auto" w:fill="auto"/>
            <w:vAlign w:val="bottom"/>
          </w:tcPr>
          <w:p w14:paraId="27E07330" w14:textId="77777777" w:rsidR="00A85061" w:rsidRDefault="00A85061">
            <w:pPr>
              <w:rPr>
                <w:rFonts w:ascii="宋体"/>
              </w:rPr>
            </w:pPr>
          </w:p>
        </w:tc>
        <w:tc>
          <w:tcPr>
            <w:tcW w:w="50" w:type="pct"/>
            <w:shd w:val="clear" w:color="auto" w:fill="auto"/>
            <w:vAlign w:val="bottom"/>
          </w:tcPr>
          <w:p w14:paraId="27E07331" w14:textId="77777777" w:rsidR="00A85061" w:rsidRDefault="00A85061">
            <w:pPr>
              <w:rPr>
                <w:rFonts w:ascii="宋体"/>
              </w:rPr>
            </w:pPr>
          </w:p>
        </w:tc>
        <w:tc>
          <w:tcPr>
            <w:tcW w:w="2445" w:type="pct"/>
            <w:shd w:val="clear" w:color="auto" w:fill="auto"/>
            <w:vAlign w:val="bottom"/>
          </w:tcPr>
          <w:p w14:paraId="27E07332" w14:textId="77777777" w:rsidR="00A85061" w:rsidRDefault="00A85061">
            <w:pPr>
              <w:rPr>
                <w:rFonts w:ascii="宋体"/>
              </w:rPr>
            </w:pPr>
          </w:p>
        </w:tc>
        <w:tc>
          <w:tcPr>
            <w:tcW w:w="5" w:type="pct"/>
            <w:shd w:val="clear" w:color="auto" w:fill="auto"/>
            <w:vAlign w:val="bottom"/>
          </w:tcPr>
          <w:p w14:paraId="27E07333" w14:textId="77777777" w:rsidR="00A85061" w:rsidRDefault="00A85061">
            <w:pPr>
              <w:rPr>
                <w:rFonts w:ascii="宋体"/>
              </w:rPr>
            </w:pPr>
          </w:p>
        </w:tc>
      </w:tr>
      <w:tr w:rsidR="00A85061" w14:paraId="27E07337" w14:textId="77777777">
        <w:trPr>
          <w:jc w:val="center"/>
        </w:trPr>
        <w:tc>
          <w:tcPr>
            <w:tcW w:w="0" w:type="auto"/>
            <w:gridSpan w:val="3"/>
            <w:shd w:val="clear" w:color="auto" w:fill="auto"/>
            <w:tcMar>
              <w:top w:w="40" w:type="dxa"/>
              <w:left w:w="20" w:type="dxa"/>
              <w:bottom w:w="40" w:type="dxa"/>
              <w:right w:w="20" w:type="dxa"/>
            </w:tcMar>
          </w:tcPr>
          <w:p w14:paraId="27E07335" w14:textId="77777777" w:rsidR="00A85061" w:rsidRDefault="00F04891">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27E07336" w14:textId="77777777" w:rsidR="00A85061" w:rsidRDefault="00F04891">
            <w:pPr>
              <w:jc w:val="center"/>
              <w:textAlignment w:val="top"/>
            </w:pPr>
            <w:r>
              <w:rPr>
                <w:rFonts w:ascii="sans-serif" w:eastAsia="sans-serif" w:hAnsi="sans-serif" w:cs="sans-serif"/>
                <w:b/>
                <w:bCs/>
                <w:color w:val="000000"/>
                <w:sz w:val="18"/>
                <w:szCs w:val="18"/>
              </w:rPr>
              <w:t>94-3177549</w:t>
            </w:r>
          </w:p>
        </w:tc>
      </w:tr>
      <w:tr w:rsidR="00A85061" w14:paraId="27E0733A" w14:textId="77777777">
        <w:trPr>
          <w:jc w:val="center"/>
        </w:trPr>
        <w:tc>
          <w:tcPr>
            <w:tcW w:w="0" w:type="auto"/>
            <w:gridSpan w:val="3"/>
            <w:shd w:val="clear" w:color="auto" w:fill="auto"/>
            <w:tcMar>
              <w:top w:w="40" w:type="dxa"/>
              <w:left w:w="20" w:type="dxa"/>
              <w:bottom w:w="40" w:type="dxa"/>
              <w:right w:w="20" w:type="dxa"/>
            </w:tcMar>
          </w:tcPr>
          <w:p w14:paraId="27E07338" w14:textId="77777777" w:rsidR="00A85061" w:rsidRDefault="00F04891">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27E07339" w14:textId="77777777" w:rsidR="00A85061" w:rsidRDefault="00F04891">
            <w:pPr>
              <w:jc w:val="center"/>
              <w:textAlignment w:val="top"/>
            </w:pPr>
            <w:r>
              <w:rPr>
                <w:rFonts w:ascii="sans-serif" w:eastAsia="sans-serif" w:hAnsi="sans-serif" w:cs="sans-serif"/>
                <w:b/>
                <w:bCs/>
                <w:color w:val="000000"/>
                <w:sz w:val="18"/>
                <w:szCs w:val="18"/>
              </w:rPr>
              <w:t>(I.R.S. Employer</w:t>
            </w:r>
          </w:p>
        </w:tc>
      </w:tr>
      <w:tr w:rsidR="00A85061" w14:paraId="27E0733D" w14:textId="77777777">
        <w:trPr>
          <w:jc w:val="center"/>
        </w:trPr>
        <w:tc>
          <w:tcPr>
            <w:tcW w:w="0" w:type="auto"/>
            <w:gridSpan w:val="3"/>
            <w:shd w:val="clear" w:color="auto" w:fill="auto"/>
            <w:tcMar>
              <w:top w:w="40" w:type="dxa"/>
              <w:left w:w="20" w:type="dxa"/>
              <w:bottom w:w="40" w:type="dxa"/>
              <w:right w:w="20" w:type="dxa"/>
            </w:tcMar>
          </w:tcPr>
          <w:p w14:paraId="27E0733B" w14:textId="77777777" w:rsidR="00A85061" w:rsidRDefault="00F04891">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27E0733C" w14:textId="77777777" w:rsidR="00A85061" w:rsidRDefault="00F04891">
            <w:pPr>
              <w:jc w:val="center"/>
              <w:textAlignment w:val="top"/>
            </w:pPr>
            <w:r>
              <w:rPr>
                <w:rFonts w:ascii="sans-serif" w:eastAsia="sans-serif" w:hAnsi="sans-serif" w:cs="sans-serif"/>
                <w:b/>
                <w:bCs/>
                <w:color w:val="000000"/>
                <w:sz w:val="18"/>
                <w:szCs w:val="18"/>
              </w:rPr>
              <w:t>Identification No.)</w:t>
            </w:r>
          </w:p>
        </w:tc>
      </w:tr>
    </w:tbl>
    <w:p w14:paraId="27E0733E" w14:textId="77777777" w:rsidR="00A85061" w:rsidRDefault="00F04891">
      <w:pPr>
        <w:jc w:val="center"/>
      </w:pPr>
      <w:r>
        <w:rPr>
          <w:rFonts w:ascii="sans-serif" w:eastAsia="sans-serif" w:hAnsi="sans-serif" w:cs="sans-serif"/>
          <w:b/>
          <w:bCs/>
          <w:color w:val="000000"/>
          <w:sz w:val="18"/>
          <w:szCs w:val="18"/>
        </w:rPr>
        <w:t xml:space="preserve">2788 San Tomas Expressway </w:t>
      </w:r>
    </w:p>
    <w:p w14:paraId="27E0733F" w14:textId="77777777" w:rsidR="00A85061" w:rsidRDefault="00F04891">
      <w:pPr>
        <w:jc w:val="center"/>
      </w:pPr>
      <w:r>
        <w:rPr>
          <w:rFonts w:ascii="sans-serif" w:eastAsia="sans-serif" w:hAnsi="sans-serif" w:cs="sans-serif"/>
          <w:b/>
          <w:bCs/>
          <w:color w:val="000000"/>
          <w:sz w:val="18"/>
          <w:szCs w:val="18"/>
        </w:rPr>
        <w:t xml:space="preserve">Santa Clara, California 95051 </w:t>
      </w:r>
    </w:p>
    <w:p w14:paraId="27E07340" w14:textId="77777777" w:rsidR="00A85061" w:rsidRDefault="00F04891">
      <w:pPr>
        <w:jc w:val="center"/>
      </w:pPr>
      <w:r>
        <w:rPr>
          <w:rFonts w:ascii="sans-serif" w:eastAsia="sans-serif" w:hAnsi="sans-serif" w:cs="sans-serif"/>
          <w:b/>
          <w:bCs/>
          <w:color w:val="000000"/>
          <w:sz w:val="18"/>
          <w:szCs w:val="18"/>
        </w:rPr>
        <w:t xml:space="preserve">(408) 486-2000 </w:t>
      </w:r>
    </w:p>
    <w:p w14:paraId="27E07341" w14:textId="77777777" w:rsidR="00A85061" w:rsidRDefault="00F04891">
      <w:pPr>
        <w:jc w:val="center"/>
      </w:pPr>
      <w:r>
        <w:rPr>
          <w:rFonts w:ascii="sans-serif" w:eastAsia="sans-serif" w:hAnsi="sans-serif" w:cs="sans-serif"/>
          <w:b/>
          <w:bCs/>
          <w:color w:val="000000"/>
          <w:sz w:val="16"/>
          <w:szCs w:val="16"/>
        </w:rPr>
        <w:t>(Address, including zip code, and telephone number,</w:t>
      </w:r>
    </w:p>
    <w:p w14:paraId="27E07342" w14:textId="77777777" w:rsidR="00A85061" w:rsidRDefault="00F04891">
      <w:pPr>
        <w:spacing w:after="180"/>
        <w:jc w:val="center"/>
      </w:pPr>
      <w:r>
        <w:rPr>
          <w:rFonts w:ascii="sans-serif" w:eastAsia="sans-serif" w:hAnsi="sans-serif" w:cs="sans-serif"/>
          <w:b/>
          <w:bCs/>
          <w:color w:val="000000"/>
          <w:sz w:val="16"/>
          <w:szCs w:val="16"/>
        </w:rPr>
        <w:t>including area code, of principal executive offices)</w:t>
      </w:r>
    </w:p>
    <w:p w14:paraId="27E07343" w14:textId="77777777" w:rsidR="00A85061" w:rsidRDefault="00F04891">
      <w:pPr>
        <w:jc w:val="center"/>
      </w:pPr>
      <w:r>
        <w:rPr>
          <w:rFonts w:ascii="sans-serif" w:eastAsia="sans-serif" w:hAnsi="sans-serif" w:cs="sans-serif"/>
          <w:b/>
          <w:bCs/>
          <w:color w:val="000000"/>
          <w:sz w:val="16"/>
          <w:szCs w:val="16"/>
        </w:rPr>
        <w:t>N/A</w:t>
      </w:r>
    </w:p>
    <w:p w14:paraId="27E07344" w14:textId="77777777" w:rsidR="00A85061" w:rsidRDefault="00F04891">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27E07345" w14:textId="77777777" w:rsidR="00A85061" w:rsidRDefault="00F04891">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A85061" w14:paraId="27E0734F" w14:textId="77777777">
        <w:trPr>
          <w:jc w:val="center"/>
        </w:trPr>
        <w:tc>
          <w:tcPr>
            <w:tcW w:w="50" w:type="pct"/>
            <w:shd w:val="clear" w:color="auto" w:fill="auto"/>
            <w:vAlign w:val="bottom"/>
          </w:tcPr>
          <w:p w14:paraId="27E07346" w14:textId="77777777" w:rsidR="00A85061" w:rsidRDefault="00A85061">
            <w:pPr>
              <w:rPr>
                <w:rFonts w:ascii="宋体"/>
              </w:rPr>
            </w:pPr>
          </w:p>
        </w:tc>
        <w:tc>
          <w:tcPr>
            <w:tcW w:w="1611" w:type="pct"/>
            <w:shd w:val="clear" w:color="auto" w:fill="auto"/>
            <w:vAlign w:val="bottom"/>
          </w:tcPr>
          <w:p w14:paraId="27E07347" w14:textId="77777777" w:rsidR="00A85061" w:rsidRDefault="00A85061">
            <w:pPr>
              <w:rPr>
                <w:rFonts w:ascii="宋体"/>
              </w:rPr>
            </w:pPr>
          </w:p>
        </w:tc>
        <w:tc>
          <w:tcPr>
            <w:tcW w:w="5" w:type="pct"/>
            <w:shd w:val="clear" w:color="auto" w:fill="auto"/>
            <w:vAlign w:val="bottom"/>
          </w:tcPr>
          <w:p w14:paraId="27E07348" w14:textId="77777777" w:rsidR="00A85061" w:rsidRDefault="00A85061">
            <w:pPr>
              <w:rPr>
                <w:rFonts w:ascii="宋体"/>
              </w:rPr>
            </w:pPr>
          </w:p>
        </w:tc>
        <w:tc>
          <w:tcPr>
            <w:tcW w:w="50" w:type="pct"/>
            <w:shd w:val="clear" w:color="auto" w:fill="auto"/>
            <w:vAlign w:val="bottom"/>
          </w:tcPr>
          <w:p w14:paraId="27E07349" w14:textId="77777777" w:rsidR="00A85061" w:rsidRDefault="00A85061">
            <w:pPr>
              <w:rPr>
                <w:rFonts w:ascii="宋体"/>
              </w:rPr>
            </w:pPr>
          </w:p>
        </w:tc>
        <w:tc>
          <w:tcPr>
            <w:tcW w:w="1535" w:type="pct"/>
            <w:shd w:val="clear" w:color="auto" w:fill="auto"/>
            <w:vAlign w:val="bottom"/>
          </w:tcPr>
          <w:p w14:paraId="27E0734A" w14:textId="77777777" w:rsidR="00A85061" w:rsidRDefault="00A85061">
            <w:pPr>
              <w:rPr>
                <w:rFonts w:ascii="宋体"/>
              </w:rPr>
            </w:pPr>
          </w:p>
        </w:tc>
        <w:tc>
          <w:tcPr>
            <w:tcW w:w="5" w:type="pct"/>
            <w:shd w:val="clear" w:color="auto" w:fill="auto"/>
            <w:vAlign w:val="bottom"/>
          </w:tcPr>
          <w:p w14:paraId="27E0734B" w14:textId="77777777" w:rsidR="00A85061" w:rsidRDefault="00A85061">
            <w:pPr>
              <w:rPr>
                <w:rFonts w:ascii="宋体"/>
              </w:rPr>
            </w:pPr>
          </w:p>
        </w:tc>
        <w:tc>
          <w:tcPr>
            <w:tcW w:w="50" w:type="pct"/>
            <w:shd w:val="clear" w:color="auto" w:fill="auto"/>
            <w:vAlign w:val="bottom"/>
          </w:tcPr>
          <w:p w14:paraId="27E0734C" w14:textId="77777777" w:rsidR="00A85061" w:rsidRDefault="00A85061">
            <w:pPr>
              <w:rPr>
                <w:rFonts w:ascii="宋体"/>
              </w:rPr>
            </w:pPr>
          </w:p>
        </w:tc>
        <w:tc>
          <w:tcPr>
            <w:tcW w:w="1688" w:type="pct"/>
            <w:shd w:val="clear" w:color="auto" w:fill="auto"/>
            <w:vAlign w:val="bottom"/>
          </w:tcPr>
          <w:p w14:paraId="27E0734D" w14:textId="77777777" w:rsidR="00A85061" w:rsidRDefault="00A85061">
            <w:pPr>
              <w:rPr>
                <w:rFonts w:ascii="宋体"/>
              </w:rPr>
            </w:pPr>
          </w:p>
        </w:tc>
        <w:tc>
          <w:tcPr>
            <w:tcW w:w="5" w:type="pct"/>
            <w:shd w:val="clear" w:color="auto" w:fill="auto"/>
            <w:vAlign w:val="bottom"/>
          </w:tcPr>
          <w:p w14:paraId="27E0734E" w14:textId="77777777" w:rsidR="00A85061" w:rsidRDefault="00A85061">
            <w:pPr>
              <w:rPr>
                <w:rFonts w:ascii="宋体"/>
              </w:rPr>
            </w:pPr>
          </w:p>
        </w:tc>
      </w:tr>
      <w:tr w:rsidR="00A85061" w14:paraId="27E07353" w14:textId="77777777">
        <w:trPr>
          <w:jc w:val="center"/>
        </w:trPr>
        <w:tc>
          <w:tcPr>
            <w:tcW w:w="0" w:type="auto"/>
            <w:gridSpan w:val="3"/>
            <w:shd w:val="clear" w:color="auto" w:fill="auto"/>
            <w:tcMar>
              <w:top w:w="40" w:type="dxa"/>
              <w:left w:w="20" w:type="dxa"/>
              <w:bottom w:w="40" w:type="dxa"/>
              <w:right w:w="20" w:type="dxa"/>
            </w:tcMar>
            <w:vAlign w:val="bottom"/>
          </w:tcPr>
          <w:p w14:paraId="27E07350" w14:textId="77777777" w:rsidR="00A85061" w:rsidRDefault="00F04891">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27E07351" w14:textId="77777777" w:rsidR="00A85061" w:rsidRDefault="00F04891">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27E07352" w14:textId="77777777" w:rsidR="00A85061" w:rsidRDefault="00F04891">
            <w:pPr>
              <w:jc w:val="center"/>
              <w:textAlignment w:val="bottom"/>
            </w:pPr>
            <w:r>
              <w:rPr>
                <w:rFonts w:ascii="sans-serif" w:eastAsia="sans-serif" w:hAnsi="sans-serif" w:cs="sans-serif"/>
                <w:b/>
                <w:bCs/>
                <w:color w:val="000000"/>
                <w:sz w:val="18"/>
                <w:szCs w:val="18"/>
              </w:rPr>
              <w:t>Name of each exchange on which registered</w:t>
            </w:r>
          </w:p>
        </w:tc>
      </w:tr>
      <w:tr w:rsidR="00A85061" w14:paraId="27E07357" w14:textId="77777777">
        <w:trPr>
          <w:jc w:val="center"/>
        </w:trPr>
        <w:tc>
          <w:tcPr>
            <w:tcW w:w="0" w:type="auto"/>
            <w:gridSpan w:val="3"/>
            <w:shd w:val="clear" w:color="auto" w:fill="auto"/>
            <w:tcMar>
              <w:top w:w="40" w:type="dxa"/>
              <w:left w:w="20" w:type="dxa"/>
              <w:bottom w:w="40" w:type="dxa"/>
              <w:right w:w="20" w:type="dxa"/>
            </w:tcMar>
            <w:vAlign w:val="bottom"/>
          </w:tcPr>
          <w:p w14:paraId="27E07354" w14:textId="77777777" w:rsidR="00A85061" w:rsidRDefault="00F04891">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27E07355" w14:textId="77777777" w:rsidR="00A85061" w:rsidRDefault="00F04891">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27E07356" w14:textId="77777777" w:rsidR="00A85061" w:rsidRDefault="00F04891">
            <w:pPr>
              <w:jc w:val="center"/>
              <w:textAlignment w:val="bottom"/>
            </w:pPr>
            <w:r>
              <w:rPr>
                <w:rFonts w:ascii="sans-serif" w:eastAsia="sans-serif" w:hAnsi="sans-serif" w:cs="sans-serif"/>
                <w:color w:val="000000"/>
                <w:sz w:val="18"/>
                <w:szCs w:val="18"/>
              </w:rPr>
              <w:t>The Nasdaq Global Select Market</w:t>
            </w:r>
          </w:p>
        </w:tc>
      </w:tr>
    </w:tbl>
    <w:p w14:paraId="27E07358" w14:textId="77777777" w:rsidR="00A85061" w:rsidRDefault="00F04891">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27E07359" w14:textId="77777777" w:rsidR="00A85061" w:rsidRDefault="00F04891">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27E0735A" w14:textId="77777777" w:rsidR="00A85061" w:rsidRDefault="00F04891">
      <w:pPr>
        <w:jc w:val="both"/>
      </w:pPr>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A85061" w14:paraId="27E07379" w14:textId="77777777">
        <w:tc>
          <w:tcPr>
            <w:tcW w:w="50" w:type="pct"/>
            <w:shd w:val="clear" w:color="auto" w:fill="auto"/>
            <w:vAlign w:val="bottom"/>
          </w:tcPr>
          <w:p w14:paraId="27E0735B" w14:textId="77777777" w:rsidR="00A85061" w:rsidRDefault="00A85061">
            <w:pPr>
              <w:rPr>
                <w:rFonts w:ascii="宋体"/>
              </w:rPr>
            </w:pPr>
          </w:p>
        </w:tc>
        <w:tc>
          <w:tcPr>
            <w:tcW w:w="777" w:type="pct"/>
            <w:shd w:val="clear" w:color="auto" w:fill="auto"/>
            <w:vAlign w:val="bottom"/>
          </w:tcPr>
          <w:p w14:paraId="27E0735C" w14:textId="77777777" w:rsidR="00A85061" w:rsidRDefault="00A85061">
            <w:pPr>
              <w:rPr>
                <w:rFonts w:ascii="宋体"/>
              </w:rPr>
            </w:pPr>
          </w:p>
        </w:tc>
        <w:tc>
          <w:tcPr>
            <w:tcW w:w="5" w:type="pct"/>
            <w:shd w:val="clear" w:color="auto" w:fill="auto"/>
            <w:vAlign w:val="bottom"/>
          </w:tcPr>
          <w:p w14:paraId="27E0735D" w14:textId="77777777" w:rsidR="00A85061" w:rsidRDefault="00A85061">
            <w:pPr>
              <w:rPr>
                <w:rFonts w:ascii="宋体"/>
              </w:rPr>
            </w:pPr>
          </w:p>
        </w:tc>
        <w:tc>
          <w:tcPr>
            <w:tcW w:w="5" w:type="pct"/>
            <w:shd w:val="clear" w:color="auto" w:fill="auto"/>
            <w:vAlign w:val="bottom"/>
          </w:tcPr>
          <w:p w14:paraId="27E0735E" w14:textId="77777777" w:rsidR="00A85061" w:rsidRDefault="00A85061">
            <w:pPr>
              <w:rPr>
                <w:rFonts w:ascii="宋体"/>
              </w:rPr>
            </w:pPr>
          </w:p>
        </w:tc>
        <w:tc>
          <w:tcPr>
            <w:tcW w:w="121" w:type="pct"/>
            <w:shd w:val="clear" w:color="auto" w:fill="auto"/>
            <w:vAlign w:val="bottom"/>
          </w:tcPr>
          <w:p w14:paraId="27E0735F" w14:textId="77777777" w:rsidR="00A85061" w:rsidRDefault="00A85061">
            <w:pPr>
              <w:rPr>
                <w:rFonts w:ascii="宋体"/>
              </w:rPr>
            </w:pPr>
          </w:p>
        </w:tc>
        <w:tc>
          <w:tcPr>
            <w:tcW w:w="5" w:type="pct"/>
            <w:shd w:val="clear" w:color="auto" w:fill="auto"/>
            <w:vAlign w:val="bottom"/>
          </w:tcPr>
          <w:p w14:paraId="27E07360" w14:textId="77777777" w:rsidR="00A85061" w:rsidRDefault="00A85061">
            <w:pPr>
              <w:rPr>
                <w:rFonts w:ascii="宋体"/>
              </w:rPr>
            </w:pPr>
          </w:p>
        </w:tc>
        <w:tc>
          <w:tcPr>
            <w:tcW w:w="50" w:type="pct"/>
            <w:shd w:val="clear" w:color="auto" w:fill="auto"/>
            <w:vAlign w:val="bottom"/>
          </w:tcPr>
          <w:p w14:paraId="27E07361" w14:textId="77777777" w:rsidR="00A85061" w:rsidRDefault="00A85061">
            <w:pPr>
              <w:rPr>
                <w:rFonts w:ascii="宋体"/>
              </w:rPr>
            </w:pPr>
          </w:p>
        </w:tc>
        <w:tc>
          <w:tcPr>
            <w:tcW w:w="777" w:type="pct"/>
            <w:shd w:val="clear" w:color="auto" w:fill="auto"/>
            <w:vAlign w:val="bottom"/>
          </w:tcPr>
          <w:p w14:paraId="27E07362" w14:textId="77777777" w:rsidR="00A85061" w:rsidRDefault="00A85061">
            <w:pPr>
              <w:rPr>
                <w:rFonts w:ascii="宋体"/>
              </w:rPr>
            </w:pPr>
          </w:p>
        </w:tc>
        <w:tc>
          <w:tcPr>
            <w:tcW w:w="5" w:type="pct"/>
            <w:shd w:val="clear" w:color="auto" w:fill="auto"/>
            <w:vAlign w:val="bottom"/>
          </w:tcPr>
          <w:p w14:paraId="27E07363" w14:textId="77777777" w:rsidR="00A85061" w:rsidRDefault="00A85061">
            <w:pPr>
              <w:rPr>
                <w:rFonts w:ascii="宋体"/>
              </w:rPr>
            </w:pPr>
          </w:p>
        </w:tc>
        <w:tc>
          <w:tcPr>
            <w:tcW w:w="5" w:type="pct"/>
            <w:shd w:val="clear" w:color="auto" w:fill="auto"/>
            <w:vAlign w:val="bottom"/>
          </w:tcPr>
          <w:p w14:paraId="27E07364" w14:textId="77777777" w:rsidR="00A85061" w:rsidRDefault="00A85061">
            <w:pPr>
              <w:rPr>
                <w:rFonts w:ascii="宋体"/>
              </w:rPr>
            </w:pPr>
          </w:p>
        </w:tc>
        <w:tc>
          <w:tcPr>
            <w:tcW w:w="121" w:type="pct"/>
            <w:shd w:val="clear" w:color="auto" w:fill="auto"/>
            <w:vAlign w:val="bottom"/>
          </w:tcPr>
          <w:p w14:paraId="27E07365" w14:textId="77777777" w:rsidR="00A85061" w:rsidRDefault="00A85061">
            <w:pPr>
              <w:rPr>
                <w:rFonts w:ascii="宋体"/>
              </w:rPr>
            </w:pPr>
          </w:p>
        </w:tc>
        <w:tc>
          <w:tcPr>
            <w:tcW w:w="5" w:type="pct"/>
            <w:shd w:val="clear" w:color="auto" w:fill="auto"/>
            <w:vAlign w:val="bottom"/>
          </w:tcPr>
          <w:p w14:paraId="27E07366" w14:textId="77777777" w:rsidR="00A85061" w:rsidRDefault="00A85061">
            <w:pPr>
              <w:rPr>
                <w:rFonts w:ascii="宋体"/>
              </w:rPr>
            </w:pPr>
          </w:p>
        </w:tc>
        <w:tc>
          <w:tcPr>
            <w:tcW w:w="50" w:type="pct"/>
            <w:shd w:val="clear" w:color="auto" w:fill="auto"/>
            <w:vAlign w:val="bottom"/>
          </w:tcPr>
          <w:p w14:paraId="27E07367" w14:textId="77777777" w:rsidR="00A85061" w:rsidRDefault="00A85061">
            <w:pPr>
              <w:rPr>
                <w:rFonts w:ascii="宋体"/>
              </w:rPr>
            </w:pPr>
          </w:p>
        </w:tc>
        <w:tc>
          <w:tcPr>
            <w:tcW w:w="777" w:type="pct"/>
            <w:shd w:val="clear" w:color="auto" w:fill="auto"/>
            <w:vAlign w:val="bottom"/>
          </w:tcPr>
          <w:p w14:paraId="27E07368" w14:textId="77777777" w:rsidR="00A85061" w:rsidRDefault="00A85061">
            <w:pPr>
              <w:rPr>
                <w:rFonts w:ascii="宋体"/>
              </w:rPr>
            </w:pPr>
          </w:p>
        </w:tc>
        <w:tc>
          <w:tcPr>
            <w:tcW w:w="5" w:type="pct"/>
            <w:shd w:val="clear" w:color="auto" w:fill="auto"/>
            <w:vAlign w:val="bottom"/>
          </w:tcPr>
          <w:p w14:paraId="27E07369" w14:textId="77777777" w:rsidR="00A85061" w:rsidRDefault="00A85061">
            <w:pPr>
              <w:rPr>
                <w:rFonts w:ascii="宋体"/>
              </w:rPr>
            </w:pPr>
          </w:p>
        </w:tc>
        <w:tc>
          <w:tcPr>
            <w:tcW w:w="5" w:type="pct"/>
            <w:shd w:val="clear" w:color="auto" w:fill="auto"/>
            <w:vAlign w:val="bottom"/>
          </w:tcPr>
          <w:p w14:paraId="27E0736A" w14:textId="77777777" w:rsidR="00A85061" w:rsidRDefault="00A85061">
            <w:pPr>
              <w:rPr>
                <w:rFonts w:ascii="宋体"/>
              </w:rPr>
            </w:pPr>
          </w:p>
        </w:tc>
        <w:tc>
          <w:tcPr>
            <w:tcW w:w="121" w:type="pct"/>
            <w:shd w:val="clear" w:color="auto" w:fill="auto"/>
            <w:vAlign w:val="bottom"/>
          </w:tcPr>
          <w:p w14:paraId="27E0736B" w14:textId="77777777" w:rsidR="00A85061" w:rsidRDefault="00A85061">
            <w:pPr>
              <w:rPr>
                <w:rFonts w:ascii="宋体"/>
              </w:rPr>
            </w:pPr>
          </w:p>
        </w:tc>
        <w:tc>
          <w:tcPr>
            <w:tcW w:w="5" w:type="pct"/>
            <w:shd w:val="clear" w:color="auto" w:fill="auto"/>
            <w:vAlign w:val="bottom"/>
          </w:tcPr>
          <w:p w14:paraId="27E0736C" w14:textId="77777777" w:rsidR="00A85061" w:rsidRDefault="00A85061">
            <w:pPr>
              <w:rPr>
                <w:rFonts w:ascii="宋体"/>
              </w:rPr>
            </w:pPr>
          </w:p>
        </w:tc>
        <w:tc>
          <w:tcPr>
            <w:tcW w:w="50" w:type="pct"/>
            <w:shd w:val="clear" w:color="auto" w:fill="auto"/>
            <w:vAlign w:val="bottom"/>
          </w:tcPr>
          <w:p w14:paraId="27E0736D" w14:textId="77777777" w:rsidR="00A85061" w:rsidRDefault="00A85061">
            <w:pPr>
              <w:rPr>
                <w:rFonts w:ascii="宋体"/>
              </w:rPr>
            </w:pPr>
          </w:p>
        </w:tc>
        <w:tc>
          <w:tcPr>
            <w:tcW w:w="867" w:type="pct"/>
            <w:shd w:val="clear" w:color="auto" w:fill="auto"/>
            <w:vAlign w:val="bottom"/>
          </w:tcPr>
          <w:p w14:paraId="27E0736E" w14:textId="77777777" w:rsidR="00A85061" w:rsidRDefault="00A85061">
            <w:pPr>
              <w:rPr>
                <w:rFonts w:ascii="宋体"/>
              </w:rPr>
            </w:pPr>
          </w:p>
        </w:tc>
        <w:tc>
          <w:tcPr>
            <w:tcW w:w="5" w:type="pct"/>
            <w:shd w:val="clear" w:color="auto" w:fill="auto"/>
            <w:vAlign w:val="bottom"/>
          </w:tcPr>
          <w:p w14:paraId="27E0736F" w14:textId="77777777" w:rsidR="00A85061" w:rsidRDefault="00A85061">
            <w:pPr>
              <w:rPr>
                <w:rFonts w:ascii="宋体"/>
              </w:rPr>
            </w:pPr>
          </w:p>
        </w:tc>
        <w:tc>
          <w:tcPr>
            <w:tcW w:w="5" w:type="pct"/>
            <w:shd w:val="clear" w:color="auto" w:fill="auto"/>
            <w:vAlign w:val="bottom"/>
          </w:tcPr>
          <w:p w14:paraId="27E07370" w14:textId="77777777" w:rsidR="00A85061" w:rsidRDefault="00A85061">
            <w:pPr>
              <w:rPr>
                <w:rFonts w:ascii="宋体"/>
              </w:rPr>
            </w:pPr>
          </w:p>
        </w:tc>
        <w:tc>
          <w:tcPr>
            <w:tcW w:w="121" w:type="pct"/>
            <w:shd w:val="clear" w:color="auto" w:fill="auto"/>
            <w:vAlign w:val="bottom"/>
          </w:tcPr>
          <w:p w14:paraId="27E07371" w14:textId="77777777" w:rsidR="00A85061" w:rsidRDefault="00A85061">
            <w:pPr>
              <w:rPr>
                <w:rFonts w:ascii="宋体"/>
              </w:rPr>
            </w:pPr>
          </w:p>
        </w:tc>
        <w:tc>
          <w:tcPr>
            <w:tcW w:w="5" w:type="pct"/>
            <w:shd w:val="clear" w:color="auto" w:fill="auto"/>
            <w:vAlign w:val="bottom"/>
          </w:tcPr>
          <w:p w14:paraId="27E07372" w14:textId="77777777" w:rsidR="00A85061" w:rsidRDefault="00A85061">
            <w:pPr>
              <w:rPr>
                <w:rFonts w:ascii="宋体"/>
              </w:rPr>
            </w:pPr>
          </w:p>
        </w:tc>
        <w:tc>
          <w:tcPr>
            <w:tcW w:w="50" w:type="pct"/>
            <w:shd w:val="clear" w:color="auto" w:fill="auto"/>
            <w:vAlign w:val="bottom"/>
          </w:tcPr>
          <w:p w14:paraId="27E07373" w14:textId="77777777" w:rsidR="00A85061" w:rsidRDefault="00A85061">
            <w:pPr>
              <w:rPr>
                <w:rFonts w:ascii="宋体"/>
              </w:rPr>
            </w:pPr>
          </w:p>
        </w:tc>
        <w:tc>
          <w:tcPr>
            <w:tcW w:w="867" w:type="pct"/>
            <w:shd w:val="clear" w:color="auto" w:fill="auto"/>
            <w:vAlign w:val="bottom"/>
          </w:tcPr>
          <w:p w14:paraId="27E07374" w14:textId="77777777" w:rsidR="00A85061" w:rsidRDefault="00A85061">
            <w:pPr>
              <w:rPr>
                <w:rFonts w:ascii="宋体"/>
              </w:rPr>
            </w:pPr>
          </w:p>
        </w:tc>
        <w:tc>
          <w:tcPr>
            <w:tcW w:w="5" w:type="pct"/>
            <w:shd w:val="clear" w:color="auto" w:fill="auto"/>
            <w:vAlign w:val="bottom"/>
          </w:tcPr>
          <w:p w14:paraId="27E07375" w14:textId="77777777" w:rsidR="00A85061" w:rsidRDefault="00A85061">
            <w:pPr>
              <w:rPr>
                <w:rFonts w:ascii="宋体"/>
              </w:rPr>
            </w:pPr>
          </w:p>
        </w:tc>
        <w:tc>
          <w:tcPr>
            <w:tcW w:w="5" w:type="pct"/>
            <w:shd w:val="clear" w:color="auto" w:fill="auto"/>
            <w:vAlign w:val="bottom"/>
          </w:tcPr>
          <w:p w14:paraId="27E07376" w14:textId="77777777" w:rsidR="00A85061" w:rsidRDefault="00A85061">
            <w:pPr>
              <w:rPr>
                <w:rFonts w:ascii="宋体"/>
              </w:rPr>
            </w:pPr>
          </w:p>
        </w:tc>
        <w:tc>
          <w:tcPr>
            <w:tcW w:w="121" w:type="pct"/>
            <w:shd w:val="clear" w:color="auto" w:fill="auto"/>
            <w:vAlign w:val="bottom"/>
          </w:tcPr>
          <w:p w14:paraId="27E07377" w14:textId="77777777" w:rsidR="00A85061" w:rsidRDefault="00A85061">
            <w:pPr>
              <w:rPr>
                <w:rFonts w:ascii="宋体"/>
              </w:rPr>
            </w:pPr>
          </w:p>
        </w:tc>
        <w:tc>
          <w:tcPr>
            <w:tcW w:w="5" w:type="pct"/>
            <w:shd w:val="clear" w:color="auto" w:fill="auto"/>
            <w:vAlign w:val="bottom"/>
          </w:tcPr>
          <w:p w14:paraId="27E07378" w14:textId="77777777" w:rsidR="00A85061" w:rsidRDefault="00A85061">
            <w:pPr>
              <w:rPr>
                <w:rFonts w:ascii="宋体"/>
              </w:rPr>
            </w:pPr>
          </w:p>
        </w:tc>
      </w:tr>
      <w:tr w:rsidR="00A85061" w14:paraId="27E07384" w14:textId="77777777">
        <w:tc>
          <w:tcPr>
            <w:tcW w:w="0" w:type="auto"/>
            <w:gridSpan w:val="3"/>
            <w:shd w:val="clear" w:color="auto" w:fill="auto"/>
            <w:tcMar>
              <w:top w:w="40" w:type="dxa"/>
              <w:left w:w="20" w:type="dxa"/>
              <w:bottom w:w="40" w:type="dxa"/>
              <w:right w:w="20" w:type="dxa"/>
            </w:tcMar>
            <w:vAlign w:val="bottom"/>
          </w:tcPr>
          <w:p w14:paraId="27E0737A" w14:textId="77777777" w:rsidR="00A85061" w:rsidRDefault="00F04891">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27E0737B" w14:textId="77777777" w:rsidR="00A85061" w:rsidRDefault="00F04891">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7E0737C" w14:textId="77777777" w:rsidR="00A85061" w:rsidRDefault="00F04891">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27E0737D" w14:textId="77777777" w:rsidR="00A85061" w:rsidRDefault="00F04891">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7E0737E" w14:textId="77777777" w:rsidR="00A85061" w:rsidRDefault="00F04891">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27E0737F" w14:textId="77777777" w:rsidR="00A85061" w:rsidRDefault="00F04891">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7E07380" w14:textId="77777777" w:rsidR="00A85061" w:rsidRDefault="00F04891">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27E07381" w14:textId="77777777" w:rsidR="00A85061" w:rsidRDefault="00F04891">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27E07382" w14:textId="77777777" w:rsidR="00A85061" w:rsidRDefault="00F04891">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27E07383" w14:textId="77777777" w:rsidR="00A85061" w:rsidRDefault="00F04891">
            <w:pPr>
              <w:jc w:val="center"/>
              <w:textAlignment w:val="bottom"/>
            </w:pPr>
            <w:r>
              <w:rPr>
                <w:rFonts w:ascii="Times New Roman" w:eastAsia="宋体" w:hAnsi="Times New Roman"/>
                <w:color w:val="000000"/>
                <w:sz w:val="20"/>
                <w:szCs w:val="20"/>
              </w:rPr>
              <w:t>☐</w:t>
            </w:r>
          </w:p>
        </w:tc>
      </w:tr>
    </w:tbl>
    <w:p w14:paraId="27E07385" w14:textId="77777777" w:rsidR="00A85061" w:rsidRDefault="00F04891">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27E07386" w14:textId="77777777" w:rsidR="00A85061" w:rsidRDefault="00F04891">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27E07387" w14:textId="77777777" w:rsidR="00A85061" w:rsidRDefault="00F04891">
      <w:pPr>
        <w:jc w:val="both"/>
      </w:pPr>
      <w:r>
        <w:rPr>
          <w:rFonts w:ascii="sans-serif" w:eastAsia="sans-serif" w:hAnsi="sans-serif" w:cs="sans-serif"/>
          <w:color w:val="000000"/>
          <w:sz w:val="18"/>
          <w:szCs w:val="18"/>
        </w:rPr>
        <w:t>The number of shares of common stock, $0.001 par value, outstanding as of May 21, 2021, was 623 million.</w:t>
      </w:r>
    </w:p>
    <w:p w14:paraId="27E07388" w14:textId="77777777" w:rsidR="00A85061" w:rsidRDefault="00A85061">
      <w:pPr>
        <w:spacing w:after="180"/>
        <w:jc w:val="both"/>
      </w:pPr>
    </w:p>
    <w:p w14:paraId="27E07389" w14:textId="77777777" w:rsidR="00A85061" w:rsidRDefault="00F04891">
      <w:r>
        <w:pict w14:anchorId="27E08EF2">
          <v:rect id="_x0000_i1025" style="width:415.3pt;height:1.5pt" o:hralign="center" o:hrstd="t" o:hr="t" fillcolor="#a0a0a0" stroked="f"/>
        </w:pict>
      </w:r>
    </w:p>
    <w:p w14:paraId="27E0738A" w14:textId="77777777" w:rsidR="00A85061" w:rsidRDefault="00A85061">
      <w:pPr>
        <w:spacing w:after="180"/>
        <w:jc w:val="both"/>
      </w:pPr>
    </w:p>
    <w:p w14:paraId="27E0738B" w14:textId="77777777" w:rsidR="00A85061" w:rsidRDefault="00F04891">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27E0738C" w14:textId="77777777" w:rsidR="00A85061" w:rsidRDefault="00F04891">
      <w:pPr>
        <w:jc w:val="center"/>
      </w:pPr>
      <w:r>
        <w:rPr>
          <w:rFonts w:ascii="sans-serif" w:eastAsia="sans-serif" w:hAnsi="sans-serif" w:cs="sans-serif"/>
          <w:b/>
          <w:bCs/>
          <w:color w:val="000000"/>
          <w:sz w:val="20"/>
          <w:szCs w:val="20"/>
        </w:rPr>
        <w:t>FORM 10-Q</w:t>
      </w:r>
    </w:p>
    <w:p w14:paraId="27E0738D" w14:textId="77777777" w:rsidR="00A85061" w:rsidRDefault="00F04891">
      <w:pPr>
        <w:spacing w:after="180"/>
        <w:jc w:val="center"/>
      </w:pPr>
      <w:r>
        <w:rPr>
          <w:rFonts w:ascii="sans-serif" w:eastAsia="sans-serif" w:hAnsi="sans-serif" w:cs="sans-serif"/>
          <w:b/>
          <w:bCs/>
          <w:color w:val="000000"/>
          <w:sz w:val="20"/>
          <w:szCs w:val="20"/>
        </w:rPr>
        <w:t xml:space="preserve">FOR THE QUARTER ENDED May 2, 2021 </w:t>
      </w:r>
    </w:p>
    <w:p w14:paraId="27E0738E" w14:textId="77777777" w:rsidR="00A85061" w:rsidRDefault="00F04891">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A85061" w14:paraId="27E07398" w14:textId="77777777">
        <w:trPr>
          <w:jc w:val="center"/>
        </w:trPr>
        <w:tc>
          <w:tcPr>
            <w:tcW w:w="50" w:type="pct"/>
            <w:shd w:val="clear" w:color="auto" w:fill="auto"/>
            <w:vAlign w:val="bottom"/>
          </w:tcPr>
          <w:p w14:paraId="27E0738F" w14:textId="77777777" w:rsidR="00A85061" w:rsidRDefault="00A85061">
            <w:pPr>
              <w:rPr>
                <w:rFonts w:ascii="宋体"/>
              </w:rPr>
            </w:pPr>
          </w:p>
        </w:tc>
        <w:tc>
          <w:tcPr>
            <w:tcW w:w="442" w:type="pct"/>
            <w:shd w:val="clear" w:color="auto" w:fill="auto"/>
            <w:vAlign w:val="bottom"/>
          </w:tcPr>
          <w:p w14:paraId="27E07390" w14:textId="77777777" w:rsidR="00A85061" w:rsidRDefault="00A85061">
            <w:pPr>
              <w:rPr>
                <w:rFonts w:ascii="宋体"/>
              </w:rPr>
            </w:pPr>
          </w:p>
        </w:tc>
        <w:tc>
          <w:tcPr>
            <w:tcW w:w="5" w:type="pct"/>
            <w:shd w:val="clear" w:color="auto" w:fill="auto"/>
            <w:vAlign w:val="bottom"/>
          </w:tcPr>
          <w:p w14:paraId="27E07391" w14:textId="77777777" w:rsidR="00A85061" w:rsidRDefault="00A85061">
            <w:pPr>
              <w:rPr>
                <w:rFonts w:ascii="宋体"/>
              </w:rPr>
            </w:pPr>
          </w:p>
        </w:tc>
        <w:tc>
          <w:tcPr>
            <w:tcW w:w="50" w:type="pct"/>
            <w:shd w:val="clear" w:color="auto" w:fill="auto"/>
            <w:vAlign w:val="bottom"/>
          </w:tcPr>
          <w:p w14:paraId="27E07392" w14:textId="77777777" w:rsidR="00A85061" w:rsidRDefault="00A85061">
            <w:pPr>
              <w:rPr>
                <w:rFonts w:ascii="宋体"/>
              </w:rPr>
            </w:pPr>
          </w:p>
        </w:tc>
        <w:tc>
          <w:tcPr>
            <w:tcW w:w="4053" w:type="pct"/>
            <w:shd w:val="clear" w:color="auto" w:fill="auto"/>
            <w:vAlign w:val="bottom"/>
          </w:tcPr>
          <w:p w14:paraId="27E07393" w14:textId="77777777" w:rsidR="00A85061" w:rsidRDefault="00A85061">
            <w:pPr>
              <w:rPr>
                <w:rFonts w:ascii="宋体"/>
              </w:rPr>
            </w:pPr>
          </w:p>
        </w:tc>
        <w:tc>
          <w:tcPr>
            <w:tcW w:w="5" w:type="pct"/>
            <w:shd w:val="clear" w:color="auto" w:fill="auto"/>
            <w:vAlign w:val="bottom"/>
          </w:tcPr>
          <w:p w14:paraId="27E07394" w14:textId="77777777" w:rsidR="00A85061" w:rsidRDefault="00A85061">
            <w:pPr>
              <w:rPr>
                <w:rFonts w:ascii="宋体"/>
              </w:rPr>
            </w:pPr>
          </w:p>
        </w:tc>
        <w:tc>
          <w:tcPr>
            <w:tcW w:w="50" w:type="pct"/>
            <w:shd w:val="clear" w:color="auto" w:fill="auto"/>
            <w:vAlign w:val="bottom"/>
          </w:tcPr>
          <w:p w14:paraId="27E07395" w14:textId="77777777" w:rsidR="00A85061" w:rsidRDefault="00A85061">
            <w:pPr>
              <w:rPr>
                <w:rFonts w:ascii="宋体"/>
              </w:rPr>
            </w:pPr>
          </w:p>
        </w:tc>
        <w:tc>
          <w:tcPr>
            <w:tcW w:w="338" w:type="pct"/>
            <w:shd w:val="clear" w:color="auto" w:fill="auto"/>
            <w:vAlign w:val="bottom"/>
          </w:tcPr>
          <w:p w14:paraId="27E07396" w14:textId="77777777" w:rsidR="00A85061" w:rsidRDefault="00A85061">
            <w:pPr>
              <w:rPr>
                <w:rFonts w:ascii="宋体"/>
              </w:rPr>
            </w:pPr>
          </w:p>
        </w:tc>
        <w:tc>
          <w:tcPr>
            <w:tcW w:w="5" w:type="pct"/>
            <w:shd w:val="clear" w:color="auto" w:fill="auto"/>
            <w:vAlign w:val="bottom"/>
          </w:tcPr>
          <w:p w14:paraId="27E07397" w14:textId="77777777" w:rsidR="00A85061" w:rsidRDefault="00A85061">
            <w:pPr>
              <w:rPr>
                <w:rFonts w:ascii="宋体"/>
              </w:rPr>
            </w:pPr>
          </w:p>
        </w:tc>
      </w:tr>
      <w:tr w:rsidR="00A85061" w14:paraId="27E0739C" w14:textId="77777777">
        <w:trPr>
          <w:jc w:val="center"/>
        </w:trPr>
        <w:tc>
          <w:tcPr>
            <w:tcW w:w="0" w:type="auto"/>
            <w:gridSpan w:val="3"/>
            <w:shd w:val="clear" w:color="auto" w:fill="auto"/>
            <w:tcMar>
              <w:top w:w="40" w:type="dxa"/>
              <w:left w:w="20" w:type="dxa"/>
              <w:bottom w:w="40" w:type="dxa"/>
              <w:right w:w="20" w:type="dxa"/>
            </w:tcMar>
            <w:vAlign w:val="bottom"/>
          </w:tcPr>
          <w:p w14:paraId="27E07399"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9A"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9B" w14:textId="77777777" w:rsidR="00A85061" w:rsidRDefault="00F04891">
            <w:pPr>
              <w:jc w:val="right"/>
              <w:textAlignment w:val="bottom"/>
            </w:pPr>
            <w:r>
              <w:rPr>
                <w:rFonts w:ascii="sans-serif" w:eastAsia="sans-serif" w:hAnsi="sans-serif" w:cs="sans-serif"/>
                <w:b/>
                <w:bCs/>
                <w:color w:val="000000"/>
                <w:sz w:val="20"/>
                <w:szCs w:val="20"/>
              </w:rPr>
              <w:t>Page</w:t>
            </w:r>
          </w:p>
        </w:tc>
      </w:tr>
      <w:tr w:rsidR="00A85061" w14:paraId="27E073A0" w14:textId="77777777">
        <w:trPr>
          <w:jc w:val="center"/>
        </w:trPr>
        <w:tc>
          <w:tcPr>
            <w:tcW w:w="0" w:type="auto"/>
            <w:gridSpan w:val="3"/>
            <w:shd w:val="clear" w:color="auto" w:fill="auto"/>
            <w:tcMar>
              <w:top w:w="40" w:type="dxa"/>
              <w:left w:w="20" w:type="dxa"/>
              <w:bottom w:w="40" w:type="dxa"/>
              <w:right w:w="20" w:type="dxa"/>
            </w:tcMar>
            <w:vAlign w:val="bottom"/>
          </w:tcPr>
          <w:p w14:paraId="27E0739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9E" w14:textId="77777777" w:rsidR="00A85061" w:rsidRDefault="00F04891">
            <w:pPr>
              <w:jc w:val="center"/>
              <w:textAlignment w:val="bottom"/>
            </w:pPr>
            <w:hyperlink r:id="rId7" w:anchor="idb925b80a80a4e3981aed48c566e83cb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27E0739F" w14:textId="77777777" w:rsidR="00A85061" w:rsidRDefault="00F04891">
            <w:pPr>
              <w:jc w:val="right"/>
              <w:textAlignment w:val="bottom"/>
            </w:pPr>
            <w:r>
              <w:rPr>
                <w:rFonts w:ascii="sans-serif" w:eastAsia="sans-serif" w:hAnsi="sans-serif" w:cs="sans-serif"/>
                <w:color w:val="000000"/>
                <w:sz w:val="20"/>
                <w:szCs w:val="20"/>
              </w:rPr>
              <w:t> </w:t>
            </w:r>
          </w:p>
        </w:tc>
      </w:tr>
      <w:tr w:rsidR="00A85061" w14:paraId="27E073A4"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A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A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A3" w14:textId="77777777" w:rsidR="00A85061" w:rsidRDefault="00A85061">
            <w:pPr>
              <w:rPr>
                <w:rFonts w:ascii="宋体"/>
              </w:rPr>
            </w:pPr>
          </w:p>
        </w:tc>
      </w:tr>
      <w:tr w:rsidR="00A85061" w14:paraId="27E073A8" w14:textId="77777777">
        <w:trPr>
          <w:jc w:val="center"/>
        </w:trPr>
        <w:tc>
          <w:tcPr>
            <w:tcW w:w="0" w:type="auto"/>
            <w:gridSpan w:val="3"/>
            <w:shd w:val="clear" w:color="auto" w:fill="auto"/>
            <w:tcMar>
              <w:top w:w="40" w:type="dxa"/>
              <w:left w:w="20" w:type="dxa"/>
              <w:bottom w:w="40" w:type="dxa"/>
              <w:right w:w="20" w:type="dxa"/>
            </w:tcMar>
            <w:vAlign w:val="bottom"/>
          </w:tcPr>
          <w:p w14:paraId="27E073A5" w14:textId="77777777" w:rsidR="00A85061" w:rsidRDefault="00F04891">
            <w:pPr>
              <w:textAlignment w:val="bottom"/>
            </w:pPr>
            <w:hyperlink r:id="rId8" w:anchor="idb925b80a80a4e3981aed48c566e83cb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27E073A6" w14:textId="77777777" w:rsidR="00A85061" w:rsidRDefault="00F04891">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27E073A7" w14:textId="77777777" w:rsidR="00A85061" w:rsidRDefault="00F04891">
            <w:pPr>
              <w:textAlignment w:val="bottom"/>
            </w:pPr>
            <w:r>
              <w:rPr>
                <w:rFonts w:ascii="sans-serif" w:eastAsia="sans-serif" w:hAnsi="sans-serif" w:cs="sans-serif"/>
                <w:color w:val="000000"/>
                <w:sz w:val="20"/>
                <w:szCs w:val="20"/>
              </w:rPr>
              <w:t> </w:t>
            </w:r>
          </w:p>
        </w:tc>
      </w:tr>
      <w:tr w:rsidR="00A85061" w14:paraId="27E073A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A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A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AB" w14:textId="77777777" w:rsidR="00A85061" w:rsidRDefault="00A85061">
            <w:pPr>
              <w:rPr>
                <w:rFonts w:ascii="宋体"/>
              </w:rPr>
            </w:pPr>
          </w:p>
        </w:tc>
      </w:tr>
      <w:tr w:rsidR="00A85061" w14:paraId="27E073B0" w14:textId="77777777">
        <w:trPr>
          <w:jc w:val="center"/>
        </w:trPr>
        <w:tc>
          <w:tcPr>
            <w:tcW w:w="0" w:type="auto"/>
            <w:gridSpan w:val="3"/>
            <w:shd w:val="clear" w:color="auto" w:fill="auto"/>
            <w:tcMar>
              <w:top w:w="40" w:type="dxa"/>
              <w:left w:w="20" w:type="dxa"/>
              <w:bottom w:w="40" w:type="dxa"/>
              <w:right w:w="20" w:type="dxa"/>
            </w:tcMar>
            <w:vAlign w:val="bottom"/>
          </w:tcPr>
          <w:p w14:paraId="27E073A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AE" w14:textId="77777777" w:rsidR="00A85061" w:rsidRDefault="00F04891">
            <w:pPr>
              <w:jc w:val="both"/>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months ended May 2, 2021 and April 26, 2020</w:t>
            </w:r>
          </w:p>
        </w:tc>
        <w:tc>
          <w:tcPr>
            <w:tcW w:w="0" w:type="auto"/>
            <w:gridSpan w:val="3"/>
            <w:shd w:val="clear" w:color="auto" w:fill="auto"/>
            <w:tcMar>
              <w:top w:w="40" w:type="dxa"/>
              <w:left w:w="20" w:type="dxa"/>
              <w:bottom w:w="40" w:type="dxa"/>
              <w:right w:w="20" w:type="dxa"/>
            </w:tcMar>
            <w:vAlign w:val="bottom"/>
          </w:tcPr>
          <w:p w14:paraId="27E073AF" w14:textId="77777777" w:rsidR="00A85061" w:rsidRDefault="00F04891">
            <w:pPr>
              <w:jc w:val="right"/>
              <w:textAlignment w:val="bottom"/>
            </w:pPr>
            <w:hyperlink r:id="rId9" w:anchor="idb925b80a80a4e3981aed48c566e83cb_16" w:history="1">
              <w:r>
                <w:rPr>
                  <w:rStyle w:val="a5"/>
                  <w:rFonts w:ascii="sans-serif" w:eastAsia="sans-serif" w:hAnsi="sans-serif" w:cs="sans-serif"/>
                  <w:sz w:val="20"/>
                  <w:szCs w:val="20"/>
                </w:rPr>
                <w:t>3</w:t>
              </w:r>
            </w:hyperlink>
          </w:p>
        </w:tc>
      </w:tr>
      <w:tr w:rsidR="00A85061" w14:paraId="27E073B4" w14:textId="77777777">
        <w:trPr>
          <w:jc w:val="center"/>
          <w:hidden/>
        </w:trPr>
        <w:tc>
          <w:tcPr>
            <w:tcW w:w="0" w:type="auto"/>
            <w:gridSpan w:val="3"/>
            <w:shd w:val="clear" w:color="auto" w:fill="auto"/>
            <w:vAlign w:val="bottom"/>
          </w:tcPr>
          <w:p w14:paraId="27E073B1" w14:textId="77777777" w:rsidR="00A85061" w:rsidRDefault="00A85061">
            <w:pPr>
              <w:rPr>
                <w:rFonts w:ascii="宋体"/>
                <w:vanish/>
              </w:rPr>
            </w:pPr>
          </w:p>
        </w:tc>
        <w:tc>
          <w:tcPr>
            <w:tcW w:w="0" w:type="auto"/>
            <w:gridSpan w:val="3"/>
            <w:shd w:val="clear" w:color="auto" w:fill="auto"/>
            <w:vAlign w:val="bottom"/>
          </w:tcPr>
          <w:p w14:paraId="27E073B2" w14:textId="77777777" w:rsidR="00A85061" w:rsidRDefault="00A85061">
            <w:pPr>
              <w:rPr>
                <w:rFonts w:ascii="宋体"/>
                <w:vanish/>
              </w:rPr>
            </w:pPr>
          </w:p>
        </w:tc>
        <w:tc>
          <w:tcPr>
            <w:tcW w:w="0" w:type="auto"/>
            <w:gridSpan w:val="3"/>
            <w:shd w:val="clear" w:color="auto" w:fill="auto"/>
            <w:vAlign w:val="bottom"/>
          </w:tcPr>
          <w:p w14:paraId="27E073B3" w14:textId="77777777" w:rsidR="00A85061" w:rsidRDefault="00A85061">
            <w:pPr>
              <w:rPr>
                <w:rFonts w:ascii="宋体"/>
                <w:vanish/>
              </w:rPr>
            </w:pPr>
          </w:p>
        </w:tc>
      </w:tr>
      <w:tr w:rsidR="00A85061" w14:paraId="27E073B8" w14:textId="77777777">
        <w:trPr>
          <w:jc w:val="center"/>
        </w:trPr>
        <w:tc>
          <w:tcPr>
            <w:tcW w:w="0" w:type="auto"/>
            <w:gridSpan w:val="3"/>
            <w:shd w:val="clear" w:color="auto" w:fill="auto"/>
            <w:tcMar>
              <w:top w:w="0" w:type="dxa"/>
              <w:left w:w="20" w:type="dxa"/>
              <w:bottom w:w="0" w:type="dxa"/>
              <w:right w:w="20" w:type="dxa"/>
            </w:tcMar>
            <w:vAlign w:val="bottom"/>
          </w:tcPr>
          <w:p w14:paraId="27E073B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3B6" w14:textId="77777777" w:rsidR="00A85061" w:rsidRDefault="00F04891">
            <w:pPr>
              <w:jc w:val="both"/>
              <w:textAlignment w:val="bottom"/>
            </w:pPr>
            <w:r>
              <w:rPr>
                <w:rFonts w:ascii="sans-serif" w:eastAsia="sans-serif" w:hAnsi="sans-serif" w:cs="sans-serif"/>
                <w:color w:val="000000"/>
                <w:sz w:val="20"/>
                <w:szCs w:val="20"/>
              </w:rPr>
              <w:t xml:space="preserve">b) Condensed </w:t>
            </w:r>
            <w:r>
              <w:rPr>
                <w:rFonts w:ascii="sans-serif" w:eastAsia="sans-serif" w:hAnsi="sans-serif" w:cs="sans-serif"/>
                <w:color w:val="000000"/>
                <w:sz w:val="20"/>
                <w:szCs w:val="20"/>
              </w:rPr>
              <w:t>Consolidated Statements of Comprehensive Income for the three months ended May 2, 2021 and April 26, 2020</w:t>
            </w:r>
          </w:p>
        </w:tc>
        <w:tc>
          <w:tcPr>
            <w:tcW w:w="0" w:type="auto"/>
            <w:gridSpan w:val="3"/>
            <w:shd w:val="clear" w:color="auto" w:fill="auto"/>
            <w:tcMar>
              <w:top w:w="40" w:type="dxa"/>
              <w:left w:w="20" w:type="dxa"/>
              <w:bottom w:w="40" w:type="dxa"/>
              <w:right w:w="20" w:type="dxa"/>
            </w:tcMar>
            <w:vAlign w:val="bottom"/>
          </w:tcPr>
          <w:p w14:paraId="27E073B7" w14:textId="77777777" w:rsidR="00A85061" w:rsidRDefault="00F04891">
            <w:pPr>
              <w:jc w:val="right"/>
              <w:textAlignment w:val="bottom"/>
            </w:pPr>
            <w:hyperlink r:id="rId10" w:anchor="idb925b80a80a4e3981aed48c566e83cb_19" w:history="1">
              <w:r>
                <w:rPr>
                  <w:rStyle w:val="a5"/>
                  <w:rFonts w:ascii="sans-serif" w:eastAsia="sans-serif" w:hAnsi="sans-serif" w:cs="sans-serif"/>
                  <w:sz w:val="20"/>
                  <w:szCs w:val="20"/>
                </w:rPr>
                <w:t>4</w:t>
              </w:r>
            </w:hyperlink>
          </w:p>
        </w:tc>
      </w:tr>
      <w:tr w:rsidR="00A85061" w14:paraId="27E073BC" w14:textId="77777777">
        <w:trPr>
          <w:jc w:val="center"/>
          <w:hidden/>
        </w:trPr>
        <w:tc>
          <w:tcPr>
            <w:tcW w:w="0" w:type="auto"/>
            <w:gridSpan w:val="3"/>
            <w:shd w:val="clear" w:color="auto" w:fill="auto"/>
            <w:vAlign w:val="bottom"/>
          </w:tcPr>
          <w:p w14:paraId="27E073B9" w14:textId="77777777" w:rsidR="00A85061" w:rsidRDefault="00A85061">
            <w:pPr>
              <w:rPr>
                <w:rFonts w:ascii="宋体"/>
                <w:vanish/>
              </w:rPr>
            </w:pPr>
          </w:p>
        </w:tc>
        <w:tc>
          <w:tcPr>
            <w:tcW w:w="0" w:type="auto"/>
            <w:gridSpan w:val="3"/>
            <w:shd w:val="clear" w:color="auto" w:fill="auto"/>
            <w:vAlign w:val="bottom"/>
          </w:tcPr>
          <w:p w14:paraId="27E073BA" w14:textId="77777777" w:rsidR="00A85061" w:rsidRDefault="00A85061">
            <w:pPr>
              <w:rPr>
                <w:rFonts w:ascii="宋体"/>
                <w:vanish/>
              </w:rPr>
            </w:pPr>
          </w:p>
        </w:tc>
        <w:tc>
          <w:tcPr>
            <w:tcW w:w="0" w:type="auto"/>
            <w:gridSpan w:val="3"/>
            <w:shd w:val="clear" w:color="auto" w:fill="auto"/>
            <w:vAlign w:val="bottom"/>
          </w:tcPr>
          <w:p w14:paraId="27E073BB" w14:textId="77777777" w:rsidR="00A85061" w:rsidRDefault="00A85061">
            <w:pPr>
              <w:rPr>
                <w:rFonts w:ascii="宋体"/>
                <w:vanish/>
              </w:rPr>
            </w:pPr>
          </w:p>
        </w:tc>
      </w:tr>
      <w:tr w:rsidR="00A85061" w14:paraId="27E073C0" w14:textId="77777777">
        <w:trPr>
          <w:jc w:val="center"/>
        </w:trPr>
        <w:tc>
          <w:tcPr>
            <w:tcW w:w="0" w:type="auto"/>
            <w:gridSpan w:val="3"/>
            <w:shd w:val="clear" w:color="auto" w:fill="auto"/>
            <w:tcMar>
              <w:top w:w="40" w:type="dxa"/>
              <w:left w:w="20" w:type="dxa"/>
              <w:bottom w:w="40" w:type="dxa"/>
              <w:right w:w="20" w:type="dxa"/>
            </w:tcMar>
            <w:vAlign w:val="bottom"/>
          </w:tcPr>
          <w:p w14:paraId="27E073B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BE" w14:textId="77777777" w:rsidR="00A85061" w:rsidRDefault="00F04891">
            <w:pPr>
              <w:jc w:val="both"/>
              <w:textAlignment w:val="bottom"/>
            </w:pPr>
            <w:r>
              <w:rPr>
                <w:rFonts w:ascii="sans-serif" w:eastAsia="sans-serif" w:hAnsi="sans-serif" w:cs="sans-serif"/>
                <w:color w:val="000000"/>
                <w:sz w:val="20"/>
                <w:szCs w:val="20"/>
              </w:rPr>
              <w:t>c) Condensed Consolidated Balance Sheets as of May 2, 2021 and January 31, 2021</w:t>
            </w:r>
          </w:p>
        </w:tc>
        <w:tc>
          <w:tcPr>
            <w:tcW w:w="0" w:type="auto"/>
            <w:gridSpan w:val="3"/>
            <w:shd w:val="clear" w:color="auto" w:fill="auto"/>
            <w:tcMar>
              <w:top w:w="40" w:type="dxa"/>
              <w:left w:w="20" w:type="dxa"/>
              <w:bottom w:w="40" w:type="dxa"/>
              <w:right w:w="20" w:type="dxa"/>
            </w:tcMar>
            <w:vAlign w:val="bottom"/>
          </w:tcPr>
          <w:p w14:paraId="27E073BF" w14:textId="77777777" w:rsidR="00A85061" w:rsidRDefault="00F04891">
            <w:pPr>
              <w:jc w:val="right"/>
              <w:textAlignment w:val="bottom"/>
            </w:pPr>
            <w:hyperlink r:id="rId11" w:anchor="idb925b80a80a4e3981aed48c566e83cb_22" w:history="1">
              <w:r>
                <w:rPr>
                  <w:rStyle w:val="a5"/>
                  <w:rFonts w:ascii="sans-serif" w:eastAsia="sans-serif" w:hAnsi="sans-serif" w:cs="sans-serif"/>
                  <w:sz w:val="20"/>
                  <w:szCs w:val="20"/>
                </w:rPr>
                <w:t>5</w:t>
              </w:r>
            </w:hyperlink>
          </w:p>
        </w:tc>
      </w:tr>
      <w:tr w:rsidR="00A85061" w14:paraId="27E073C4" w14:textId="77777777">
        <w:trPr>
          <w:jc w:val="center"/>
          <w:hidden/>
        </w:trPr>
        <w:tc>
          <w:tcPr>
            <w:tcW w:w="0" w:type="auto"/>
            <w:gridSpan w:val="3"/>
            <w:shd w:val="clear" w:color="auto" w:fill="auto"/>
            <w:vAlign w:val="bottom"/>
          </w:tcPr>
          <w:p w14:paraId="27E073C1" w14:textId="77777777" w:rsidR="00A85061" w:rsidRDefault="00A85061">
            <w:pPr>
              <w:rPr>
                <w:rFonts w:ascii="宋体"/>
                <w:vanish/>
              </w:rPr>
            </w:pPr>
          </w:p>
        </w:tc>
        <w:tc>
          <w:tcPr>
            <w:tcW w:w="0" w:type="auto"/>
            <w:gridSpan w:val="3"/>
            <w:shd w:val="clear" w:color="auto" w:fill="auto"/>
            <w:vAlign w:val="bottom"/>
          </w:tcPr>
          <w:p w14:paraId="27E073C2" w14:textId="77777777" w:rsidR="00A85061" w:rsidRDefault="00A85061">
            <w:pPr>
              <w:rPr>
                <w:rFonts w:ascii="宋体"/>
                <w:vanish/>
              </w:rPr>
            </w:pPr>
          </w:p>
        </w:tc>
        <w:tc>
          <w:tcPr>
            <w:tcW w:w="0" w:type="auto"/>
            <w:gridSpan w:val="3"/>
            <w:shd w:val="clear" w:color="auto" w:fill="auto"/>
            <w:vAlign w:val="bottom"/>
          </w:tcPr>
          <w:p w14:paraId="27E073C3" w14:textId="77777777" w:rsidR="00A85061" w:rsidRDefault="00A85061">
            <w:pPr>
              <w:rPr>
                <w:rFonts w:ascii="宋体"/>
                <w:vanish/>
              </w:rPr>
            </w:pPr>
          </w:p>
        </w:tc>
      </w:tr>
      <w:tr w:rsidR="00A85061" w14:paraId="27E073C8" w14:textId="77777777">
        <w:trPr>
          <w:jc w:val="center"/>
        </w:trPr>
        <w:tc>
          <w:tcPr>
            <w:tcW w:w="0" w:type="auto"/>
            <w:gridSpan w:val="3"/>
            <w:shd w:val="clear" w:color="auto" w:fill="auto"/>
            <w:tcMar>
              <w:top w:w="0" w:type="dxa"/>
              <w:left w:w="20" w:type="dxa"/>
              <w:bottom w:w="0" w:type="dxa"/>
              <w:right w:w="20" w:type="dxa"/>
            </w:tcMar>
            <w:vAlign w:val="bottom"/>
          </w:tcPr>
          <w:p w14:paraId="27E073C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3C6" w14:textId="77777777" w:rsidR="00A85061" w:rsidRDefault="00F04891">
            <w:pPr>
              <w:jc w:val="both"/>
              <w:textAlignment w:val="bottom"/>
            </w:pPr>
            <w:r>
              <w:rPr>
                <w:rFonts w:ascii="sans-serif" w:eastAsia="sans-serif" w:hAnsi="sans-serif" w:cs="sans-serif"/>
                <w:color w:val="000000"/>
                <w:sz w:val="20"/>
                <w:szCs w:val="20"/>
              </w:rPr>
              <w:t>d) Condensed Consolidated Statements of Shareholders' Equity for the three months ended May 2,</w:t>
            </w:r>
            <w:r>
              <w:rPr>
                <w:rFonts w:ascii="sans-serif" w:eastAsia="sans-serif" w:hAnsi="sans-serif" w:cs="sans-serif"/>
                <w:color w:val="000000"/>
                <w:sz w:val="20"/>
                <w:szCs w:val="20"/>
              </w:rPr>
              <w:t xml:space="preserve"> 2021 and April 26, 2020</w:t>
            </w:r>
          </w:p>
        </w:tc>
        <w:tc>
          <w:tcPr>
            <w:tcW w:w="0" w:type="auto"/>
            <w:gridSpan w:val="3"/>
            <w:shd w:val="clear" w:color="auto" w:fill="auto"/>
            <w:tcMar>
              <w:top w:w="40" w:type="dxa"/>
              <w:left w:w="20" w:type="dxa"/>
              <w:bottom w:w="40" w:type="dxa"/>
              <w:right w:w="20" w:type="dxa"/>
            </w:tcMar>
            <w:vAlign w:val="bottom"/>
          </w:tcPr>
          <w:p w14:paraId="27E073C7" w14:textId="77777777" w:rsidR="00A85061" w:rsidRDefault="00F04891">
            <w:pPr>
              <w:jc w:val="right"/>
              <w:textAlignment w:val="bottom"/>
            </w:pPr>
            <w:hyperlink r:id="rId12" w:anchor="idb925b80a80a4e3981aed48c566e83cb_25" w:history="1">
              <w:r>
                <w:rPr>
                  <w:rStyle w:val="a5"/>
                  <w:rFonts w:ascii="sans-serif" w:eastAsia="sans-serif" w:hAnsi="sans-serif" w:cs="sans-serif"/>
                  <w:sz w:val="20"/>
                  <w:szCs w:val="20"/>
                </w:rPr>
                <w:t>6</w:t>
              </w:r>
            </w:hyperlink>
          </w:p>
        </w:tc>
      </w:tr>
      <w:tr w:rsidR="00A85061" w14:paraId="27E073CC" w14:textId="77777777">
        <w:trPr>
          <w:jc w:val="center"/>
          <w:hidden/>
        </w:trPr>
        <w:tc>
          <w:tcPr>
            <w:tcW w:w="0" w:type="auto"/>
            <w:gridSpan w:val="3"/>
            <w:shd w:val="clear" w:color="auto" w:fill="auto"/>
            <w:vAlign w:val="bottom"/>
          </w:tcPr>
          <w:p w14:paraId="27E073C9" w14:textId="77777777" w:rsidR="00A85061" w:rsidRDefault="00A85061">
            <w:pPr>
              <w:rPr>
                <w:rFonts w:ascii="宋体"/>
                <w:vanish/>
              </w:rPr>
            </w:pPr>
          </w:p>
        </w:tc>
        <w:tc>
          <w:tcPr>
            <w:tcW w:w="0" w:type="auto"/>
            <w:gridSpan w:val="3"/>
            <w:shd w:val="clear" w:color="auto" w:fill="auto"/>
            <w:vAlign w:val="bottom"/>
          </w:tcPr>
          <w:p w14:paraId="27E073CA" w14:textId="77777777" w:rsidR="00A85061" w:rsidRDefault="00A85061">
            <w:pPr>
              <w:rPr>
                <w:rFonts w:ascii="宋体"/>
                <w:vanish/>
              </w:rPr>
            </w:pPr>
          </w:p>
        </w:tc>
        <w:tc>
          <w:tcPr>
            <w:tcW w:w="0" w:type="auto"/>
            <w:gridSpan w:val="3"/>
            <w:shd w:val="clear" w:color="auto" w:fill="auto"/>
            <w:vAlign w:val="bottom"/>
          </w:tcPr>
          <w:p w14:paraId="27E073CB" w14:textId="77777777" w:rsidR="00A85061" w:rsidRDefault="00A85061">
            <w:pPr>
              <w:rPr>
                <w:rFonts w:ascii="宋体"/>
                <w:vanish/>
              </w:rPr>
            </w:pPr>
          </w:p>
        </w:tc>
      </w:tr>
      <w:tr w:rsidR="00A85061" w14:paraId="27E073D0" w14:textId="77777777">
        <w:trPr>
          <w:jc w:val="center"/>
        </w:trPr>
        <w:tc>
          <w:tcPr>
            <w:tcW w:w="0" w:type="auto"/>
            <w:gridSpan w:val="3"/>
            <w:shd w:val="clear" w:color="auto" w:fill="auto"/>
            <w:tcMar>
              <w:top w:w="40" w:type="dxa"/>
              <w:left w:w="20" w:type="dxa"/>
              <w:bottom w:w="40" w:type="dxa"/>
              <w:right w:w="20" w:type="dxa"/>
            </w:tcMar>
            <w:vAlign w:val="bottom"/>
          </w:tcPr>
          <w:p w14:paraId="27E073C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CE" w14:textId="77777777" w:rsidR="00A85061" w:rsidRDefault="00F04891">
            <w:pPr>
              <w:jc w:val="both"/>
              <w:textAlignment w:val="bottom"/>
            </w:pPr>
            <w:r>
              <w:rPr>
                <w:rFonts w:ascii="sans-serif" w:eastAsia="sans-serif" w:hAnsi="sans-serif" w:cs="sans-serif"/>
                <w:color w:val="000000"/>
                <w:sz w:val="20"/>
                <w:szCs w:val="20"/>
              </w:rPr>
              <w:t xml:space="preserve">e) Condensed Consolidated Statements of Cash Flows for the three months ended May 2, 2021 </w:t>
            </w:r>
            <w:r>
              <w:rPr>
                <w:rFonts w:ascii="sans-serif" w:eastAsia="sans-serif" w:hAnsi="sans-serif" w:cs="sans-serif"/>
                <w:color w:val="000000"/>
                <w:sz w:val="20"/>
                <w:szCs w:val="20"/>
              </w:rPr>
              <w:t>and April 26, 2020</w:t>
            </w:r>
          </w:p>
        </w:tc>
        <w:tc>
          <w:tcPr>
            <w:tcW w:w="0" w:type="auto"/>
            <w:gridSpan w:val="3"/>
            <w:shd w:val="clear" w:color="auto" w:fill="auto"/>
            <w:tcMar>
              <w:top w:w="40" w:type="dxa"/>
              <w:left w:w="20" w:type="dxa"/>
              <w:bottom w:w="40" w:type="dxa"/>
              <w:right w:w="20" w:type="dxa"/>
            </w:tcMar>
            <w:vAlign w:val="bottom"/>
          </w:tcPr>
          <w:p w14:paraId="27E073CF" w14:textId="77777777" w:rsidR="00A85061" w:rsidRDefault="00F04891">
            <w:pPr>
              <w:jc w:val="right"/>
              <w:textAlignment w:val="bottom"/>
            </w:pPr>
            <w:hyperlink r:id="rId13" w:anchor="idb925b80a80a4e3981aed48c566e83cb_31" w:history="1">
              <w:r>
                <w:rPr>
                  <w:rStyle w:val="a5"/>
                  <w:rFonts w:ascii="sans-serif" w:eastAsia="sans-serif" w:hAnsi="sans-serif" w:cs="sans-serif"/>
                  <w:sz w:val="20"/>
                  <w:szCs w:val="20"/>
                </w:rPr>
                <w:t>7</w:t>
              </w:r>
            </w:hyperlink>
          </w:p>
        </w:tc>
      </w:tr>
      <w:tr w:rsidR="00A85061" w14:paraId="27E073D4" w14:textId="77777777">
        <w:trPr>
          <w:jc w:val="center"/>
          <w:hidden/>
        </w:trPr>
        <w:tc>
          <w:tcPr>
            <w:tcW w:w="0" w:type="auto"/>
            <w:gridSpan w:val="3"/>
            <w:shd w:val="clear" w:color="auto" w:fill="auto"/>
            <w:vAlign w:val="bottom"/>
          </w:tcPr>
          <w:p w14:paraId="27E073D1" w14:textId="77777777" w:rsidR="00A85061" w:rsidRDefault="00A85061">
            <w:pPr>
              <w:rPr>
                <w:rFonts w:ascii="宋体"/>
                <w:vanish/>
              </w:rPr>
            </w:pPr>
          </w:p>
        </w:tc>
        <w:tc>
          <w:tcPr>
            <w:tcW w:w="0" w:type="auto"/>
            <w:gridSpan w:val="3"/>
            <w:shd w:val="clear" w:color="auto" w:fill="auto"/>
            <w:vAlign w:val="bottom"/>
          </w:tcPr>
          <w:p w14:paraId="27E073D2" w14:textId="77777777" w:rsidR="00A85061" w:rsidRDefault="00A85061">
            <w:pPr>
              <w:rPr>
                <w:rFonts w:ascii="宋体"/>
                <w:vanish/>
              </w:rPr>
            </w:pPr>
          </w:p>
        </w:tc>
        <w:tc>
          <w:tcPr>
            <w:tcW w:w="0" w:type="auto"/>
            <w:gridSpan w:val="3"/>
            <w:shd w:val="clear" w:color="auto" w:fill="auto"/>
            <w:vAlign w:val="bottom"/>
          </w:tcPr>
          <w:p w14:paraId="27E073D3" w14:textId="77777777" w:rsidR="00A85061" w:rsidRDefault="00A85061">
            <w:pPr>
              <w:rPr>
                <w:rFonts w:ascii="宋体"/>
                <w:vanish/>
              </w:rPr>
            </w:pPr>
          </w:p>
        </w:tc>
      </w:tr>
      <w:tr w:rsidR="00A85061" w14:paraId="27E073D8" w14:textId="77777777">
        <w:trPr>
          <w:jc w:val="center"/>
        </w:trPr>
        <w:tc>
          <w:tcPr>
            <w:tcW w:w="0" w:type="auto"/>
            <w:gridSpan w:val="3"/>
            <w:shd w:val="clear" w:color="auto" w:fill="auto"/>
            <w:tcMar>
              <w:top w:w="40" w:type="dxa"/>
              <w:left w:w="20" w:type="dxa"/>
              <w:bottom w:w="40" w:type="dxa"/>
              <w:right w:w="20" w:type="dxa"/>
            </w:tcMar>
            <w:vAlign w:val="bottom"/>
          </w:tcPr>
          <w:p w14:paraId="27E073D5"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D6" w14:textId="77777777" w:rsidR="00A85061" w:rsidRDefault="00F04891">
            <w:pPr>
              <w:jc w:val="both"/>
              <w:textAlignment w:val="bottom"/>
            </w:pPr>
            <w:r>
              <w:rPr>
                <w:rFonts w:ascii="sans-serif" w:eastAsia="sans-serif" w:hAnsi="sans-serif" w:cs="sans-serif"/>
                <w:color w:val="000000"/>
                <w:sz w:val="20"/>
                <w:szCs w:val="20"/>
              </w:rPr>
              <w:t>f) Notes to Condensed Consolidated Financial Statements</w:t>
            </w:r>
          </w:p>
        </w:tc>
        <w:tc>
          <w:tcPr>
            <w:tcW w:w="0" w:type="auto"/>
            <w:gridSpan w:val="3"/>
            <w:shd w:val="clear" w:color="auto" w:fill="auto"/>
            <w:tcMar>
              <w:top w:w="40" w:type="dxa"/>
              <w:left w:w="20" w:type="dxa"/>
              <w:bottom w:w="40" w:type="dxa"/>
              <w:right w:w="20" w:type="dxa"/>
            </w:tcMar>
            <w:vAlign w:val="bottom"/>
          </w:tcPr>
          <w:p w14:paraId="27E073D7" w14:textId="77777777" w:rsidR="00A85061" w:rsidRDefault="00F04891">
            <w:pPr>
              <w:jc w:val="right"/>
              <w:textAlignment w:val="bottom"/>
            </w:pPr>
            <w:hyperlink r:id="rId14" w:anchor="idb925b80a80a4e3981aed48c566e83cb_34" w:history="1">
              <w:r>
                <w:rPr>
                  <w:rStyle w:val="a5"/>
                  <w:rFonts w:ascii="sans-serif" w:eastAsia="sans-serif" w:hAnsi="sans-serif" w:cs="sans-serif"/>
                  <w:sz w:val="20"/>
                  <w:szCs w:val="20"/>
                </w:rPr>
                <w:t>8</w:t>
              </w:r>
            </w:hyperlink>
          </w:p>
        </w:tc>
      </w:tr>
      <w:tr w:rsidR="00A85061" w14:paraId="27E073D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D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D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DB" w14:textId="77777777" w:rsidR="00A85061" w:rsidRDefault="00A85061">
            <w:pPr>
              <w:rPr>
                <w:rFonts w:ascii="宋体"/>
              </w:rPr>
            </w:pPr>
          </w:p>
        </w:tc>
      </w:tr>
      <w:tr w:rsidR="00A85061" w14:paraId="27E073E0" w14:textId="77777777">
        <w:trPr>
          <w:jc w:val="center"/>
        </w:trPr>
        <w:tc>
          <w:tcPr>
            <w:tcW w:w="0" w:type="auto"/>
            <w:gridSpan w:val="3"/>
            <w:shd w:val="clear" w:color="auto" w:fill="auto"/>
            <w:tcMar>
              <w:top w:w="40" w:type="dxa"/>
              <w:left w:w="20" w:type="dxa"/>
              <w:bottom w:w="40" w:type="dxa"/>
              <w:right w:w="20" w:type="dxa"/>
            </w:tcMar>
            <w:vAlign w:val="bottom"/>
          </w:tcPr>
          <w:p w14:paraId="27E073DD" w14:textId="77777777" w:rsidR="00A85061" w:rsidRDefault="00F04891">
            <w:pPr>
              <w:textAlignment w:val="bottom"/>
            </w:pPr>
            <w:hyperlink r:id="rId15" w:anchor="idb925b80a80a4e3981aed48c566e83cb_85"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27E073DE" w14:textId="77777777" w:rsidR="00A85061" w:rsidRDefault="00F04891">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27E073DF" w14:textId="77777777" w:rsidR="00A85061" w:rsidRDefault="00F04891">
            <w:pPr>
              <w:jc w:val="right"/>
              <w:textAlignment w:val="bottom"/>
            </w:pPr>
            <w:hyperlink r:id="rId16" w:anchor="idb925b80a80a4e3981aed48c566e83cb_85" w:history="1">
              <w:r>
                <w:rPr>
                  <w:rStyle w:val="a5"/>
                  <w:rFonts w:ascii="sans-serif" w:eastAsia="sans-serif" w:hAnsi="sans-serif" w:cs="sans-serif"/>
                  <w:sz w:val="20"/>
                  <w:szCs w:val="20"/>
                </w:rPr>
                <w:t>23</w:t>
              </w:r>
            </w:hyperlink>
          </w:p>
        </w:tc>
      </w:tr>
      <w:tr w:rsidR="00A85061" w14:paraId="27E073E4"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E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E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E3" w14:textId="77777777" w:rsidR="00A85061" w:rsidRDefault="00A85061">
            <w:pPr>
              <w:rPr>
                <w:rFonts w:ascii="宋体"/>
              </w:rPr>
            </w:pPr>
          </w:p>
        </w:tc>
      </w:tr>
      <w:tr w:rsidR="00A85061" w14:paraId="27E073E8" w14:textId="77777777">
        <w:trPr>
          <w:jc w:val="center"/>
        </w:trPr>
        <w:tc>
          <w:tcPr>
            <w:tcW w:w="0" w:type="auto"/>
            <w:gridSpan w:val="3"/>
            <w:shd w:val="clear" w:color="auto" w:fill="auto"/>
            <w:tcMar>
              <w:top w:w="40" w:type="dxa"/>
              <w:left w:w="20" w:type="dxa"/>
              <w:bottom w:w="40" w:type="dxa"/>
              <w:right w:w="20" w:type="dxa"/>
            </w:tcMar>
            <w:vAlign w:val="bottom"/>
          </w:tcPr>
          <w:p w14:paraId="27E073E5" w14:textId="77777777" w:rsidR="00A85061" w:rsidRDefault="00F04891">
            <w:pPr>
              <w:textAlignment w:val="bottom"/>
            </w:pPr>
            <w:hyperlink r:id="rId17" w:anchor="idb925b80a80a4e3981aed48c566e83cb_100"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27E073E6" w14:textId="77777777" w:rsidR="00A85061" w:rsidRDefault="00F04891">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27E073E7" w14:textId="77777777" w:rsidR="00A85061" w:rsidRDefault="00F04891">
            <w:pPr>
              <w:jc w:val="right"/>
              <w:textAlignment w:val="bottom"/>
            </w:pPr>
            <w:hyperlink r:id="rId18" w:anchor="idb925b80a80a4e3981aed48c566e83cb_100" w:history="1">
              <w:r>
                <w:rPr>
                  <w:rStyle w:val="a5"/>
                  <w:rFonts w:ascii="sans-serif" w:eastAsia="sans-serif" w:hAnsi="sans-serif" w:cs="sans-serif"/>
                  <w:sz w:val="20"/>
                  <w:szCs w:val="20"/>
                </w:rPr>
                <w:t>30</w:t>
              </w:r>
            </w:hyperlink>
          </w:p>
        </w:tc>
      </w:tr>
      <w:tr w:rsidR="00A85061" w14:paraId="27E073E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E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E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EB" w14:textId="77777777" w:rsidR="00A85061" w:rsidRDefault="00A85061">
            <w:pPr>
              <w:rPr>
                <w:rFonts w:ascii="宋体"/>
              </w:rPr>
            </w:pPr>
          </w:p>
        </w:tc>
      </w:tr>
      <w:tr w:rsidR="00A85061" w14:paraId="27E073F0" w14:textId="77777777">
        <w:trPr>
          <w:jc w:val="center"/>
        </w:trPr>
        <w:tc>
          <w:tcPr>
            <w:tcW w:w="0" w:type="auto"/>
            <w:gridSpan w:val="3"/>
            <w:shd w:val="clear" w:color="auto" w:fill="auto"/>
            <w:tcMar>
              <w:top w:w="40" w:type="dxa"/>
              <w:left w:w="20" w:type="dxa"/>
              <w:bottom w:w="40" w:type="dxa"/>
              <w:right w:w="20" w:type="dxa"/>
            </w:tcMar>
            <w:vAlign w:val="bottom"/>
          </w:tcPr>
          <w:p w14:paraId="27E073ED" w14:textId="77777777" w:rsidR="00A85061" w:rsidRDefault="00F04891">
            <w:pPr>
              <w:textAlignment w:val="bottom"/>
            </w:pPr>
            <w:hyperlink r:id="rId19" w:anchor="idb925b80a80a4e3981aed48c566e83cb_103"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27E073EE" w14:textId="77777777" w:rsidR="00A85061" w:rsidRDefault="00F04891">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27E073EF" w14:textId="77777777" w:rsidR="00A85061" w:rsidRDefault="00F04891">
            <w:pPr>
              <w:jc w:val="right"/>
              <w:textAlignment w:val="bottom"/>
            </w:pPr>
            <w:hyperlink r:id="rId20" w:anchor="idb925b80a80a4e3981aed48c566e83cb_103" w:history="1">
              <w:r>
                <w:rPr>
                  <w:rStyle w:val="a5"/>
                  <w:rFonts w:ascii="sans-serif" w:eastAsia="sans-serif" w:hAnsi="sans-serif" w:cs="sans-serif"/>
                  <w:sz w:val="20"/>
                  <w:szCs w:val="20"/>
                </w:rPr>
                <w:t>31</w:t>
              </w:r>
            </w:hyperlink>
          </w:p>
        </w:tc>
      </w:tr>
      <w:tr w:rsidR="00A85061" w14:paraId="27E073F4"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F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F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F3" w14:textId="77777777" w:rsidR="00A85061" w:rsidRDefault="00A85061">
            <w:pPr>
              <w:rPr>
                <w:rFonts w:ascii="宋体"/>
              </w:rPr>
            </w:pPr>
          </w:p>
        </w:tc>
      </w:tr>
      <w:tr w:rsidR="00A85061" w14:paraId="27E073F8" w14:textId="77777777">
        <w:trPr>
          <w:jc w:val="center"/>
        </w:trPr>
        <w:tc>
          <w:tcPr>
            <w:tcW w:w="0" w:type="auto"/>
            <w:gridSpan w:val="3"/>
            <w:shd w:val="clear" w:color="auto" w:fill="auto"/>
            <w:tcMar>
              <w:top w:w="40" w:type="dxa"/>
              <w:left w:w="20" w:type="dxa"/>
              <w:bottom w:w="40" w:type="dxa"/>
              <w:right w:w="20" w:type="dxa"/>
            </w:tcMar>
            <w:vAlign w:val="bottom"/>
          </w:tcPr>
          <w:p w14:paraId="27E073F5"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3F6" w14:textId="77777777" w:rsidR="00A85061" w:rsidRDefault="00F04891">
            <w:pPr>
              <w:jc w:val="center"/>
              <w:textAlignment w:val="bottom"/>
            </w:pPr>
            <w:hyperlink r:id="rId21" w:anchor="idb925b80a80a4e3981aed48c566e83cb_106"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27E073F7" w14:textId="77777777" w:rsidR="00A85061" w:rsidRDefault="00F04891">
            <w:pPr>
              <w:jc w:val="right"/>
              <w:textAlignment w:val="bottom"/>
            </w:pPr>
            <w:r>
              <w:rPr>
                <w:rFonts w:ascii="sans-serif" w:eastAsia="sans-serif" w:hAnsi="sans-serif" w:cs="sans-serif"/>
                <w:color w:val="000000"/>
                <w:sz w:val="20"/>
                <w:szCs w:val="20"/>
              </w:rPr>
              <w:t> </w:t>
            </w:r>
          </w:p>
        </w:tc>
      </w:tr>
      <w:tr w:rsidR="00A85061" w14:paraId="27E073F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3F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F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3FB" w14:textId="77777777" w:rsidR="00A85061" w:rsidRDefault="00A85061">
            <w:pPr>
              <w:rPr>
                <w:rFonts w:ascii="宋体"/>
              </w:rPr>
            </w:pPr>
          </w:p>
        </w:tc>
      </w:tr>
      <w:tr w:rsidR="00A85061" w14:paraId="27E07400" w14:textId="77777777">
        <w:trPr>
          <w:jc w:val="center"/>
        </w:trPr>
        <w:tc>
          <w:tcPr>
            <w:tcW w:w="0" w:type="auto"/>
            <w:gridSpan w:val="3"/>
            <w:shd w:val="clear" w:color="auto" w:fill="auto"/>
            <w:tcMar>
              <w:top w:w="40" w:type="dxa"/>
              <w:left w:w="20" w:type="dxa"/>
              <w:bottom w:w="40" w:type="dxa"/>
              <w:right w:w="20" w:type="dxa"/>
            </w:tcMar>
            <w:vAlign w:val="bottom"/>
          </w:tcPr>
          <w:p w14:paraId="27E073FD" w14:textId="77777777" w:rsidR="00A85061" w:rsidRDefault="00F04891">
            <w:pPr>
              <w:textAlignment w:val="bottom"/>
            </w:pPr>
            <w:hyperlink r:id="rId22" w:anchor="idb925b80a80a4e3981aed48c566e83cb_109"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27E073FE" w14:textId="77777777" w:rsidR="00A85061" w:rsidRDefault="00F04891">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27E073FF" w14:textId="77777777" w:rsidR="00A85061" w:rsidRDefault="00F04891">
            <w:pPr>
              <w:jc w:val="right"/>
              <w:textAlignment w:val="bottom"/>
            </w:pPr>
            <w:hyperlink r:id="rId23" w:anchor="idb925b80a80a4e3981aed48c566e83cb_109" w:history="1">
              <w:r>
                <w:rPr>
                  <w:rStyle w:val="a5"/>
                  <w:rFonts w:ascii="sans-serif" w:eastAsia="sans-serif" w:hAnsi="sans-serif" w:cs="sans-serif"/>
                  <w:sz w:val="20"/>
                  <w:szCs w:val="20"/>
                </w:rPr>
                <w:t>31</w:t>
              </w:r>
            </w:hyperlink>
          </w:p>
        </w:tc>
      </w:tr>
      <w:tr w:rsidR="00A85061" w14:paraId="27E07404"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40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0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03" w14:textId="77777777" w:rsidR="00A85061" w:rsidRDefault="00A85061">
            <w:pPr>
              <w:rPr>
                <w:rFonts w:ascii="宋体"/>
              </w:rPr>
            </w:pPr>
          </w:p>
        </w:tc>
      </w:tr>
      <w:tr w:rsidR="00A85061" w14:paraId="27E07408" w14:textId="77777777">
        <w:trPr>
          <w:jc w:val="center"/>
        </w:trPr>
        <w:tc>
          <w:tcPr>
            <w:tcW w:w="0" w:type="auto"/>
            <w:gridSpan w:val="3"/>
            <w:shd w:val="clear" w:color="auto" w:fill="auto"/>
            <w:tcMar>
              <w:top w:w="40" w:type="dxa"/>
              <w:left w:w="20" w:type="dxa"/>
              <w:bottom w:w="40" w:type="dxa"/>
              <w:right w:w="20" w:type="dxa"/>
            </w:tcMar>
            <w:vAlign w:val="bottom"/>
          </w:tcPr>
          <w:p w14:paraId="27E07405" w14:textId="77777777" w:rsidR="00A85061" w:rsidRDefault="00F04891">
            <w:pPr>
              <w:textAlignment w:val="bottom"/>
            </w:pPr>
            <w:hyperlink r:id="rId24" w:anchor="idb925b80a80a4e3981aed48c566e83cb_112"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27E07406" w14:textId="77777777" w:rsidR="00A85061" w:rsidRDefault="00F04891">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27E07407" w14:textId="77777777" w:rsidR="00A85061" w:rsidRDefault="00F04891">
            <w:pPr>
              <w:jc w:val="right"/>
              <w:textAlignment w:val="bottom"/>
            </w:pPr>
            <w:hyperlink r:id="rId25" w:anchor="idb925b80a80a4e3981aed48c566e83cb_112" w:history="1">
              <w:r>
                <w:rPr>
                  <w:rStyle w:val="a5"/>
                  <w:rFonts w:ascii="sans-serif" w:eastAsia="sans-serif" w:hAnsi="sans-serif" w:cs="sans-serif"/>
                  <w:sz w:val="20"/>
                  <w:szCs w:val="20"/>
                </w:rPr>
                <w:t>31</w:t>
              </w:r>
            </w:hyperlink>
          </w:p>
        </w:tc>
      </w:tr>
      <w:tr w:rsidR="00A85061" w14:paraId="27E0740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40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0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0B" w14:textId="77777777" w:rsidR="00A85061" w:rsidRDefault="00A85061">
            <w:pPr>
              <w:rPr>
                <w:rFonts w:ascii="宋体"/>
              </w:rPr>
            </w:pPr>
          </w:p>
        </w:tc>
      </w:tr>
      <w:tr w:rsidR="00A85061" w14:paraId="27E07410" w14:textId="77777777">
        <w:trPr>
          <w:jc w:val="center"/>
        </w:trPr>
        <w:tc>
          <w:tcPr>
            <w:tcW w:w="0" w:type="auto"/>
            <w:gridSpan w:val="3"/>
            <w:shd w:val="clear" w:color="auto" w:fill="auto"/>
            <w:tcMar>
              <w:top w:w="40" w:type="dxa"/>
              <w:left w:w="20" w:type="dxa"/>
              <w:bottom w:w="40" w:type="dxa"/>
              <w:right w:w="20" w:type="dxa"/>
            </w:tcMar>
            <w:vAlign w:val="bottom"/>
          </w:tcPr>
          <w:p w14:paraId="27E0740D" w14:textId="77777777" w:rsidR="00A85061" w:rsidRDefault="00F04891">
            <w:pPr>
              <w:textAlignment w:val="bottom"/>
            </w:pPr>
            <w:hyperlink r:id="rId26" w:anchor="idb925b80a80a4e3981aed48c566e83cb_115"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27E0740E" w14:textId="77777777" w:rsidR="00A85061" w:rsidRDefault="00F04891">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27E0740F" w14:textId="77777777" w:rsidR="00A85061" w:rsidRDefault="00F04891">
            <w:pPr>
              <w:jc w:val="right"/>
              <w:textAlignment w:val="bottom"/>
            </w:pPr>
            <w:hyperlink r:id="rId27" w:anchor="idb925b80a80a4e3981aed48c566e83cb_115" w:history="1">
              <w:r>
                <w:rPr>
                  <w:rStyle w:val="a5"/>
                  <w:rFonts w:ascii="sans-serif" w:eastAsia="sans-serif" w:hAnsi="sans-serif" w:cs="sans-serif"/>
                  <w:sz w:val="20"/>
                  <w:szCs w:val="20"/>
                </w:rPr>
                <w:t>33</w:t>
              </w:r>
            </w:hyperlink>
          </w:p>
        </w:tc>
      </w:tr>
      <w:tr w:rsidR="00A85061" w14:paraId="27E07414"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41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1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13" w14:textId="77777777" w:rsidR="00A85061" w:rsidRDefault="00A85061">
            <w:pPr>
              <w:rPr>
                <w:rFonts w:ascii="宋体"/>
              </w:rPr>
            </w:pPr>
          </w:p>
        </w:tc>
      </w:tr>
      <w:tr w:rsidR="00A85061" w14:paraId="27E07418" w14:textId="77777777">
        <w:trPr>
          <w:jc w:val="center"/>
        </w:trPr>
        <w:tc>
          <w:tcPr>
            <w:tcW w:w="0" w:type="auto"/>
            <w:gridSpan w:val="3"/>
            <w:shd w:val="clear" w:color="auto" w:fill="auto"/>
            <w:tcMar>
              <w:top w:w="40" w:type="dxa"/>
              <w:left w:w="20" w:type="dxa"/>
              <w:bottom w:w="40" w:type="dxa"/>
              <w:right w:w="20" w:type="dxa"/>
            </w:tcMar>
            <w:vAlign w:val="bottom"/>
          </w:tcPr>
          <w:p w14:paraId="27E07415" w14:textId="77777777" w:rsidR="00A85061" w:rsidRDefault="00F04891">
            <w:pPr>
              <w:textAlignment w:val="bottom"/>
            </w:pPr>
            <w:hyperlink r:id="rId28" w:anchor="idb925b80a80a4e3981aed48c566e83cb_118"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27E07416" w14:textId="77777777" w:rsidR="00A85061" w:rsidRDefault="00F04891">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27E07417" w14:textId="77777777" w:rsidR="00A85061" w:rsidRDefault="00F04891">
            <w:pPr>
              <w:jc w:val="right"/>
              <w:textAlignment w:val="bottom"/>
            </w:pPr>
            <w:hyperlink r:id="rId29" w:anchor="idb925b80a80a4e3981aed48c566e83cb_118" w:history="1">
              <w:r>
                <w:rPr>
                  <w:rStyle w:val="a5"/>
                  <w:rFonts w:ascii="sans-serif" w:eastAsia="sans-serif" w:hAnsi="sans-serif" w:cs="sans-serif"/>
                  <w:sz w:val="20"/>
                  <w:szCs w:val="20"/>
                </w:rPr>
                <w:t>35</w:t>
              </w:r>
            </w:hyperlink>
          </w:p>
        </w:tc>
      </w:tr>
      <w:tr w:rsidR="00A85061" w14:paraId="27E0741C" w14:textId="77777777">
        <w:trPr>
          <w:trHeight w:val="60"/>
          <w:jc w:val="center"/>
        </w:trPr>
        <w:tc>
          <w:tcPr>
            <w:tcW w:w="0" w:type="auto"/>
            <w:gridSpan w:val="3"/>
            <w:shd w:val="clear" w:color="auto" w:fill="auto"/>
            <w:tcMar>
              <w:top w:w="0" w:type="dxa"/>
              <w:left w:w="20" w:type="dxa"/>
              <w:bottom w:w="0" w:type="dxa"/>
              <w:right w:w="20" w:type="dxa"/>
            </w:tcMar>
            <w:vAlign w:val="bottom"/>
          </w:tcPr>
          <w:p w14:paraId="27E0741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1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1B" w14:textId="77777777" w:rsidR="00A85061" w:rsidRDefault="00A85061">
            <w:pPr>
              <w:rPr>
                <w:rFonts w:ascii="宋体"/>
              </w:rPr>
            </w:pPr>
          </w:p>
        </w:tc>
      </w:tr>
      <w:tr w:rsidR="00A85061" w14:paraId="27E07420" w14:textId="77777777">
        <w:trPr>
          <w:jc w:val="center"/>
        </w:trPr>
        <w:tc>
          <w:tcPr>
            <w:tcW w:w="0" w:type="auto"/>
            <w:gridSpan w:val="3"/>
            <w:shd w:val="clear" w:color="auto" w:fill="auto"/>
            <w:tcMar>
              <w:top w:w="40" w:type="dxa"/>
              <w:left w:w="20" w:type="dxa"/>
              <w:bottom w:w="40" w:type="dxa"/>
              <w:right w:w="20" w:type="dxa"/>
            </w:tcMar>
            <w:vAlign w:val="bottom"/>
          </w:tcPr>
          <w:p w14:paraId="27E0741D" w14:textId="77777777" w:rsidR="00A85061" w:rsidRDefault="00F04891">
            <w:pPr>
              <w:textAlignment w:val="bottom"/>
            </w:pPr>
            <w:hyperlink r:id="rId30" w:anchor="idb925b80a80a4e3981aed48c566e83cb_121"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27E0741E"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41F" w14:textId="77777777" w:rsidR="00A85061" w:rsidRDefault="00F04891">
            <w:pPr>
              <w:jc w:val="right"/>
              <w:textAlignment w:val="bottom"/>
            </w:pPr>
            <w:hyperlink r:id="rId31" w:anchor="idb925b80a80a4e3981aed48c566e83cb_121" w:history="1">
              <w:r>
                <w:rPr>
                  <w:rStyle w:val="a5"/>
                  <w:rFonts w:ascii="sans-serif" w:eastAsia="sans-serif" w:hAnsi="sans-serif" w:cs="sans-serif"/>
                  <w:sz w:val="20"/>
                  <w:szCs w:val="20"/>
                </w:rPr>
                <w:t>36</w:t>
              </w:r>
            </w:hyperlink>
          </w:p>
        </w:tc>
      </w:tr>
    </w:tbl>
    <w:p w14:paraId="27E07421" w14:textId="77777777" w:rsidR="00A85061" w:rsidRDefault="00F04891">
      <w:pPr>
        <w:spacing w:before="240" w:after="120"/>
        <w:jc w:val="both"/>
      </w:pPr>
      <w:r>
        <w:rPr>
          <w:rFonts w:ascii="sans-serif" w:eastAsia="sans-serif" w:hAnsi="sans-serif" w:cs="sans-serif"/>
          <w:b/>
          <w:bCs/>
          <w:color w:val="76B900"/>
          <w:sz w:val="22"/>
          <w:szCs w:val="22"/>
        </w:rPr>
        <w:t>WHERE YOU CAN FIND MORE INFORMATION</w:t>
      </w:r>
    </w:p>
    <w:p w14:paraId="27E07422" w14:textId="77777777" w:rsidR="00A85061" w:rsidRDefault="00F04891">
      <w:pPr>
        <w:spacing w:after="180"/>
        <w:jc w:val="both"/>
      </w:pPr>
      <w:r>
        <w:rPr>
          <w:rFonts w:ascii="sans-serif" w:eastAsia="sans-serif" w:hAnsi="sans-serif" w:cs="sans-serif"/>
          <w:color w:val="000000"/>
          <w:sz w:val="20"/>
          <w:szCs w:val="20"/>
        </w:rPr>
        <w:t xml:space="preserve">Investors and others should note that we announce material financial information to our investors using our investor relations website, press </w:t>
      </w:r>
      <w:r>
        <w:rPr>
          <w:rFonts w:ascii="sans-serif" w:eastAsia="sans-serif" w:hAnsi="sans-serif" w:cs="sans-serif"/>
          <w:color w:val="000000"/>
          <w:sz w:val="20"/>
          <w:szCs w:val="20"/>
        </w:rPr>
        <w:t>releases, SEC filings and public conference calls and webcasts. We also use the following social media channels as a means of disclosing information about the company, our products, our planned financial and other announcements and attendance at upcoming i</w:t>
      </w:r>
      <w:r>
        <w:rPr>
          <w:rFonts w:ascii="sans-serif" w:eastAsia="sans-serif" w:hAnsi="sans-serif" w:cs="sans-serif"/>
          <w:color w:val="000000"/>
          <w:sz w:val="20"/>
          <w:szCs w:val="20"/>
        </w:rPr>
        <w:t>nvestor and industry conferences, and other matters, and for complying with our disclosure obligations under Regulation FD: </w:t>
      </w:r>
    </w:p>
    <w:p w14:paraId="27E07423" w14:textId="77777777" w:rsidR="00A85061" w:rsidRDefault="00F04891">
      <w:pPr>
        <w:spacing w:after="180"/>
        <w:ind w:firstLine="360"/>
        <w:jc w:val="both"/>
      </w:pPr>
      <w:r>
        <w:rPr>
          <w:rFonts w:ascii="sans-serif" w:eastAsia="sans-serif" w:hAnsi="sans-serif" w:cs="sans-serif"/>
          <w:color w:val="000000"/>
          <w:sz w:val="20"/>
          <w:szCs w:val="20"/>
        </w:rPr>
        <w:t>NVIDIA Twitter Account (https://twitter.com/nvidia)</w:t>
      </w:r>
    </w:p>
    <w:p w14:paraId="27E07424" w14:textId="77777777" w:rsidR="00A85061" w:rsidRDefault="00F04891">
      <w:pPr>
        <w:spacing w:after="180"/>
        <w:ind w:firstLine="360"/>
        <w:jc w:val="both"/>
      </w:pPr>
      <w:r>
        <w:rPr>
          <w:rFonts w:ascii="sans-serif" w:eastAsia="sans-serif" w:hAnsi="sans-serif" w:cs="sans-serif"/>
          <w:color w:val="000000"/>
          <w:sz w:val="20"/>
          <w:szCs w:val="20"/>
        </w:rPr>
        <w:t xml:space="preserve">NVIDIA Company Blog (http://blogs.nvidia.com) </w:t>
      </w:r>
    </w:p>
    <w:p w14:paraId="27E07425" w14:textId="77777777" w:rsidR="00A85061" w:rsidRDefault="00F04891">
      <w:pPr>
        <w:spacing w:after="180"/>
        <w:ind w:firstLine="360"/>
        <w:jc w:val="both"/>
      </w:pPr>
      <w:r>
        <w:rPr>
          <w:rFonts w:ascii="sans-serif" w:eastAsia="sans-serif" w:hAnsi="sans-serif" w:cs="sans-serif"/>
          <w:color w:val="000000"/>
          <w:sz w:val="20"/>
          <w:szCs w:val="20"/>
        </w:rPr>
        <w:t>NVIDIA Facebook Page (https://ww</w:t>
      </w:r>
      <w:r>
        <w:rPr>
          <w:rFonts w:ascii="sans-serif" w:eastAsia="sans-serif" w:hAnsi="sans-serif" w:cs="sans-serif"/>
          <w:color w:val="000000"/>
          <w:sz w:val="20"/>
          <w:szCs w:val="20"/>
        </w:rPr>
        <w:t xml:space="preserve">w.facebook.com/nvidia) </w:t>
      </w:r>
    </w:p>
    <w:p w14:paraId="27E07426" w14:textId="77777777" w:rsidR="00A85061" w:rsidRDefault="00F04891">
      <w:pPr>
        <w:spacing w:after="180"/>
        <w:ind w:firstLine="360"/>
        <w:jc w:val="both"/>
      </w:pPr>
      <w:r>
        <w:rPr>
          <w:rFonts w:ascii="sans-serif" w:eastAsia="sans-serif" w:hAnsi="sans-serif" w:cs="sans-serif"/>
          <w:color w:val="000000"/>
          <w:sz w:val="20"/>
          <w:szCs w:val="20"/>
        </w:rPr>
        <w:t>NVIDIA LinkedIn Page (http://www.linkedin.com/company/nvidia)</w:t>
      </w:r>
    </w:p>
    <w:p w14:paraId="27E07427" w14:textId="77777777" w:rsidR="00A85061" w:rsidRDefault="00F04891">
      <w:pPr>
        <w:spacing w:after="180"/>
        <w:ind w:firstLine="360"/>
        <w:jc w:val="both"/>
      </w:pPr>
      <w:r>
        <w:rPr>
          <w:rFonts w:ascii="sans-serif" w:eastAsia="sans-serif" w:hAnsi="sans-serif" w:cs="sans-serif"/>
          <w:color w:val="000000"/>
          <w:sz w:val="20"/>
          <w:szCs w:val="20"/>
        </w:rPr>
        <w:t>NVIDIA Instagram Page (https://www.instagram.com/nvidia)</w:t>
      </w:r>
    </w:p>
    <w:p w14:paraId="27E07428" w14:textId="77777777" w:rsidR="00A85061" w:rsidRDefault="00F04891">
      <w:pPr>
        <w:spacing w:after="180"/>
        <w:jc w:val="both"/>
      </w:pPr>
      <w:r>
        <w:rPr>
          <w:rFonts w:ascii="sans-serif" w:eastAsia="sans-serif" w:hAnsi="sans-serif" w:cs="sans-serif"/>
          <w:color w:val="000000"/>
          <w:sz w:val="20"/>
          <w:szCs w:val="20"/>
        </w:rPr>
        <w:t>In addition, investors and others can view NVIDIA videos on YouTube (https://www.YouTube.com/nvidia).</w:t>
      </w:r>
    </w:p>
    <w:p w14:paraId="27E07429" w14:textId="77777777" w:rsidR="00A85061" w:rsidRDefault="00F04891">
      <w:pPr>
        <w:spacing w:after="180"/>
        <w:jc w:val="both"/>
      </w:pPr>
      <w:r>
        <w:rPr>
          <w:rFonts w:ascii="sans-serif" w:eastAsia="sans-serif" w:hAnsi="sans-serif" w:cs="sans-serif"/>
          <w:color w:val="000000"/>
          <w:sz w:val="20"/>
          <w:szCs w:val="20"/>
        </w:rPr>
        <w:t>The informa</w:t>
      </w:r>
      <w:r>
        <w:rPr>
          <w:rFonts w:ascii="sans-serif" w:eastAsia="sans-serif" w:hAnsi="sans-serif" w:cs="sans-serif"/>
          <w:color w:val="000000"/>
          <w:sz w:val="20"/>
          <w:szCs w:val="20"/>
        </w:rPr>
        <w:t xml:space="preserve">tion we post through these social media channels may be deemed material. Accordingly, investors should monitor these accounts and the blog, in addition to following our press releases, SEC filings and public conference calls and webcasts. This list may be </w:t>
      </w:r>
      <w:r>
        <w:rPr>
          <w:rFonts w:ascii="sans-serif" w:eastAsia="sans-serif" w:hAnsi="sans-serif" w:cs="sans-serif"/>
          <w:color w:val="000000"/>
          <w:sz w:val="20"/>
          <w:szCs w:val="20"/>
        </w:rPr>
        <w:t>updated from time to time. The information we post through these channels is not a part of this Quarterly Report on Form 10-Q. These channels may be updated from time to time on NVIDIA's investor relations website.</w:t>
      </w:r>
    </w:p>
    <w:p w14:paraId="27E0742A" w14:textId="77777777" w:rsidR="00A85061" w:rsidRDefault="00F04891">
      <w:pPr>
        <w:spacing w:after="180"/>
        <w:jc w:val="center"/>
      </w:pPr>
      <w:r>
        <w:rPr>
          <w:rFonts w:ascii="sans-serif" w:eastAsia="sans-serif" w:hAnsi="sans-serif" w:cs="sans-serif"/>
          <w:color w:val="000000"/>
          <w:sz w:val="20"/>
          <w:szCs w:val="20"/>
        </w:rPr>
        <w:t>2</w:t>
      </w:r>
    </w:p>
    <w:p w14:paraId="27E0742B" w14:textId="77777777" w:rsidR="00A85061" w:rsidRDefault="00F04891">
      <w:r>
        <w:pict w14:anchorId="27E08EF3">
          <v:rect id="_x0000_i1026" style="width:415.3pt;height:1.5pt" o:hralign="center" o:hrstd="t" o:hr="t" fillcolor="#a0a0a0" stroked="f"/>
        </w:pict>
      </w:r>
    </w:p>
    <w:p w14:paraId="27E0742C" w14:textId="77777777" w:rsidR="00A85061" w:rsidRDefault="00A85061">
      <w:pPr>
        <w:spacing w:after="180"/>
        <w:jc w:val="both"/>
      </w:pPr>
    </w:p>
    <w:p w14:paraId="27E0742D" w14:textId="77777777" w:rsidR="00A85061" w:rsidRDefault="00F04891">
      <w:pPr>
        <w:spacing w:before="240" w:after="120"/>
        <w:jc w:val="both"/>
      </w:pPr>
      <w:r>
        <w:rPr>
          <w:rFonts w:ascii="sans-serif" w:eastAsia="sans-serif" w:hAnsi="sans-serif" w:cs="sans-serif"/>
          <w:b/>
          <w:bCs/>
          <w:color w:val="76B900"/>
          <w:sz w:val="22"/>
          <w:szCs w:val="22"/>
        </w:rPr>
        <w:t xml:space="preserve">PART I. FINANCIAL </w:t>
      </w:r>
      <w:r>
        <w:rPr>
          <w:rFonts w:ascii="sans-serif" w:eastAsia="sans-serif" w:hAnsi="sans-serif" w:cs="sans-serif"/>
          <w:b/>
          <w:bCs/>
          <w:color w:val="76B900"/>
          <w:sz w:val="22"/>
          <w:szCs w:val="22"/>
        </w:rPr>
        <w:t>INFORMATION</w:t>
      </w:r>
    </w:p>
    <w:p w14:paraId="27E0742E" w14:textId="77777777" w:rsidR="00A85061" w:rsidRDefault="00F04891">
      <w:pPr>
        <w:spacing w:before="240" w:after="120"/>
        <w:jc w:val="both"/>
      </w:pPr>
      <w:r>
        <w:rPr>
          <w:rFonts w:ascii="sans-serif" w:eastAsia="sans-serif" w:hAnsi="sans-serif" w:cs="sans-serif"/>
          <w:b/>
          <w:bCs/>
          <w:color w:val="76B900"/>
          <w:sz w:val="22"/>
          <w:szCs w:val="22"/>
        </w:rPr>
        <w:t>ITEM 1.  FINANCIAL STATEMENTS (UNAUDITED)</w:t>
      </w:r>
    </w:p>
    <w:p w14:paraId="27E0742F" w14:textId="77777777" w:rsidR="00A85061" w:rsidRDefault="00F04891">
      <w:pPr>
        <w:jc w:val="center"/>
      </w:pPr>
      <w:r>
        <w:rPr>
          <w:rFonts w:ascii="sans-serif" w:eastAsia="sans-serif" w:hAnsi="sans-serif" w:cs="sans-serif"/>
          <w:b/>
          <w:bCs/>
          <w:color w:val="000000"/>
          <w:sz w:val="20"/>
          <w:szCs w:val="20"/>
        </w:rPr>
        <w:t>NVIDIA CORPORATION AND SUBSIDIARIES</w:t>
      </w:r>
    </w:p>
    <w:p w14:paraId="27E07430" w14:textId="77777777" w:rsidR="00A85061" w:rsidRDefault="00F04891">
      <w:pPr>
        <w:jc w:val="center"/>
      </w:pPr>
      <w:r>
        <w:rPr>
          <w:rFonts w:ascii="sans-serif" w:eastAsia="sans-serif" w:hAnsi="sans-serif" w:cs="sans-serif"/>
          <w:b/>
          <w:bCs/>
          <w:color w:val="000000"/>
          <w:sz w:val="20"/>
          <w:szCs w:val="20"/>
        </w:rPr>
        <w:t>CONDENSED CONSOLIDATED STATEMENTS OF INCOME</w:t>
      </w:r>
    </w:p>
    <w:p w14:paraId="27E07431" w14:textId="77777777" w:rsidR="00A85061" w:rsidRDefault="00F04891">
      <w:pPr>
        <w:jc w:val="center"/>
      </w:pPr>
      <w:r>
        <w:rPr>
          <w:rFonts w:ascii="sans-serif" w:eastAsia="sans-serif" w:hAnsi="sans-serif" w:cs="sans-serif"/>
          <w:b/>
          <w:bCs/>
          <w:color w:val="000000"/>
          <w:sz w:val="20"/>
          <w:szCs w:val="20"/>
        </w:rPr>
        <w:t>(In millions, except per share data)</w:t>
      </w:r>
    </w:p>
    <w:p w14:paraId="27E07432" w14:textId="77777777" w:rsidR="00A85061" w:rsidRDefault="00F04891">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05"/>
        <w:gridCol w:w="38"/>
        <w:gridCol w:w="122"/>
        <w:gridCol w:w="889"/>
        <w:gridCol w:w="36"/>
        <w:gridCol w:w="36"/>
        <w:gridCol w:w="36"/>
        <w:gridCol w:w="36"/>
        <w:gridCol w:w="122"/>
        <w:gridCol w:w="852"/>
        <w:gridCol w:w="36"/>
        <w:gridCol w:w="36"/>
        <w:gridCol w:w="36"/>
        <w:gridCol w:w="36"/>
        <w:gridCol w:w="36"/>
        <w:gridCol w:w="36"/>
        <w:gridCol w:w="36"/>
        <w:gridCol w:w="36"/>
        <w:gridCol w:w="36"/>
      </w:tblGrid>
      <w:tr w:rsidR="00A85061" w14:paraId="27E07443" w14:textId="77777777">
        <w:trPr>
          <w:jc w:val="center"/>
        </w:trPr>
        <w:tc>
          <w:tcPr>
            <w:tcW w:w="50" w:type="pct"/>
            <w:shd w:val="clear" w:color="auto" w:fill="auto"/>
            <w:vAlign w:val="bottom"/>
          </w:tcPr>
          <w:p w14:paraId="27E07433" w14:textId="77777777" w:rsidR="00A85061" w:rsidRDefault="00A85061">
            <w:pPr>
              <w:rPr>
                <w:rFonts w:ascii="宋体"/>
              </w:rPr>
            </w:pPr>
          </w:p>
        </w:tc>
        <w:tc>
          <w:tcPr>
            <w:tcW w:w="3636" w:type="pct"/>
            <w:shd w:val="clear" w:color="auto" w:fill="auto"/>
            <w:vAlign w:val="bottom"/>
          </w:tcPr>
          <w:p w14:paraId="27E07434" w14:textId="77777777" w:rsidR="00A85061" w:rsidRDefault="00A85061">
            <w:pPr>
              <w:rPr>
                <w:rFonts w:ascii="宋体"/>
              </w:rPr>
            </w:pPr>
          </w:p>
        </w:tc>
        <w:tc>
          <w:tcPr>
            <w:tcW w:w="5" w:type="pct"/>
            <w:shd w:val="clear" w:color="auto" w:fill="auto"/>
            <w:vAlign w:val="bottom"/>
          </w:tcPr>
          <w:p w14:paraId="27E07435" w14:textId="77777777" w:rsidR="00A85061" w:rsidRDefault="00A85061">
            <w:pPr>
              <w:rPr>
                <w:rFonts w:ascii="宋体"/>
              </w:rPr>
            </w:pPr>
          </w:p>
        </w:tc>
        <w:tc>
          <w:tcPr>
            <w:tcW w:w="50" w:type="pct"/>
            <w:shd w:val="clear" w:color="auto" w:fill="auto"/>
            <w:vAlign w:val="bottom"/>
          </w:tcPr>
          <w:p w14:paraId="27E07436" w14:textId="77777777" w:rsidR="00A85061" w:rsidRDefault="00A85061">
            <w:pPr>
              <w:rPr>
                <w:rFonts w:ascii="宋体"/>
              </w:rPr>
            </w:pPr>
          </w:p>
        </w:tc>
        <w:tc>
          <w:tcPr>
            <w:tcW w:w="580" w:type="pct"/>
            <w:shd w:val="clear" w:color="auto" w:fill="auto"/>
            <w:vAlign w:val="bottom"/>
          </w:tcPr>
          <w:p w14:paraId="27E07437" w14:textId="77777777" w:rsidR="00A85061" w:rsidRDefault="00A85061">
            <w:pPr>
              <w:rPr>
                <w:rFonts w:ascii="宋体"/>
              </w:rPr>
            </w:pPr>
          </w:p>
        </w:tc>
        <w:tc>
          <w:tcPr>
            <w:tcW w:w="5" w:type="pct"/>
            <w:shd w:val="clear" w:color="auto" w:fill="auto"/>
            <w:vAlign w:val="bottom"/>
          </w:tcPr>
          <w:p w14:paraId="27E07438" w14:textId="77777777" w:rsidR="00A85061" w:rsidRDefault="00A85061">
            <w:pPr>
              <w:rPr>
                <w:rFonts w:ascii="宋体"/>
              </w:rPr>
            </w:pPr>
          </w:p>
        </w:tc>
        <w:tc>
          <w:tcPr>
            <w:tcW w:w="5" w:type="pct"/>
            <w:shd w:val="clear" w:color="auto" w:fill="auto"/>
            <w:vAlign w:val="bottom"/>
          </w:tcPr>
          <w:p w14:paraId="27E07439" w14:textId="77777777" w:rsidR="00A85061" w:rsidRDefault="00A85061">
            <w:pPr>
              <w:rPr>
                <w:rFonts w:ascii="宋体"/>
              </w:rPr>
            </w:pPr>
          </w:p>
        </w:tc>
        <w:tc>
          <w:tcPr>
            <w:tcW w:w="26" w:type="pct"/>
            <w:shd w:val="clear" w:color="auto" w:fill="auto"/>
            <w:vAlign w:val="bottom"/>
          </w:tcPr>
          <w:p w14:paraId="27E0743A" w14:textId="77777777" w:rsidR="00A85061" w:rsidRDefault="00A85061">
            <w:pPr>
              <w:rPr>
                <w:rFonts w:ascii="宋体"/>
              </w:rPr>
            </w:pPr>
          </w:p>
        </w:tc>
        <w:tc>
          <w:tcPr>
            <w:tcW w:w="5" w:type="pct"/>
            <w:shd w:val="clear" w:color="auto" w:fill="auto"/>
            <w:vAlign w:val="bottom"/>
          </w:tcPr>
          <w:p w14:paraId="27E0743B" w14:textId="77777777" w:rsidR="00A85061" w:rsidRDefault="00A85061">
            <w:pPr>
              <w:rPr>
                <w:rFonts w:ascii="宋体"/>
              </w:rPr>
            </w:pPr>
          </w:p>
        </w:tc>
        <w:tc>
          <w:tcPr>
            <w:tcW w:w="50" w:type="pct"/>
            <w:shd w:val="clear" w:color="auto" w:fill="auto"/>
            <w:vAlign w:val="bottom"/>
          </w:tcPr>
          <w:p w14:paraId="27E0743C" w14:textId="77777777" w:rsidR="00A85061" w:rsidRDefault="00A85061">
            <w:pPr>
              <w:rPr>
                <w:rFonts w:ascii="宋体"/>
              </w:rPr>
            </w:pPr>
          </w:p>
        </w:tc>
        <w:tc>
          <w:tcPr>
            <w:tcW w:w="581" w:type="pct"/>
            <w:shd w:val="clear" w:color="auto" w:fill="auto"/>
            <w:vAlign w:val="bottom"/>
          </w:tcPr>
          <w:p w14:paraId="27E0743D" w14:textId="77777777" w:rsidR="00A85061" w:rsidRDefault="00A85061">
            <w:pPr>
              <w:rPr>
                <w:rFonts w:ascii="宋体"/>
              </w:rPr>
            </w:pPr>
          </w:p>
        </w:tc>
        <w:tc>
          <w:tcPr>
            <w:tcW w:w="5" w:type="pct"/>
            <w:shd w:val="clear" w:color="auto" w:fill="auto"/>
            <w:vAlign w:val="bottom"/>
          </w:tcPr>
          <w:p w14:paraId="27E0743E" w14:textId="77777777" w:rsidR="00A85061" w:rsidRDefault="00A85061">
            <w:pPr>
              <w:rPr>
                <w:rFonts w:ascii="宋体"/>
              </w:rPr>
            </w:pPr>
          </w:p>
        </w:tc>
        <w:tc>
          <w:tcPr>
            <w:tcW w:w="0" w:type="auto"/>
            <w:shd w:val="clear" w:color="auto" w:fill="auto"/>
            <w:vAlign w:val="bottom"/>
          </w:tcPr>
          <w:p w14:paraId="27E0743F" w14:textId="77777777" w:rsidR="00A85061" w:rsidRDefault="00A85061">
            <w:pPr>
              <w:rPr>
                <w:rFonts w:ascii="宋体"/>
                <w:vanish/>
              </w:rPr>
            </w:pPr>
          </w:p>
        </w:tc>
        <w:tc>
          <w:tcPr>
            <w:tcW w:w="0" w:type="auto"/>
            <w:shd w:val="clear" w:color="auto" w:fill="auto"/>
            <w:vAlign w:val="bottom"/>
          </w:tcPr>
          <w:p w14:paraId="27E07440" w14:textId="77777777" w:rsidR="00A85061" w:rsidRDefault="00A85061">
            <w:pPr>
              <w:rPr>
                <w:rFonts w:ascii="宋体"/>
                <w:vanish/>
              </w:rPr>
            </w:pPr>
          </w:p>
        </w:tc>
        <w:tc>
          <w:tcPr>
            <w:tcW w:w="0" w:type="auto"/>
            <w:gridSpan w:val="3"/>
            <w:shd w:val="clear" w:color="auto" w:fill="auto"/>
            <w:vAlign w:val="bottom"/>
          </w:tcPr>
          <w:p w14:paraId="27E07441" w14:textId="77777777" w:rsidR="00A85061" w:rsidRDefault="00A85061">
            <w:pPr>
              <w:rPr>
                <w:rFonts w:ascii="宋体"/>
                <w:vanish/>
              </w:rPr>
            </w:pPr>
          </w:p>
        </w:tc>
        <w:tc>
          <w:tcPr>
            <w:tcW w:w="0" w:type="auto"/>
            <w:gridSpan w:val="3"/>
            <w:shd w:val="clear" w:color="auto" w:fill="auto"/>
            <w:vAlign w:val="bottom"/>
          </w:tcPr>
          <w:p w14:paraId="27E07442" w14:textId="77777777" w:rsidR="00A85061" w:rsidRDefault="00A85061">
            <w:pPr>
              <w:rPr>
                <w:rFonts w:ascii="宋体"/>
                <w:vanish/>
              </w:rPr>
            </w:pPr>
          </w:p>
        </w:tc>
      </w:tr>
      <w:tr w:rsidR="00A85061" w14:paraId="27E0744E" w14:textId="77777777">
        <w:trPr>
          <w:jc w:val="center"/>
        </w:trPr>
        <w:tc>
          <w:tcPr>
            <w:tcW w:w="0" w:type="auto"/>
            <w:gridSpan w:val="3"/>
            <w:shd w:val="clear" w:color="auto" w:fill="auto"/>
            <w:tcMar>
              <w:top w:w="40" w:type="dxa"/>
              <w:left w:w="20" w:type="dxa"/>
              <w:bottom w:w="40" w:type="dxa"/>
              <w:right w:w="20" w:type="dxa"/>
            </w:tcMar>
            <w:vAlign w:val="bottom"/>
          </w:tcPr>
          <w:p w14:paraId="27E07444"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445"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27E07446" w14:textId="77777777" w:rsidR="00A85061" w:rsidRDefault="00A85061">
            <w:pPr>
              <w:rPr>
                <w:rFonts w:ascii="宋体"/>
                <w:vanish/>
              </w:rPr>
            </w:pPr>
          </w:p>
        </w:tc>
        <w:tc>
          <w:tcPr>
            <w:tcW w:w="0" w:type="auto"/>
            <w:shd w:val="clear" w:color="auto" w:fill="auto"/>
            <w:vAlign w:val="bottom"/>
          </w:tcPr>
          <w:p w14:paraId="27E07447" w14:textId="77777777" w:rsidR="00A85061" w:rsidRDefault="00A85061">
            <w:pPr>
              <w:rPr>
                <w:rFonts w:ascii="宋体"/>
                <w:vanish/>
              </w:rPr>
            </w:pPr>
          </w:p>
        </w:tc>
        <w:tc>
          <w:tcPr>
            <w:tcW w:w="0" w:type="auto"/>
            <w:shd w:val="clear" w:color="auto" w:fill="auto"/>
            <w:vAlign w:val="bottom"/>
          </w:tcPr>
          <w:p w14:paraId="27E07448" w14:textId="77777777" w:rsidR="00A85061" w:rsidRDefault="00A85061">
            <w:pPr>
              <w:rPr>
                <w:rFonts w:ascii="宋体"/>
              </w:rPr>
            </w:pPr>
          </w:p>
        </w:tc>
        <w:tc>
          <w:tcPr>
            <w:tcW w:w="0" w:type="auto"/>
            <w:shd w:val="clear" w:color="auto" w:fill="auto"/>
            <w:vAlign w:val="bottom"/>
          </w:tcPr>
          <w:p w14:paraId="27E07449" w14:textId="77777777" w:rsidR="00A85061" w:rsidRDefault="00A85061">
            <w:pPr>
              <w:rPr>
                <w:rFonts w:ascii="宋体"/>
              </w:rPr>
            </w:pPr>
          </w:p>
        </w:tc>
        <w:tc>
          <w:tcPr>
            <w:tcW w:w="0" w:type="auto"/>
            <w:shd w:val="clear" w:color="auto" w:fill="auto"/>
            <w:vAlign w:val="bottom"/>
          </w:tcPr>
          <w:p w14:paraId="27E0744A" w14:textId="77777777" w:rsidR="00A85061" w:rsidRDefault="00A85061">
            <w:pPr>
              <w:rPr>
                <w:rFonts w:ascii="宋体"/>
              </w:rPr>
            </w:pPr>
          </w:p>
        </w:tc>
        <w:tc>
          <w:tcPr>
            <w:tcW w:w="0" w:type="auto"/>
            <w:shd w:val="clear" w:color="auto" w:fill="auto"/>
            <w:vAlign w:val="bottom"/>
          </w:tcPr>
          <w:p w14:paraId="27E0744B" w14:textId="77777777" w:rsidR="00A85061" w:rsidRDefault="00A85061">
            <w:pPr>
              <w:rPr>
                <w:rFonts w:ascii="宋体"/>
              </w:rPr>
            </w:pPr>
          </w:p>
        </w:tc>
        <w:tc>
          <w:tcPr>
            <w:tcW w:w="0" w:type="auto"/>
            <w:shd w:val="clear" w:color="auto" w:fill="auto"/>
            <w:vAlign w:val="bottom"/>
          </w:tcPr>
          <w:p w14:paraId="27E0744C" w14:textId="77777777" w:rsidR="00A85061" w:rsidRDefault="00A85061">
            <w:pPr>
              <w:rPr>
                <w:rFonts w:ascii="宋体"/>
              </w:rPr>
            </w:pPr>
          </w:p>
        </w:tc>
        <w:tc>
          <w:tcPr>
            <w:tcW w:w="0" w:type="auto"/>
            <w:shd w:val="clear" w:color="auto" w:fill="auto"/>
            <w:vAlign w:val="bottom"/>
          </w:tcPr>
          <w:p w14:paraId="27E0744D" w14:textId="77777777" w:rsidR="00A85061" w:rsidRDefault="00A85061">
            <w:pPr>
              <w:rPr>
                <w:rFonts w:ascii="宋体"/>
              </w:rPr>
            </w:pPr>
          </w:p>
        </w:tc>
      </w:tr>
      <w:tr w:rsidR="00A85061" w14:paraId="27E07457" w14:textId="77777777">
        <w:trPr>
          <w:jc w:val="center"/>
        </w:trPr>
        <w:tc>
          <w:tcPr>
            <w:tcW w:w="0" w:type="auto"/>
            <w:gridSpan w:val="3"/>
            <w:shd w:val="clear" w:color="auto" w:fill="auto"/>
            <w:tcMar>
              <w:top w:w="40" w:type="dxa"/>
              <w:left w:w="20" w:type="dxa"/>
              <w:bottom w:w="40" w:type="dxa"/>
              <w:right w:w="20" w:type="dxa"/>
            </w:tcMar>
            <w:vAlign w:val="bottom"/>
          </w:tcPr>
          <w:p w14:paraId="27E0744F"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450"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451"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452"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shd w:val="clear" w:color="auto" w:fill="auto"/>
            <w:vAlign w:val="bottom"/>
          </w:tcPr>
          <w:p w14:paraId="27E07453" w14:textId="77777777" w:rsidR="00A85061" w:rsidRDefault="00A85061">
            <w:pPr>
              <w:rPr>
                <w:rFonts w:ascii="宋体"/>
                <w:vanish/>
              </w:rPr>
            </w:pPr>
          </w:p>
        </w:tc>
        <w:tc>
          <w:tcPr>
            <w:tcW w:w="0" w:type="auto"/>
            <w:shd w:val="clear" w:color="auto" w:fill="auto"/>
            <w:vAlign w:val="bottom"/>
          </w:tcPr>
          <w:p w14:paraId="27E07454" w14:textId="77777777" w:rsidR="00A85061" w:rsidRDefault="00A85061">
            <w:pPr>
              <w:rPr>
                <w:rFonts w:ascii="宋体"/>
                <w:vanish/>
              </w:rPr>
            </w:pPr>
          </w:p>
        </w:tc>
        <w:tc>
          <w:tcPr>
            <w:tcW w:w="0" w:type="auto"/>
            <w:gridSpan w:val="3"/>
            <w:shd w:val="clear" w:color="auto" w:fill="auto"/>
            <w:vAlign w:val="bottom"/>
          </w:tcPr>
          <w:p w14:paraId="27E07455" w14:textId="77777777" w:rsidR="00A85061" w:rsidRDefault="00A85061">
            <w:pPr>
              <w:rPr>
                <w:rFonts w:ascii="宋体"/>
                <w:vanish/>
              </w:rPr>
            </w:pPr>
          </w:p>
        </w:tc>
        <w:tc>
          <w:tcPr>
            <w:tcW w:w="0" w:type="auto"/>
            <w:gridSpan w:val="3"/>
            <w:shd w:val="clear" w:color="auto" w:fill="auto"/>
            <w:vAlign w:val="bottom"/>
          </w:tcPr>
          <w:p w14:paraId="27E07456" w14:textId="77777777" w:rsidR="00A85061" w:rsidRDefault="00A85061">
            <w:pPr>
              <w:rPr>
                <w:rFonts w:ascii="宋体"/>
                <w:vanish/>
              </w:rPr>
            </w:pPr>
          </w:p>
        </w:tc>
      </w:tr>
      <w:tr w:rsidR="00A85061" w14:paraId="27E07460" w14:textId="77777777">
        <w:trPr>
          <w:jc w:val="center"/>
        </w:trPr>
        <w:tc>
          <w:tcPr>
            <w:tcW w:w="0" w:type="auto"/>
            <w:gridSpan w:val="3"/>
            <w:shd w:val="clear" w:color="auto" w:fill="auto"/>
            <w:tcMar>
              <w:top w:w="0" w:type="dxa"/>
              <w:left w:w="20" w:type="dxa"/>
              <w:bottom w:w="0" w:type="dxa"/>
              <w:right w:w="20" w:type="dxa"/>
            </w:tcMar>
            <w:vAlign w:val="bottom"/>
          </w:tcPr>
          <w:p w14:paraId="27E07458"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459"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745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45B"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shd w:val="clear" w:color="auto" w:fill="auto"/>
            <w:vAlign w:val="bottom"/>
          </w:tcPr>
          <w:p w14:paraId="27E0745C" w14:textId="77777777" w:rsidR="00A85061" w:rsidRDefault="00A85061">
            <w:pPr>
              <w:rPr>
                <w:rFonts w:ascii="宋体"/>
                <w:vanish/>
              </w:rPr>
            </w:pPr>
          </w:p>
        </w:tc>
        <w:tc>
          <w:tcPr>
            <w:tcW w:w="0" w:type="auto"/>
            <w:shd w:val="clear" w:color="auto" w:fill="auto"/>
            <w:vAlign w:val="bottom"/>
          </w:tcPr>
          <w:p w14:paraId="27E0745D" w14:textId="77777777" w:rsidR="00A85061" w:rsidRDefault="00A85061">
            <w:pPr>
              <w:rPr>
                <w:rFonts w:ascii="宋体"/>
                <w:vanish/>
              </w:rPr>
            </w:pPr>
          </w:p>
        </w:tc>
        <w:tc>
          <w:tcPr>
            <w:tcW w:w="0" w:type="auto"/>
            <w:gridSpan w:val="3"/>
            <w:shd w:val="clear" w:color="auto" w:fill="auto"/>
            <w:vAlign w:val="bottom"/>
          </w:tcPr>
          <w:p w14:paraId="27E0745E" w14:textId="77777777" w:rsidR="00A85061" w:rsidRDefault="00A85061">
            <w:pPr>
              <w:rPr>
                <w:rFonts w:ascii="宋体"/>
                <w:vanish/>
              </w:rPr>
            </w:pPr>
          </w:p>
        </w:tc>
        <w:tc>
          <w:tcPr>
            <w:tcW w:w="0" w:type="auto"/>
            <w:gridSpan w:val="3"/>
            <w:shd w:val="clear" w:color="auto" w:fill="auto"/>
            <w:vAlign w:val="bottom"/>
          </w:tcPr>
          <w:p w14:paraId="27E0745F" w14:textId="77777777" w:rsidR="00A85061" w:rsidRDefault="00A85061">
            <w:pPr>
              <w:rPr>
                <w:rFonts w:ascii="宋体"/>
                <w:vanish/>
              </w:rPr>
            </w:pPr>
          </w:p>
        </w:tc>
      </w:tr>
      <w:tr w:rsidR="00A85061" w14:paraId="27E07469" w14:textId="77777777">
        <w:trPr>
          <w:trHeight w:val="300"/>
          <w:jc w:val="center"/>
        </w:trPr>
        <w:tc>
          <w:tcPr>
            <w:tcW w:w="0" w:type="auto"/>
            <w:gridSpan w:val="3"/>
            <w:shd w:val="clear" w:color="auto" w:fill="auto"/>
            <w:tcMar>
              <w:top w:w="0" w:type="dxa"/>
              <w:left w:w="20" w:type="dxa"/>
              <w:bottom w:w="0" w:type="dxa"/>
              <w:right w:w="20" w:type="dxa"/>
            </w:tcMar>
            <w:vAlign w:val="bottom"/>
          </w:tcPr>
          <w:p w14:paraId="27E0746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46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46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464" w14:textId="77777777" w:rsidR="00A85061" w:rsidRDefault="00A85061">
            <w:pPr>
              <w:rPr>
                <w:rFonts w:ascii="宋体"/>
              </w:rPr>
            </w:pPr>
          </w:p>
        </w:tc>
        <w:tc>
          <w:tcPr>
            <w:tcW w:w="0" w:type="auto"/>
            <w:shd w:val="clear" w:color="auto" w:fill="auto"/>
            <w:vAlign w:val="bottom"/>
          </w:tcPr>
          <w:p w14:paraId="27E07465" w14:textId="77777777" w:rsidR="00A85061" w:rsidRDefault="00A85061">
            <w:pPr>
              <w:rPr>
                <w:rFonts w:ascii="宋体"/>
                <w:vanish/>
              </w:rPr>
            </w:pPr>
          </w:p>
        </w:tc>
        <w:tc>
          <w:tcPr>
            <w:tcW w:w="0" w:type="auto"/>
            <w:shd w:val="clear" w:color="auto" w:fill="auto"/>
            <w:vAlign w:val="bottom"/>
          </w:tcPr>
          <w:p w14:paraId="27E07466" w14:textId="77777777" w:rsidR="00A85061" w:rsidRDefault="00A85061">
            <w:pPr>
              <w:rPr>
                <w:rFonts w:ascii="宋体"/>
                <w:vanish/>
              </w:rPr>
            </w:pPr>
          </w:p>
        </w:tc>
        <w:tc>
          <w:tcPr>
            <w:tcW w:w="0" w:type="auto"/>
            <w:gridSpan w:val="3"/>
            <w:shd w:val="clear" w:color="auto" w:fill="auto"/>
            <w:vAlign w:val="bottom"/>
          </w:tcPr>
          <w:p w14:paraId="27E07467" w14:textId="77777777" w:rsidR="00A85061" w:rsidRDefault="00A85061">
            <w:pPr>
              <w:rPr>
                <w:rFonts w:ascii="宋体"/>
                <w:vanish/>
              </w:rPr>
            </w:pPr>
          </w:p>
        </w:tc>
        <w:tc>
          <w:tcPr>
            <w:tcW w:w="0" w:type="auto"/>
            <w:gridSpan w:val="3"/>
            <w:shd w:val="clear" w:color="auto" w:fill="auto"/>
            <w:vAlign w:val="bottom"/>
          </w:tcPr>
          <w:p w14:paraId="27E07468" w14:textId="77777777" w:rsidR="00A85061" w:rsidRDefault="00A85061">
            <w:pPr>
              <w:rPr>
                <w:rFonts w:ascii="宋体"/>
                <w:vanish/>
              </w:rPr>
            </w:pPr>
          </w:p>
        </w:tc>
      </w:tr>
      <w:tr w:rsidR="00A85061" w14:paraId="27E07476" w14:textId="77777777">
        <w:trPr>
          <w:jc w:val="center"/>
        </w:trPr>
        <w:tc>
          <w:tcPr>
            <w:tcW w:w="0" w:type="auto"/>
            <w:gridSpan w:val="3"/>
            <w:shd w:val="clear" w:color="auto" w:fill="E2EFD9"/>
            <w:tcMar>
              <w:top w:w="40" w:type="dxa"/>
              <w:left w:w="20" w:type="dxa"/>
              <w:bottom w:w="40" w:type="dxa"/>
              <w:right w:w="20" w:type="dxa"/>
            </w:tcMar>
            <w:vAlign w:val="bottom"/>
          </w:tcPr>
          <w:p w14:paraId="27E0746A" w14:textId="77777777" w:rsidR="00A85061" w:rsidRDefault="00F04891">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27E0746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46C"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shd w:val="clear" w:color="auto" w:fill="E2EFD9"/>
            <w:tcMar>
              <w:top w:w="40" w:type="dxa"/>
              <w:left w:w="0" w:type="dxa"/>
              <w:bottom w:w="40" w:type="dxa"/>
              <w:right w:w="20" w:type="dxa"/>
            </w:tcMar>
            <w:vAlign w:val="bottom"/>
          </w:tcPr>
          <w:p w14:paraId="27E0746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6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46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470"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shd w:val="clear" w:color="auto" w:fill="E2EFD9"/>
            <w:tcMar>
              <w:top w:w="40" w:type="dxa"/>
              <w:left w:w="0" w:type="dxa"/>
              <w:bottom w:w="40" w:type="dxa"/>
              <w:right w:w="20" w:type="dxa"/>
            </w:tcMar>
            <w:vAlign w:val="bottom"/>
          </w:tcPr>
          <w:p w14:paraId="27E07471" w14:textId="77777777" w:rsidR="00A85061" w:rsidRDefault="00A85061">
            <w:pPr>
              <w:jc w:val="right"/>
              <w:rPr>
                <w:rFonts w:ascii="宋体"/>
              </w:rPr>
            </w:pPr>
          </w:p>
        </w:tc>
        <w:tc>
          <w:tcPr>
            <w:tcW w:w="0" w:type="auto"/>
            <w:shd w:val="clear" w:color="auto" w:fill="auto"/>
            <w:vAlign w:val="bottom"/>
          </w:tcPr>
          <w:p w14:paraId="27E07472" w14:textId="77777777" w:rsidR="00A85061" w:rsidRDefault="00A85061">
            <w:pPr>
              <w:rPr>
                <w:rFonts w:ascii="宋体"/>
                <w:vanish/>
              </w:rPr>
            </w:pPr>
          </w:p>
        </w:tc>
        <w:tc>
          <w:tcPr>
            <w:tcW w:w="0" w:type="auto"/>
            <w:shd w:val="clear" w:color="auto" w:fill="auto"/>
            <w:vAlign w:val="bottom"/>
          </w:tcPr>
          <w:p w14:paraId="27E07473" w14:textId="77777777" w:rsidR="00A85061" w:rsidRDefault="00A85061">
            <w:pPr>
              <w:rPr>
                <w:rFonts w:ascii="宋体"/>
                <w:vanish/>
              </w:rPr>
            </w:pPr>
          </w:p>
        </w:tc>
        <w:tc>
          <w:tcPr>
            <w:tcW w:w="0" w:type="auto"/>
            <w:gridSpan w:val="3"/>
            <w:shd w:val="clear" w:color="auto" w:fill="auto"/>
            <w:vAlign w:val="bottom"/>
          </w:tcPr>
          <w:p w14:paraId="27E07474" w14:textId="77777777" w:rsidR="00A85061" w:rsidRDefault="00A85061">
            <w:pPr>
              <w:rPr>
                <w:rFonts w:ascii="宋体"/>
                <w:vanish/>
              </w:rPr>
            </w:pPr>
          </w:p>
        </w:tc>
        <w:tc>
          <w:tcPr>
            <w:tcW w:w="0" w:type="auto"/>
            <w:gridSpan w:val="3"/>
            <w:shd w:val="clear" w:color="auto" w:fill="auto"/>
            <w:vAlign w:val="bottom"/>
          </w:tcPr>
          <w:p w14:paraId="27E07475" w14:textId="77777777" w:rsidR="00A85061" w:rsidRDefault="00A85061">
            <w:pPr>
              <w:rPr>
                <w:rFonts w:ascii="宋体"/>
                <w:vanish/>
              </w:rPr>
            </w:pPr>
          </w:p>
        </w:tc>
      </w:tr>
      <w:tr w:rsidR="00A85061" w14:paraId="27E07481" w14:textId="77777777">
        <w:trPr>
          <w:jc w:val="center"/>
        </w:trPr>
        <w:tc>
          <w:tcPr>
            <w:tcW w:w="0" w:type="auto"/>
            <w:gridSpan w:val="3"/>
            <w:shd w:val="clear" w:color="auto" w:fill="FFFFFF"/>
            <w:tcMar>
              <w:top w:w="40" w:type="dxa"/>
              <w:left w:w="515" w:type="dxa"/>
              <w:bottom w:w="40" w:type="dxa"/>
              <w:right w:w="20" w:type="dxa"/>
            </w:tcMar>
            <w:vAlign w:val="bottom"/>
          </w:tcPr>
          <w:p w14:paraId="27E07477" w14:textId="77777777" w:rsidR="00A85061" w:rsidRDefault="00F04891">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27E07478" w14:textId="77777777" w:rsidR="00A85061" w:rsidRDefault="00F04891">
            <w:pPr>
              <w:jc w:val="right"/>
              <w:textAlignment w:val="bottom"/>
            </w:pPr>
            <w:r>
              <w:rPr>
                <w:rFonts w:ascii="sans-serif" w:eastAsia="sans-serif" w:hAnsi="sans-serif" w:cs="sans-serif"/>
                <w:color w:val="000000"/>
                <w:sz w:val="20"/>
                <w:szCs w:val="20"/>
              </w:rPr>
              <w:t>2,032 </w:t>
            </w:r>
          </w:p>
        </w:tc>
        <w:tc>
          <w:tcPr>
            <w:tcW w:w="0" w:type="auto"/>
            <w:shd w:val="clear" w:color="auto" w:fill="FFFFFF"/>
            <w:tcMar>
              <w:top w:w="40" w:type="dxa"/>
              <w:left w:w="0" w:type="dxa"/>
              <w:bottom w:w="40" w:type="dxa"/>
              <w:right w:w="20" w:type="dxa"/>
            </w:tcMar>
            <w:vAlign w:val="bottom"/>
          </w:tcPr>
          <w:p w14:paraId="27E0747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47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47B" w14:textId="77777777" w:rsidR="00A85061" w:rsidRDefault="00F04891">
            <w:pPr>
              <w:jc w:val="right"/>
              <w:textAlignment w:val="bottom"/>
            </w:pPr>
            <w:r>
              <w:rPr>
                <w:rFonts w:ascii="sans-serif" w:eastAsia="sans-serif" w:hAnsi="sans-serif" w:cs="sans-serif"/>
                <w:color w:val="000000"/>
                <w:sz w:val="20"/>
                <w:szCs w:val="20"/>
              </w:rPr>
              <w:t>1,076 </w:t>
            </w:r>
          </w:p>
        </w:tc>
        <w:tc>
          <w:tcPr>
            <w:tcW w:w="0" w:type="auto"/>
            <w:shd w:val="clear" w:color="auto" w:fill="FFFFFF"/>
            <w:tcMar>
              <w:top w:w="40" w:type="dxa"/>
              <w:left w:w="0" w:type="dxa"/>
              <w:bottom w:w="40" w:type="dxa"/>
              <w:right w:w="20" w:type="dxa"/>
            </w:tcMar>
            <w:vAlign w:val="bottom"/>
          </w:tcPr>
          <w:p w14:paraId="27E0747C" w14:textId="77777777" w:rsidR="00A85061" w:rsidRDefault="00A85061">
            <w:pPr>
              <w:jc w:val="right"/>
              <w:rPr>
                <w:rFonts w:ascii="宋体"/>
              </w:rPr>
            </w:pPr>
          </w:p>
        </w:tc>
        <w:tc>
          <w:tcPr>
            <w:tcW w:w="0" w:type="auto"/>
            <w:shd w:val="clear" w:color="auto" w:fill="auto"/>
            <w:vAlign w:val="bottom"/>
          </w:tcPr>
          <w:p w14:paraId="27E0747D" w14:textId="77777777" w:rsidR="00A85061" w:rsidRDefault="00A85061">
            <w:pPr>
              <w:rPr>
                <w:rFonts w:ascii="宋体"/>
                <w:vanish/>
              </w:rPr>
            </w:pPr>
          </w:p>
        </w:tc>
        <w:tc>
          <w:tcPr>
            <w:tcW w:w="0" w:type="auto"/>
            <w:shd w:val="clear" w:color="auto" w:fill="auto"/>
            <w:vAlign w:val="bottom"/>
          </w:tcPr>
          <w:p w14:paraId="27E0747E" w14:textId="77777777" w:rsidR="00A85061" w:rsidRDefault="00A85061">
            <w:pPr>
              <w:rPr>
                <w:rFonts w:ascii="宋体"/>
                <w:vanish/>
              </w:rPr>
            </w:pPr>
          </w:p>
        </w:tc>
        <w:tc>
          <w:tcPr>
            <w:tcW w:w="0" w:type="auto"/>
            <w:gridSpan w:val="3"/>
            <w:shd w:val="clear" w:color="auto" w:fill="auto"/>
            <w:vAlign w:val="bottom"/>
          </w:tcPr>
          <w:p w14:paraId="27E0747F" w14:textId="77777777" w:rsidR="00A85061" w:rsidRDefault="00A85061">
            <w:pPr>
              <w:rPr>
                <w:rFonts w:ascii="宋体"/>
                <w:vanish/>
              </w:rPr>
            </w:pPr>
          </w:p>
        </w:tc>
        <w:tc>
          <w:tcPr>
            <w:tcW w:w="0" w:type="auto"/>
            <w:gridSpan w:val="3"/>
            <w:shd w:val="clear" w:color="auto" w:fill="auto"/>
            <w:vAlign w:val="bottom"/>
          </w:tcPr>
          <w:p w14:paraId="27E07480" w14:textId="77777777" w:rsidR="00A85061" w:rsidRDefault="00A85061">
            <w:pPr>
              <w:rPr>
                <w:rFonts w:ascii="宋体"/>
                <w:vanish/>
              </w:rPr>
            </w:pPr>
          </w:p>
        </w:tc>
      </w:tr>
      <w:tr w:rsidR="00A85061" w14:paraId="27E0748C" w14:textId="77777777">
        <w:trPr>
          <w:jc w:val="center"/>
        </w:trPr>
        <w:tc>
          <w:tcPr>
            <w:tcW w:w="0" w:type="auto"/>
            <w:gridSpan w:val="3"/>
            <w:shd w:val="clear" w:color="auto" w:fill="E2EFD9"/>
            <w:tcMar>
              <w:top w:w="40" w:type="dxa"/>
              <w:left w:w="20" w:type="dxa"/>
              <w:bottom w:w="40" w:type="dxa"/>
              <w:right w:w="20" w:type="dxa"/>
            </w:tcMar>
            <w:vAlign w:val="bottom"/>
          </w:tcPr>
          <w:p w14:paraId="27E07482" w14:textId="77777777" w:rsidR="00A85061" w:rsidRDefault="00F04891">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83" w14:textId="77777777" w:rsidR="00A85061" w:rsidRDefault="00F04891">
            <w:pPr>
              <w:jc w:val="right"/>
              <w:textAlignment w:val="bottom"/>
            </w:pPr>
            <w:r>
              <w:rPr>
                <w:rFonts w:ascii="sans-serif" w:eastAsia="sans-serif" w:hAnsi="sans-serif" w:cs="sans-serif"/>
                <w:color w:val="000000"/>
                <w:sz w:val="20"/>
                <w:szCs w:val="20"/>
              </w:rPr>
              <w:t>3,629 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8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85"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86" w14:textId="77777777" w:rsidR="00A85061" w:rsidRDefault="00F04891">
            <w:pPr>
              <w:jc w:val="right"/>
              <w:textAlignment w:val="bottom"/>
            </w:pPr>
            <w:r>
              <w:rPr>
                <w:rFonts w:ascii="sans-serif" w:eastAsia="sans-serif" w:hAnsi="sans-serif" w:cs="sans-serif"/>
                <w:color w:val="000000"/>
                <w:sz w:val="20"/>
                <w:szCs w:val="20"/>
              </w:rPr>
              <w:t>2,004 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87" w14:textId="77777777" w:rsidR="00A85061" w:rsidRDefault="00A85061">
            <w:pPr>
              <w:jc w:val="right"/>
              <w:rPr>
                <w:rFonts w:ascii="宋体"/>
              </w:rPr>
            </w:pPr>
          </w:p>
        </w:tc>
        <w:tc>
          <w:tcPr>
            <w:tcW w:w="0" w:type="auto"/>
            <w:shd w:val="clear" w:color="auto" w:fill="auto"/>
            <w:vAlign w:val="bottom"/>
          </w:tcPr>
          <w:p w14:paraId="27E07488" w14:textId="77777777" w:rsidR="00A85061" w:rsidRDefault="00A85061">
            <w:pPr>
              <w:rPr>
                <w:rFonts w:ascii="宋体"/>
                <w:vanish/>
              </w:rPr>
            </w:pPr>
          </w:p>
        </w:tc>
        <w:tc>
          <w:tcPr>
            <w:tcW w:w="0" w:type="auto"/>
            <w:shd w:val="clear" w:color="auto" w:fill="auto"/>
            <w:vAlign w:val="bottom"/>
          </w:tcPr>
          <w:p w14:paraId="27E07489" w14:textId="77777777" w:rsidR="00A85061" w:rsidRDefault="00A85061">
            <w:pPr>
              <w:rPr>
                <w:rFonts w:ascii="宋体"/>
                <w:vanish/>
              </w:rPr>
            </w:pPr>
          </w:p>
        </w:tc>
        <w:tc>
          <w:tcPr>
            <w:tcW w:w="0" w:type="auto"/>
            <w:gridSpan w:val="3"/>
            <w:shd w:val="clear" w:color="auto" w:fill="auto"/>
            <w:vAlign w:val="bottom"/>
          </w:tcPr>
          <w:p w14:paraId="27E0748A" w14:textId="77777777" w:rsidR="00A85061" w:rsidRDefault="00A85061">
            <w:pPr>
              <w:rPr>
                <w:rFonts w:ascii="宋体"/>
                <w:vanish/>
              </w:rPr>
            </w:pPr>
          </w:p>
        </w:tc>
        <w:tc>
          <w:tcPr>
            <w:tcW w:w="0" w:type="auto"/>
            <w:gridSpan w:val="3"/>
            <w:shd w:val="clear" w:color="auto" w:fill="auto"/>
            <w:vAlign w:val="bottom"/>
          </w:tcPr>
          <w:p w14:paraId="27E0748B" w14:textId="77777777" w:rsidR="00A85061" w:rsidRDefault="00A85061">
            <w:pPr>
              <w:rPr>
                <w:rFonts w:ascii="宋体"/>
                <w:vanish/>
              </w:rPr>
            </w:pPr>
          </w:p>
        </w:tc>
      </w:tr>
      <w:tr w:rsidR="00A85061" w14:paraId="27E07495" w14:textId="77777777">
        <w:trPr>
          <w:jc w:val="center"/>
        </w:trPr>
        <w:tc>
          <w:tcPr>
            <w:tcW w:w="0" w:type="auto"/>
            <w:gridSpan w:val="3"/>
            <w:shd w:val="clear" w:color="auto" w:fill="FFFFFF"/>
            <w:tcMar>
              <w:top w:w="40" w:type="dxa"/>
              <w:left w:w="20" w:type="dxa"/>
              <w:bottom w:w="40" w:type="dxa"/>
              <w:right w:w="20" w:type="dxa"/>
            </w:tcMar>
            <w:vAlign w:val="bottom"/>
          </w:tcPr>
          <w:p w14:paraId="27E0748D" w14:textId="77777777" w:rsidR="00A85061" w:rsidRDefault="00F04891">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27E0748E" w14:textId="77777777" w:rsidR="00A85061" w:rsidRDefault="00F04891">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27E0748F"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490" w14:textId="77777777" w:rsidR="00A85061" w:rsidRDefault="00F04891">
            <w:pPr>
              <w:textAlignment w:val="bottom"/>
            </w:pPr>
            <w:r>
              <w:rPr>
                <w:rFonts w:ascii="sans-serif" w:eastAsia="sans-serif" w:hAnsi="sans-serif" w:cs="sans-serif"/>
                <w:color w:val="000000"/>
                <w:sz w:val="20"/>
                <w:szCs w:val="20"/>
              </w:rPr>
              <w:t> </w:t>
            </w:r>
          </w:p>
        </w:tc>
        <w:tc>
          <w:tcPr>
            <w:tcW w:w="0" w:type="auto"/>
            <w:shd w:val="clear" w:color="auto" w:fill="auto"/>
            <w:vAlign w:val="bottom"/>
          </w:tcPr>
          <w:p w14:paraId="27E07491" w14:textId="77777777" w:rsidR="00A85061" w:rsidRDefault="00A85061">
            <w:pPr>
              <w:rPr>
                <w:rFonts w:ascii="宋体"/>
                <w:vanish/>
              </w:rPr>
            </w:pPr>
          </w:p>
        </w:tc>
        <w:tc>
          <w:tcPr>
            <w:tcW w:w="0" w:type="auto"/>
            <w:shd w:val="clear" w:color="auto" w:fill="auto"/>
            <w:vAlign w:val="bottom"/>
          </w:tcPr>
          <w:p w14:paraId="27E07492" w14:textId="77777777" w:rsidR="00A85061" w:rsidRDefault="00A85061">
            <w:pPr>
              <w:rPr>
                <w:rFonts w:ascii="宋体"/>
                <w:vanish/>
              </w:rPr>
            </w:pPr>
          </w:p>
        </w:tc>
        <w:tc>
          <w:tcPr>
            <w:tcW w:w="0" w:type="auto"/>
            <w:gridSpan w:val="3"/>
            <w:shd w:val="clear" w:color="auto" w:fill="auto"/>
            <w:vAlign w:val="bottom"/>
          </w:tcPr>
          <w:p w14:paraId="27E07493" w14:textId="77777777" w:rsidR="00A85061" w:rsidRDefault="00A85061">
            <w:pPr>
              <w:rPr>
                <w:rFonts w:ascii="宋体"/>
                <w:vanish/>
              </w:rPr>
            </w:pPr>
          </w:p>
        </w:tc>
        <w:tc>
          <w:tcPr>
            <w:tcW w:w="0" w:type="auto"/>
            <w:gridSpan w:val="3"/>
            <w:shd w:val="clear" w:color="auto" w:fill="auto"/>
            <w:vAlign w:val="bottom"/>
          </w:tcPr>
          <w:p w14:paraId="27E07494" w14:textId="77777777" w:rsidR="00A85061" w:rsidRDefault="00A85061">
            <w:pPr>
              <w:rPr>
                <w:rFonts w:ascii="宋体"/>
                <w:vanish/>
              </w:rPr>
            </w:pPr>
          </w:p>
        </w:tc>
      </w:tr>
      <w:tr w:rsidR="00A85061" w14:paraId="27E074A0" w14:textId="77777777">
        <w:trPr>
          <w:jc w:val="center"/>
        </w:trPr>
        <w:tc>
          <w:tcPr>
            <w:tcW w:w="0" w:type="auto"/>
            <w:gridSpan w:val="3"/>
            <w:shd w:val="clear" w:color="auto" w:fill="E2EFD9"/>
            <w:tcMar>
              <w:top w:w="40" w:type="dxa"/>
              <w:left w:w="515" w:type="dxa"/>
              <w:bottom w:w="40" w:type="dxa"/>
              <w:right w:w="20" w:type="dxa"/>
            </w:tcMar>
            <w:vAlign w:val="bottom"/>
          </w:tcPr>
          <w:p w14:paraId="27E07496" w14:textId="77777777" w:rsidR="00A85061" w:rsidRDefault="00F04891">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27E07497" w14:textId="77777777" w:rsidR="00A85061" w:rsidRDefault="00F04891">
            <w:pPr>
              <w:jc w:val="right"/>
              <w:textAlignment w:val="bottom"/>
            </w:pPr>
            <w:r>
              <w:rPr>
                <w:rFonts w:ascii="sans-serif" w:eastAsia="sans-serif" w:hAnsi="sans-serif" w:cs="sans-serif"/>
                <w:color w:val="000000"/>
                <w:sz w:val="20"/>
                <w:szCs w:val="20"/>
              </w:rPr>
              <w:t>1,153 </w:t>
            </w:r>
          </w:p>
        </w:tc>
        <w:tc>
          <w:tcPr>
            <w:tcW w:w="0" w:type="auto"/>
            <w:shd w:val="clear" w:color="auto" w:fill="E2EFD9"/>
            <w:tcMar>
              <w:top w:w="40" w:type="dxa"/>
              <w:left w:w="0" w:type="dxa"/>
              <w:bottom w:w="40" w:type="dxa"/>
              <w:right w:w="20" w:type="dxa"/>
            </w:tcMar>
            <w:vAlign w:val="bottom"/>
          </w:tcPr>
          <w:p w14:paraId="27E0749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9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49A" w14:textId="77777777" w:rsidR="00A85061" w:rsidRDefault="00F04891">
            <w:pPr>
              <w:jc w:val="right"/>
              <w:textAlignment w:val="bottom"/>
            </w:pPr>
            <w:r>
              <w:rPr>
                <w:rFonts w:ascii="sans-serif" w:eastAsia="sans-serif" w:hAnsi="sans-serif" w:cs="sans-serif"/>
                <w:color w:val="000000"/>
                <w:sz w:val="20"/>
                <w:szCs w:val="20"/>
              </w:rPr>
              <w:t>735 </w:t>
            </w:r>
          </w:p>
        </w:tc>
        <w:tc>
          <w:tcPr>
            <w:tcW w:w="0" w:type="auto"/>
            <w:shd w:val="clear" w:color="auto" w:fill="E2EFD9"/>
            <w:tcMar>
              <w:top w:w="40" w:type="dxa"/>
              <w:left w:w="0" w:type="dxa"/>
              <w:bottom w:w="40" w:type="dxa"/>
              <w:right w:w="20" w:type="dxa"/>
            </w:tcMar>
            <w:vAlign w:val="bottom"/>
          </w:tcPr>
          <w:p w14:paraId="27E0749B" w14:textId="77777777" w:rsidR="00A85061" w:rsidRDefault="00A85061">
            <w:pPr>
              <w:jc w:val="right"/>
              <w:rPr>
                <w:rFonts w:ascii="宋体"/>
              </w:rPr>
            </w:pPr>
          </w:p>
        </w:tc>
        <w:tc>
          <w:tcPr>
            <w:tcW w:w="0" w:type="auto"/>
            <w:shd w:val="clear" w:color="auto" w:fill="auto"/>
            <w:vAlign w:val="bottom"/>
          </w:tcPr>
          <w:p w14:paraId="27E0749C" w14:textId="77777777" w:rsidR="00A85061" w:rsidRDefault="00A85061">
            <w:pPr>
              <w:rPr>
                <w:rFonts w:ascii="宋体"/>
                <w:vanish/>
              </w:rPr>
            </w:pPr>
          </w:p>
        </w:tc>
        <w:tc>
          <w:tcPr>
            <w:tcW w:w="0" w:type="auto"/>
            <w:shd w:val="clear" w:color="auto" w:fill="auto"/>
            <w:vAlign w:val="bottom"/>
          </w:tcPr>
          <w:p w14:paraId="27E0749D" w14:textId="77777777" w:rsidR="00A85061" w:rsidRDefault="00A85061">
            <w:pPr>
              <w:rPr>
                <w:rFonts w:ascii="宋体"/>
                <w:vanish/>
              </w:rPr>
            </w:pPr>
          </w:p>
        </w:tc>
        <w:tc>
          <w:tcPr>
            <w:tcW w:w="0" w:type="auto"/>
            <w:gridSpan w:val="3"/>
            <w:shd w:val="clear" w:color="auto" w:fill="auto"/>
            <w:vAlign w:val="bottom"/>
          </w:tcPr>
          <w:p w14:paraId="27E0749E" w14:textId="77777777" w:rsidR="00A85061" w:rsidRDefault="00A85061">
            <w:pPr>
              <w:rPr>
                <w:rFonts w:ascii="宋体"/>
                <w:vanish/>
              </w:rPr>
            </w:pPr>
          </w:p>
        </w:tc>
        <w:tc>
          <w:tcPr>
            <w:tcW w:w="0" w:type="auto"/>
            <w:gridSpan w:val="3"/>
            <w:shd w:val="clear" w:color="auto" w:fill="auto"/>
            <w:vAlign w:val="bottom"/>
          </w:tcPr>
          <w:p w14:paraId="27E0749F" w14:textId="77777777" w:rsidR="00A85061" w:rsidRDefault="00A85061">
            <w:pPr>
              <w:rPr>
                <w:rFonts w:ascii="宋体"/>
                <w:vanish/>
              </w:rPr>
            </w:pPr>
          </w:p>
        </w:tc>
      </w:tr>
      <w:tr w:rsidR="00A85061" w14:paraId="27E074AB" w14:textId="77777777">
        <w:trPr>
          <w:jc w:val="center"/>
        </w:trPr>
        <w:tc>
          <w:tcPr>
            <w:tcW w:w="0" w:type="auto"/>
            <w:gridSpan w:val="3"/>
            <w:shd w:val="clear" w:color="auto" w:fill="FFFFFF"/>
            <w:tcMar>
              <w:top w:w="40" w:type="dxa"/>
              <w:left w:w="515" w:type="dxa"/>
              <w:bottom w:w="40" w:type="dxa"/>
              <w:right w:w="20" w:type="dxa"/>
            </w:tcMar>
            <w:vAlign w:val="bottom"/>
          </w:tcPr>
          <w:p w14:paraId="27E074A1" w14:textId="77777777" w:rsidR="00A85061" w:rsidRDefault="00F04891">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27E074A2" w14:textId="77777777" w:rsidR="00A85061" w:rsidRDefault="00F04891">
            <w:pPr>
              <w:jc w:val="right"/>
              <w:textAlignment w:val="bottom"/>
            </w:pPr>
            <w:r>
              <w:rPr>
                <w:rFonts w:ascii="sans-serif" w:eastAsia="sans-serif" w:hAnsi="sans-serif" w:cs="sans-serif"/>
                <w:color w:val="000000"/>
                <w:sz w:val="20"/>
                <w:szCs w:val="20"/>
              </w:rPr>
              <w:t>520 </w:t>
            </w:r>
          </w:p>
        </w:tc>
        <w:tc>
          <w:tcPr>
            <w:tcW w:w="0" w:type="auto"/>
            <w:shd w:val="clear" w:color="auto" w:fill="FFFFFF"/>
            <w:tcMar>
              <w:top w:w="40" w:type="dxa"/>
              <w:left w:w="0" w:type="dxa"/>
              <w:bottom w:w="40" w:type="dxa"/>
              <w:right w:w="20" w:type="dxa"/>
            </w:tcMar>
            <w:vAlign w:val="bottom"/>
          </w:tcPr>
          <w:p w14:paraId="27E074A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4A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4A5" w14:textId="77777777" w:rsidR="00A85061" w:rsidRDefault="00F04891">
            <w:pPr>
              <w:jc w:val="right"/>
              <w:textAlignment w:val="bottom"/>
            </w:pPr>
            <w:r>
              <w:rPr>
                <w:rFonts w:ascii="sans-serif" w:eastAsia="sans-serif" w:hAnsi="sans-serif" w:cs="sans-serif"/>
                <w:color w:val="000000"/>
                <w:sz w:val="20"/>
                <w:szCs w:val="20"/>
              </w:rPr>
              <w:t>293 </w:t>
            </w:r>
          </w:p>
        </w:tc>
        <w:tc>
          <w:tcPr>
            <w:tcW w:w="0" w:type="auto"/>
            <w:shd w:val="clear" w:color="auto" w:fill="FFFFFF"/>
            <w:tcMar>
              <w:top w:w="40" w:type="dxa"/>
              <w:left w:w="0" w:type="dxa"/>
              <w:bottom w:w="40" w:type="dxa"/>
              <w:right w:w="20" w:type="dxa"/>
            </w:tcMar>
            <w:vAlign w:val="bottom"/>
          </w:tcPr>
          <w:p w14:paraId="27E074A6" w14:textId="77777777" w:rsidR="00A85061" w:rsidRDefault="00A85061">
            <w:pPr>
              <w:jc w:val="right"/>
              <w:rPr>
                <w:rFonts w:ascii="宋体"/>
              </w:rPr>
            </w:pPr>
          </w:p>
        </w:tc>
        <w:tc>
          <w:tcPr>
            <w:tcW w:w="0" w:type="auto"/>
            <w:shd w:val="clear" w:color="auto" w:fill="auto"/>
            <w:vAlign w:val="bottom"/>
          </w:tcPr>
          <w:p w14:paraId="27E074A7" w14:textId="77777777" w:rsidR="00A85061" w:rsidRDefault="00A85061">
            <w:pPr>
              <w:rPr>
                <w:rFonts w:ascii="宋体"/>
                <w:vanish/>
              </w:rPr>
            </w:pPr>
          </w:p>
        </w:tc>
        <w:tc>
          <w:tcPr>
            <w:tcW w:w="0" w:type="auto"/>
            <w:shd w:val="clear" w:color="auto" w:fill="auto"/>
            <w:vAlign w:val="bottom"/>
          </w:tcPr>
          <w:p w14:paraId="27E074A8" w14:textId="77777777" w:rsidR="00A85061" w:rsidRDefault="00A85061">
            <w:pPr>
              <w:rPr>
                <w:rFonts w:ascii="宋体"/>
                <w:vanish/>
              </w:rPr>
            </w:pPr>
          </w:p>
        </w:tc>
        <w:tc>
          <w:tcPr>
            <w:tcW w:w="0" w:type="auto"/>
            <w:gridSpan w:val="3"/>
            <w:shd w:val="clear" w:color="auto" w:fill="auto"/>
            <w:vAlign w:val="bottom"/>
          </w:tcPr>
          <w:p w14:paraId="27E074A9" w14:textId="77777777" w:rsidR="00A85061" w:rsidRDefault="00A85061">
            <w:pPr>
              <w:rPr>
                <w:rFonts w:ascii="宋体"/>
                <w:vanish/>
              </w:rPr>
            </w:pPr>
          </w:p>
        </w:tc>
        <w:tc>
          <w:tcPr>
            <w:tcW w:w="0" w:type="auto"/>
            <w:gridSpan w:val="3"/>
            <w:shd w:val="clear" w:color="auto" w:fill="auto"/>
            <w:vAlign w:val="bottom"/>
          </w:tcPr>
          <w:p w14:paraId="27E074AA" w14:textId="77777777" w:rsidR="00A85061" w:rsidRDefault="00A85061">
            <w:pPr>
              <w:rPr>
                <w:rFonts w:ascii="宋体"/>
                <w:vanish/>
              </w:rPr>
            </w:pPr>
          </w:p>
        </w:tc>
      </w:tr>
      <w:tr w:rsidR="00A85061" w14:paraId="27E074B4" w14:textId="77777777">
        <w:trPr>
          <w:jc w:val="center"/>
          <w:hidden/>
        </w:trPr>
        <w:tc>
          <w:tcPr>
            <w:tcW w:w="0" w:type="auto"/>
            <w:gridSpan w:val="3"/>
            <w:shd w:val="clear" w:color="auto" w:fill="auto"/>
            <w:vAlign w:val="bottom"/>
          </w:tcPr>
          <w:p w14:paraId="27E074AC" w14:textId="77777777" w:rsidR="00A85061" w:rsidRDefault="00A85061">
            <w:pPr>
              <w:rPr>
                <w:rFonts w:ascii="宋体"/>
                <w:vanish/>
              </w:rPr>
            </w:pPr>
          </w:p>
        </w:tc>
        <w:tc>
          <w:tcPr>
            <w:tcW w:w="0" w:type="auto"/>
            <w:gridSpan w:val="3"/>
            <w:shd w:val="clear" w:color="auto" w:fill="auto"/>
            <w:vAlign w:val="bottom"/>
          </w:tcPr>
          <w:p w14:paraId="27E074AD" w14:textId="77777777" w:rsidR="00A85061" w:rsidRDefault="00A85061">
            <w:pPr>
              <w:rPr>
                <w:rFonts w:ascii="宋体"/>
                <w:vanish/>
              </w:rPr>
            </w:pPr>
          </w:p>
        </w:tc>
        <w:tc>
          <w:tcPr>
            <w:tcW w:w="0" w:type="auto"/>
            <w:gridSpan w:val="3"/>
            <w:shd w:val="clear" w:color="auto" w:fill="auto"/>
            <w:vAlign w:val="bottom"/>
          </w:tcPr>
          <w:p w14:paraId="27E074AE" w14:textId="77777777" w:rsidR="00A85061" w:rsidRDefault="00A85061">
            <w:pPr>
              <w:rPr>
                <w:rFonts w:ascii="宋体"/>
                <w:vanish/>
              </w:rPr>
            </w:pPr>
          </w:p>
        </w:tc>
        <w:tc>
          <w:tcPr>
            <w:tcW w:w="0" w:type="auto"/>
            <w:gridSpan w:val="3"/>
            <w:shd w:val="clear" w:color="auto" w:fill="auto"/>
            <w:vAlign w:val="bottom"/>
          </w:tcPr>
          <w:p w14:paraId="27E074AF" w14:textId="77777777" w:rsidR="00A85061" w:rsidRDefault="00A85061">
            <w:pPr>
              <w:rPr>
                <w:rFonts w:ascii="宋体"/>
                <w:vanish/>
              </w:rPr>
            </w:pPr>
          </w:p>
        </w:tc>
        <w:tc>
          <w:tcPr>
            <w:tcW w:w="0" w:type="auto"/>
            <w:shd w:val="clear" w:color="auto" w:fill="auto"/>
            <w:vAlign w:val="bottom"/>
          </w:tcPr>
          <w:p w14:paraId="27E074B0" w14:textId="77777777" w:rsidR="00A85061" w:rsidRDefault="00A85061">
            <w:pPr>
              <w:rPr>
                <w:rFonts w:ascii="宋体"/>
                <w:vanish/>
              </w:rPr>
            </w:pPr>
          </w:p>
        </w:tc>
        <w:tc>
          <w:tcPr>
            <w:tcW w:w="0" w:type="auto"/>
            <w:shd w:val="clear" w:color="auto" w:fill="auto"/>
            <w:vAlign w:val="bottom"/>
          </w:tcPr>
          <w:p w14:paraId="27E074B1" w14:textId="77777777" w:rsidR="00A85061" w:rsidRDefault="00A85061">
            <w:pPr>
              <w:rPr>
                <w:rFonts w:ascii="宋体"/>
                <w:vanish/>
              </w:rPr>
            </w:pPr>
          </w:p>
        </w:tc>
        <w:tc>
          <w:tcPr>
            <w:tcW w:w="0" w:type="auto"/>
            <w:gridSpan w:val="3"/>
            <w:shd w:val="clear" w:color="auto" w:fill="auto"/>
            <w:vAlign w:val="bottom"/>
          </w:tcPr>
          <w:p w14:paraId="27E074B2" w14:textId="77777777" w:rsidR="00A85061" w:rsidRDefault="00A85061">
            <w:pPr>
              <w:rPr>
                <w:rFonts w:ascii="宋体"/>
                <w:vanish/>
              </w:rPr>
            </w:pPr>
          </w:p>
        </w:tc>
        <w:tc>
          <w:tcPr>
            <w:tcW w:w="0" w:type="auto"/>
            <w:gridSpan w:val="3"/>
            <w:shd w:val="clear" w:color="auto" w:fill="auto"/>
            <w:vAlign w:val="bottom"/>
          </w:tcPr>
          <w:p w14:paraId="27E074B3" w14:textId="77777777" w:rsidR="00A85061" w:rsidRDefault="00A85061">
            <w:pPr>
              <w:rPr>
                <w:rFonts w:ascii="宋体"/>
                <w:vanish/>
              </w:rPr>
            </w:pPr>
          </w:p>
        </w:tc>
      </w:tr>
      <w:tr w:rsidR="00A85061" w14:paraId="27E074BF" w14:textId="77777777">
        <w:trPr>
          <w:jc w:val="center"/>
        </w:trPr>
        <w:tc>
          <w:tcPr>
            <w:tcW w:w="0" w:type="auto"/>
            <w:gridSpan w:val="3"/>
            <w:shd w:val="clear" w:color="auto" w:fill="E2EFD9"/>
            <w:tcMar>
              <w:top w:w="40" w:type="dxa"/>
              <w:left w:w="875" w:type="dxa"/>
              <w:bottom w:w="40" w:type="dxa"/>
              <w:right w:w="20" w:type="dxa"/>
            </w:tcMar>
            <w:vAlign w:val="bottom"/>
          </w:tcPr>
          <w:p w14:paraId="27E074B5" w14:textId="77777777" w:rsidR="00A85061" w:rsidRDefault="00F04891">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B6" w14:textId="77777777" w:rsidR="00A85061" w:rsidRDefault="00F04891">
            <w:pPr>
              <w:jc w:val="right"/>
              <w:textAlignment w:val="bottom"/>
            </w:pPr>
            <w:r>
              <w:rPr>
                <w:rFonts w:ascii="sans-serif" w:eastAsia="sans-serif" w:hAnsi="sans-serif" w:cs="sans-serif"/>
                <w:color w:val="000000"/>
                <w:sz w:val="20"/>
                <w:szCs w:val="20"/>
              </w:rPr>
              <w:t>1,673 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B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B8"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B9" w14:textId="77777777" w:rsidR="00A85061" w:rsidRDefault="00F04891">
            <w:pPr>
              <w:jc w:val="right"/>
              <w:textAlignment w:val="bottom"/>
            </w:pPr>
            <w:r>
              <w:rPr>
                <w:rFonts w:ascii="sans-serif" w:eastAsia="sans-serif" w:hAnsi="sans-serif" w:cs="sans-serif"/>
                <w:color w:val="000000"/>
                <w:sz w:val="20"/>
                <w:szCs w:val="20"/>
              </w:rPr>
              <w:t>1,028 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BA" w14:textId="77777777" w:rsidR="00A85061" w:rsidRDefault="00A85061">
            <w:pPr>
              <w:jc w:val="right"/>
              <w:rPr>
                <w:rFonts w:ascii="宋体"/>
              </w:rPr>
            </w:pPr>
          </w:p>
        </w:tc>
        <w:tc>
          <w:tcPr>
            <w:tcW w:w="0" w:type="auto"/>
            <w:shd w:val="clear" w:color="auto" w:fill="auto"/>
            <w:vAlign w:val="bottom"/>
          </w:tcPr>
          <w:p w14:paraId="27E074BB" w14:textId="77777777" w:rsidR="00A85061" w:rsidRDefault="00A85061">
            <w:pPr>
              <w:rPr>
                <w:rFonts w:ascii="宋体"/>
                <w:vanish/>
              </w:rPr>
            </w:pPr>
          </w:p>
        </w:tc>
        <w:tc>
          <w:tcPr>
            <w:tcW w:w="0" w:type="auto"/>
            <w:shd w:val="clear" w:color="auto" w:fill="auto"/>
            <w:vAlign w:val="bottom"/>
          </w:tcPr>
          <w:p w14:paraId="27E074BC" w14:textId="77777777" w:rsidR="00A85061" w:rsidRDefault="00A85061">
            <w:pPr>
              <w:rPr>
                <w:rFonts w:ascii="宋体"/>
                <w:vanish/>
              </w:rPr>
            </w:pPr>
          </w:p>
        </w:tc>
        <w:tc>
          <w:tcPr>
            <w:tcW w:w="0" w:type="auto"/>
            <w:gridSpan w:val="3"/>
            <w:shd w:val="clear" w:color="auto" w:fill="auto"/>
            <w:vAlign w:val="bottom"/>
          </w:tcPr>
          <w:p w14:paraId="27E074BD" w14:textId="77777777" w:rsidR="00A85061" w:rsidRDefault="00A85061">
            <w:pPr>
              <w:rPr>
                <w:rFonts w:ascii="宋体"/>
                <w:vanish/>
              </w:rPr>
            </w:pPr>
          </w:p>
        </w:tc>
        <w:tc>
          <w:tcPr>
            <w:tcW w:w="0" w:type="auto"/>
            <w:gridSpan w:val="3"/>
            <w:shd w:val="clear" w:color="auto" w:fill="auto"/>
            <w:vAlign w:val="bottom"/>
          </w:tcPr>
          <w:p w14:paraId="27E074BE" w14:textId="77777777" w:rsidR="00A85061" w:rsidRDefault="00A85061">
            <w:pPr>
              <w:rPr>
                <w:rFonts w:ascii="宋体"/>
                <w:vanish/>
              </w:rPr>
            </w:pPr>
          </w:p>
        </w:tc>
      </w:tr>
      <w:tr w:rsidR="00A85061" w14:paraId="27E074CA" w14:textId="77777777">
        <w:trPr>
          <w:jc w:val="center"/>
        </w:trPr>
        <w:tc>
          <w:tcPr>
            <w:tcW w:w="0" w:type="auto"/>
            <w:gridSpan w:val="3"/>
            <w:shd w:val="clear" w:color="auto" w:fill="FFFFFF"/>
            <w:tcMar>
              <w:top w:w="40" w:type="dxa"/>
              <w:left w:w="20" w:type="dxa"/>
              <w:bottom w:w="40" w:type="dxa"/>
              <w:right w:w="20" w:type="dxa"/>
            </w:tcMar>
            <w:vAlign w:val="bottom"/>
          </w:tcPr>
          <w:p w14:paraId="27E074C0" w14:textId="77777777" w:rsidR="00A85061" w:rsidRDefault="00F04891">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4C1" w14:textId="77777777" w:rsidR="00A85061" w:rsidRDefault="00F04891">
            <w:pPr>
              <w:jc w:val="right"/>
              <w:textAlignment w:val="bottom"/>
            </w:pPr>
            <w:r>
              <w:rPr>
                <w:rFonts w:ascii="sans-serif" w:eastAsia="sans-serif" w:hAnsi="sans-serif" w:cs="sans-serif"/>
                <w:color w:val="000000"/>
                <w:sz w:val="20"/>
                <w:szCs w:val="20"/>
              </w:rPr>
              <w:t>1,956 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4C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4C3"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4C4" w14:textId="77777777" w:rsidR="00A85061" w:rsidRDefault="00F04891">
            <w:pPr>
              <w:jc w:val="right"/>
              <w:textAlignment w:val="bottom"/>
            </w:pPr>
            <w:r>
              <w:rPr>
                <w:rFonts w:ascii="sans-serif" w:eastAsia="sans-serif" w:hAnsi="sans-serif" w:cs="sans-serif"/>
                <w:color w:val="000000"/>
                <w:sz w:val="20"/>
                <w:szCs w:val="20"/>
              </w:rPr>
              <w:t>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4C5" w14:textId="77777777" w:rsidR="00A85061" w:rsidRDefault="00A85061">
            <w:pPr>
              <w:jc w:val="right"/>
              <w:rPr>
                <w:rFonts w:ascii="宋体"/>
              </w:rPr>
            </w:pPr>
          </w:p>
        </w:tc>
        <w:tc>
          <w:tcPr>
            <w:tcW w:w="0" w:type="auto"/>
            <w:shd w:val="clear" w:color="auto" w:fill="auto"/>
            <w:vAlign w:val="bottom"/>
          </w:tcPr>
          <w:p w14:paraId="27E074C6" w14:textId="77777777" w:rsidR="00A85061" w:rsidRDefault="00A85061">
            <w:pPr>
              <w:rPr>
                <w:rFonts w:ascii="宋体"/>
                <w:vanish/>
              </w:rPr>
            </w:pPr>
          </w:p>
        </w:tc>
        <w:tc>
          <w:tcPr>
            <w:tcW w:w="0" w:type="auto"/>
            <w:shd w:val="clear" w:color="auto" w:fill="auto"/>
            <w:vAlign w:val="bottom"/>
          </w:tcPr>
          <w:p w14:paraId="27E074C7" w14:textId="77777777" w:rsidR="00A85061" w:rsidRDefault="00A85061">
            <w:pPr>
              <w:rPr>
                <w:rFonts w:ascii="宋体"/>
                <w:vanish/>
              </w:rPr>
            </w:pPr>
          </w:p>
        </w:tc>
        <w:tc>
          <w:tcPr>
            <w:tcW w:w="0" w:type="auto"/>
            <w:gridSpan w:val="3"/>
            <w:shd w:val="clear" w:color="auto" w:fill="auto"/>
            <w:vAlign w:val="bottom"/>
          </w:tcPr>
          <w:p w14:paraId="27E074C8" w14:textId="77777777" w:rsidR="00A85061" w:rsidRDefault="00A85061">
            <w:pPr>
              <w:rPr>
                <w:rFonts w:ascii="宋体"/>
                <w:vanish/>
              </w:rPr>
            </w:pPr>
          </w:p>
        </w:tc>
        <w:tc>
          <w:tcPr>
            <w:tcW w:w="0" w:type="auto"/>
            <w:gridSpan w:val="3"/>
            <w:shd w:val="clear" w:color="auto" w:fill="auto"/>
            <w:vAlign w:val="bottom"/>
          </w:tcPr>
          <w:p w14:paraId="27E074C9" w14:textId="77777777" w:rsidR="00A85061" w:rsidRDefault="00A85061">
            <w:pPr>
              <w:rPr>
                <w:rFonts w:ascii="宋体"/>
                <w:vanish/>
              </w:rPr>
            </w:pPr>
          </w:p>
        </w:tc>
      </w:tr>
      <w:tr w:rsidR="00A85061" w14:paraId="27E074D5" w14:textId="77777777">
        <w:trPr>
          <w:jc w:val="center"/>
        </w:trPr>
        <w:tc>
          <w:tcPr>
            <w:tcW w:w="0" w:type="auto"/>
            <w:gridSpan w:val="3"/>
            <w:shd w:val="clear" w:color="auto" w:fill="E2EFD9"/>
            <w:tcMar>
              <w:top w:w="40" w:type="dxa"/>
              <w:left w:w="515" w:type="dxa"/>
              <w:bottom w:w="40" w:type="dxa"/>
              <w:right w:w="20" w:type="dxa"/>
            </w:tcMar>
            <w:vAlign w:val="bottom"/>
          </w:tcPr>
          <w:p w14:paraId="27E074CB" w14:textId="77777777" w:rsidR="00A85061" w:rsidRDefault="00F04891">
            <w:pPr>
              <w:textAlignment w:val="bottom"/>
            </w:pPr>
            <w:r>
              <w:rPr>
                <w:rFonts w:ascii="sans-serif" w:eastAsia="sans-serif" w:hAnsi="sans-serif" w:cs="sans-serif"/>
                <w:color w:val="000000"/>
                <w:sz w:val="20"/>
                <w:szCs w:val="20"/>
              </w:rPr>
              <w:t>Interest income</w:t>
            </w:r>
          </w:p>
        </w:tc>
        <w:tc>
          <w:tcPr>
            <w:tcW w:w="0" w:type="auto"/>
            <w:gridSpan w:val="2"/>
            <w:shd w:val="clear" w:color="auto" w:fill="E2EFD9"/>
            <w:tcMar>
              <w:top w:w="40" w:type="dxa"/>
              <w:left w:w="20" w:type="dxa"/>
              <w:bottom w:w="40" w:type="dxa"/>
              <w:right w:w="0" w:type="dxa"/>
            </w:tcMar>
            <w:vAlign w:val="bottom"/>
          </w:tcPr>
          <w:p w14:paraId="27E074CC" w14:textId="77777777" w:rsidR="00A85061" w:rsidRDefault="00F04891">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27E074C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C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4CF" w14:textId="77777777" w:rsidR="00A85061" w:rsidRDefault="00F04891">
            <w:pPr>
              <w:jc w:val="right"/>
              <w:textAlignment w:val="bottom"/>
            </w:pPr>
            <w:r>
              <w:rPr>
                <w:rFonts w:ascii="sans-serif" w:eastAsia="sans-serif" w:hAnsi="sans-serif" w:cs="sans-serif"/>
                <w:color w:val="000000"/>
                <w:sz w:val="20"/>
                <w:szCs w:val="20"/>
              </w:rPr>
              <w:t>31 </w:t>
            </w:r>
          </w:p>
        </w:tc>
        <w:tc>
          <w:tcPr>
            <w:tcW w:w="0" w:type="auto"/>
            <w:shd w:val="clear" w:color="auto" w:fill="E2EFD9"/>
            <w:tcMar>
              <w:top w:w="40" w:type="dxa"/>
              <w:left w:w="0" w:type="dxa"/>
              <w:bottom w:w="40" w:type="dxa"/>
              <w:right w:w="20" w:type="dxa"/>
            </w:tcMar>
            <w:vAlign w:val="bottom"/>
          </w:tcPr>
          <w:p w14:paraId="27E074D0" w14:textId="77777777" w:rsidR="00A85061" w:rsidRDefault="00A85061">
            <w:pPr>
              <w:jc w:val="right"/>
              <w:rPr>
                <w:rFonts w:ascii="宋体"/>
              </w:rPr>
            </w:pPr>
          </w:p>
        </w:tc>
        <w:tc>
          <w:tcPr>
            <w:tcW w:w="0" w:type="auto"/>
            <w:shd w:val="clear" w:color="auto" w:fill="auto"/>
            <w:vAlign w:val="bottom"/>
          </w:tcPr>
          <w:p w14:paraId="27E074D1" w14:textId="77777777" w:rsidR="00A85061" w:rsidRDefault="00A85061">
            <w:pPr>
              <w:rPr>
                <w:rFonts w:ascii="宋体"/>
                <w:vanish/>
              </w:rPr>
            </w:pPr>
          </w:p>
        </w:tc>
        <w:tc>
          <w:tcPr>
            <w:tcW w:w="0" w:type="auto"/>
            <w:shd w:val="clear" w:color="auto" w:fill="auto"/>
            <w:vAlign w:val="bottom"/>
          </w:tcPr>
          <w:p w14:paraId="27E074D2" w14:textId="77777777" w:rsidR="00A85061" w:rsidRDefault="00A85061">
            <w:pPr>
              <w:rPr>
                <w:rFonts w:ascii="宋体"/>
                <w:vanish/>
              </w:rPr>
            </w:pPr>
          </w:p>
        </w:tc>
        <w:tc>
          <w:tcPr>
            <w:tcW w:w="0" w:type="auto"/>
            <w:gridSpan w:val="3"/>
            <w:shd w:val="clear" w:color="auto" w:fill="auto"/>
            <w:vAlign w:val="bottom"/>
          </w:tcPr>
          <w:p w14:paraId="27E074D3" w14:textId="77777777" w:rsidR="00A85061" w:rsidRDefault="00A85061">
            <w:pPr>
              <w:rPr>
                <w:rFonts w:ascii="宋体"/>
                <w:vanish/>
              </w:rPr>
            </w:pPr>
          </w:p>
        </w:tc>
        <w:tc>
          <w:tcPr>
            <w:tcW w:w="0" w:type="auto"/>
            <w:gridSpan w:val="3"/>
            <w:shd w:val="clear" w:color="auto" w:fill="auto"/>
            <w:vAlign w:val="bottom"/>
          </w:tcPr>
          <w:p w14:paraId="27E074D4" w14:textId="77777777" w:rsidR="00A85061" w:rsidRDefault="00A85061">
            <w:pPr>
              <w:rPr>
                <w:rFonts w:ascii="宋体"/>
                <w:vanish/>
              </w:rPr>
            </w:pPr>
          </w:p>
        </w:tc>
      </w:tr>
      <w:tr w:rsidR="00A85061" w14:paraId="27E074E0" w14:textId="77777777">
        <w:trPr>
          <w:jc w:val="center"/>
        </w:trPr>
        <w:tc>
          <w:tcPr>
            <w:tcW w:w="0" w:type="auto"/>
            <w:gridSpan w:val="3"/>
            <w:shd w:val="clear" w:color="auto" w:fill="FFFFFF"/>
            <w:tcMar>
              <w:top w:w="40" w:type="dxa"/>
              <w:left w:w="515" w:type="dxa"/>
              <w:bottom w:w="40" w:type="dxa"/>
              <w:right w:w="20" w:type="dxa"/>
            </w:tcMar>
            <w:vAlign w:val="bottom"/>
          </w:tcPr>
          <w:p w14:paraId="27E074D6" w14:textId="77777777" w:rsidR="00A85061" w:rsidRDefault="00F04891">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27E074D7" w14:textId="77777777" w:rsidR="00A85061" w:rsidRDefault="00F04891">
            <w:pPr>
              <w:jc w:val="right"/>
              <w:textAlignment w:val="bottom"/>
            </w:pPr>
            <w:r>
              <w:rPr>
                <w:rFonts w:ascii="sans-serif" w:eastAsia="sans-serif" w:hAnsi="sans-serif" w:cs="sans-serif"/>
                <w:color w:val="000000"/>
                <w:sz w:val="20"/>
                <w:szCs w:val="20"/>
              </w:rPr>
              <w:t>(53)</w:t>
            </w:r>
          </w:p>
        </w:tc>
        <w:tc>
          <w:tcPr>
            <w:tcW w:w="0" w:type="auto"/>
            <w:shd w:val="clear" w:color="auto" w:fill="FFFFFF"/>
            <w:tcMar>
              <w:top w:w="40" w:type="dxa"/>
              <w:left w:w="0" w:type="dxa"/>
              <w:bottom w:w="40" w:type="dxa"/>
              <w:right w:w="20" w:type="dxa"/>
            </w:tcMar>
            <w:vAlign w:val="bottom"/>
          </w:tcPr>
          <w:p w14:paraId="27E074D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4D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4DA" w14:textId="77777777" w:rsidR="00A85061" w:rsidRDefault="00F04891">
            <w:pPr>
              <w:jc w:val="right"/>
              <w:textAlignment w:val="bottom"/>
            </w:pPr>
            <w:r>
              <w:rPr>
                <w:rFonts w:ascii="sans-serif" w:eastAsia="sans-serif" w:hAnsi="sans-serif" w:cs="sans-serif"/>
                <w:color w:val="000000"/>
                <w:sz w:val="20"/>
                <w:szCs w:val="20"/>
              </w:rPr>
              <w:t>(25)</w:t>
            </w:r>
          </w:p>
        </w:tc>
        <w:tc>
          <w:tcPr>
            <w:tcW w:w="0" w:type="auto"/>
            <w:shd w:val="clear" w:color="auto" w:fill="FFFFFF"/>
            <w:tcMar>
              <w:top w:w="40" w:type="dxa"/>
              <w:left w:w="0" w:type="dxa"/>
              <w:bottom w:w="40" w:type="dxa"/>
              <w:right w:w="20" w:type="dxa"/>
            </w:tcMar>
            <w:vAlign w:val="bottom"/>
          </w:tcPr>
          <w:p w14:paraId="27E074DB" w14:textId="77777777" w:rsidR="00A85061" w:rsidRDefault="00A85061">
            <w:pPr>
              <w:jc w:val="right"/>
              <w:rPr>
                <w:rFonts w:ascii="宋体"/>
              </w:rPr>
            </w:pPr>
          </w:p>
        </w:tc>
        <w:tc>
          <w:tcPr>
            <w:tcW w:w="0" w:type="auto"/>
            <w:shd w:val="clear" w:color="auto" w:fill="auto"/>
            <w:vAlign w:val="bottom"/>
          </w:tcPr>
          <w:p w14:paraId="27E074DC" w14:textId="77777777" w:rsidR="00A85061" w:rsidRDefault="00A85061">
            <w:pPr>
              <w:rPr>
                <w:rFonts w:ascii="宋体"/>
                <w:vanish/>
              </w:rPr>
            </w:pPr>
          </w:p>
        </w:tc>
        <w:tc>
          <w:tcPr>
            <w:tcW w:w="0" w:type="auto"/>
            <w:shd w:val="clear" w:color="auto" w:fill="auto"/>
            <w:vAlign w:val="bottom"/>
          </w:tcPr>
          <w:p w14:paraId="27E074DD" w14:textId="77777777" w:rsidR="00A85061" w:rsidRDefault="00A85061">
            <w:pPr>
              <w:rPr>
                <w:rFonts w:ascii="宋体"/>
                <w:vanish/>
              </w:rPr>
            </w:pPr>
          </w:p>
        </w:tc>
        <w:tc>
          <w:tcPr>
            <w:tcW w:w="0" w:type="auto"/>
            <w:gridSpan w:val="3"/>
            <w:shd w:val="clear" w:color="auto" w:fill="auto"/>
            <w:vAlign w:val="bottom"/>
          </w:tcPr>
          <w:p w14:paraId="27E074DE" w14:textId="77777777" w:rsidR="00A85061" w:rsidRDefault="00A85061">
            <w:pPr>
              <w:rPr>
                <w:rFonts w:ascii="宋体"/>
                <w:vanish/>
              </w:rPr>
            </w:pPr>
          </w:p>
        </w:tc>
        <w:tc>
          <w:tcPr>
            <w:tcW w:w="0" w:type="auto"/>
            <w:gridSpan w:val="3"/>
            <w:shd w:val="clear" w:color="auto" w:fill="auto"/>
            <w:vAlign w:val="bottom"/>
          </w:tcPr>
          <w:p w14:paraId="27E074DF" w14:textId="77777777" w:rsidR="00A85061" w:rsidRDefault="00A85061">
            <w:pPr>
              <w:rPr>
                <w:rFonts w:ascii="宋体"/>
                <w:vanish/>
              </w:rPr>
            </w:pPr>
          </w:p>
        </w:tc>
      </w:tr>
      <w:tr w:rsidR="00A85061" w14:paraId="27E074EB" w14:textId="77777777">
        <w:trPr>
          <w:jc w:val="center"/>
        </w:trPr>
        <w:tc>
          <w:tcPr>
            <w:tcW w:w="0" w:type="auto"/>
            <w:gridSpan w:val="3"/>
            <w:shd w:val="clear" w:color="auto" w:fill="E2EFD9"/>
            <w:tcMar>
              <w:top w:w="40" w:type="dxa"/>
              <w:left w:w="515" w:type="dxa"/>
              <w:bottom w:w="40" w:type="dxa"/>
              <w:right w:w="20" w:type="dxa"/>
            </w:tcMar>
            <w:vAlign w:val="bottom"/>
          </w:tcPr>
          <w:p w14:paraId="27E074E1" w14:textId="77777777" w:rsidR="00A85061" w:rsidRDefault="00F04891">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27E074E2" w14:textId="77777777" w:rsidR="00A85061" w:rsidRDefault="00F04891">
            <w:pPr>
              <w:jc w:val="right"/>
              <w:textAlignment w:val="bottom"/>
            </w:pPr>
            <w:r>
              <w:rPr>
                <w:rFonts w:ascii="sans-serif" w:eastAsia="sans-serif" w:hAnsi="sans-serif" w:cs="sans-serif"/>
                <w:color w:val="000000"/>
                <w:sz w:val="20"/>
                <w:szCs w:val="20"/>
              </w:rPr>
              <w:t>135 </w:t>
            </w:r>
          </w:p>
        </w:tc>
        <w:tc>
          <w:tcPr>
            <w:tcW w:w="0" w:type="auto"/>
            <w:shd w:val="clear" w:color="auto" w:fill="E2EFD9"/>
            <w:tcMar>
              <w:top w:w="40" w:type="dxa"/>
              <w:left w:w="0" w:type="dxa"/>
              <w:bottom w:w="40" w:type="dxa"/>
              <w:right w:w="20" w:type="dxa"/>
            </w:tcMar>
            <w:vAlign w:val="bottom"/>
          </w:tcPr>
          <w:p w14:paraId="27E074E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E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4E5" w14:textId="77777777" w:rsidR="00A85061" w:rsidRDefault="00F04891">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27E074E6" w14:textId="77777777" w:rsidR="00A85061" w:rsidRDefault="00A85061">
            <w:pPr>
              <w:jc w:val="right"/>
              <w:rPr>
                <w:rFonts w:ascii="宋体"/>
              </w:rPr>
            </w:pPr>
          </w:p>
        </w:tc>
        <w:tc>
          <w:tcPr>
            <w:tcW w:w="0" w:type="auto"/>
            <w:shd w:val="clear" w:color="auto" w:fill="auto"/>
            <w:vAlign w:val="bottom"/>
          </w:tcPr>
          <w:p w14:paraId="27E074E7" w14:textId="77777777" w:rsidR="00A85061" w:rsidRDefault="00A85061">
            <w:pPr>
              <w:rPr>
                <w:rFonts w:ascii="宋体"/>
                <w:vanish/>
              </w:rPr>
            </w:pPr>
          </w:p>
        </w:tc>
        <w:tc>
          <w:tcPr>
            <w:tcW w:w="0" w:type="auto"/>
            <w:shd w:val="clear" w:color="auto" w:fill="auto"/>
            <w:vAlign w:val="bottom"/>
          </w:tcPr>
          <w:p w14:paraId="27E074E8" w14:textId="77777777" w:rsidR="00A85061" w:rsidRDefault="00A85061">
            <w:pPr>
              <w:rPr>
                <w:rFonts w:ascii="宋体"/>
                <w:vanish/>
              </w:rPr>
            </w:pPr>
          </w:p>
        </w:tc>
        <w:tc>
          <w:tcPr>
            <w:tcW w:w="0" w:type="auto"/>
            <w:gridSpan w:val="3"/>
            <w:shd w:val="clear" w:color="auto" w:fill="auto"/>
            <w:vAlign w:val="bottom"/>
          </w:tcPr>
          <w:p w14:paraId="27E074E9" w14:textId="77777777" w:rsidR="00A85061" w:rsidRDefault="00A85061">
            <w:pPr>
              <w:rPr>
                <w:rFonts w:ascii="宋体"/>
                <w:vanish/>
              </w:rPr>
            </w:pPr>
          </w:p>
        </w:tc>
        <w:tc>
          <w:tcPr>
            <w:tcW w:w="0" w:type="auto"/>
            <w:gridSpan w:val="3"/>
            <w:shd w:val="clear" w:color="auto" w:fill="auto"/>
            <w:vAlign w:val="bottom"/>
          </w:tcPr>
          <w:p w14:paraId="27E074EA" w14:textId="77777777" w:rsidR="00A85061" w:rsidRDefault="00A85061">
            <w:pPr>
              <w:rPr>
                <w:rFonts w:ascii="宋体"/>
                <w:vanish/>
              </w:rPr>
            </w:pPr>
          </w:p>
        </w:tc>
      </w:tr>
      <w:tr w:rsidR="00A85061" w14:paraId="27E074F6" w14:textId="77777777">
        <w:trPr>
          <w:jc w:val="center"/>
        </w:trPr>
        <w:tc>
          <w:tcPr>
            <w:tcW w:w="0" w:type="auto"/>
            <w:gridSpan w:val="3"/>
            <w:shd w:val="clear" w:color="auto" w:fill="FFFFFF"/>
            <w:tcMar>
              <w:top w:w="40" w:type="dxa"/>
              <w:left w:w="20" w:type="dxa"/>
              <w:bottom w:w="40" w:type="dxa"/>
              <w:right w:w="20" w:type="dxa"/>
            </w:tcMar>
            <w:vAlign w:val="bottom"/>
          </w:tcPr>
          <w:p w14:paraId="27E074EC" w14:textId="77777777" w:rsidR="00A85061" w:rsidRDefault="00F04891">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4ED" w14:textId="77777777" w:rsidR="00A85061" w:rsidRDefault="00F04891">
            <w:pPr>
              <w:jc w:val="right"/>
              <w:textAlignment w:val="bottom"/>
            </w:pPr>
            <w:r>
              <w:rPr>
                <w:rFonts w:ascii="sans-serif" w:eastAsia="sans-serif" w:hAnsi="sans-serif" w:cs="sans-serif"/>
                <w:color w:val="000000"/>
                <w:sz w:val="20"/>
                <w:szCs w:val="20"/>
              </w:rPr>
              <w:t>88 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4E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4EF"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4F0" w14:textId="77777777" w:rsidR="00A85061" w:rsidRDefault="00F04891">
            <w:pPr>
              <w:jc w:val="right"/>
              <w:textAlignment w:val="bottom"/>
            </w:pPr>
            <w:r>
              <w:rPr>
                <w:rFonts w:ascii="sans-serif" w:eastAsia="sans-serif" w:hAnsi="sans-serif" w:cs="sans-serif"/>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4F1" w14:textId="77777777" w:rsidR="00A85061" w:rsidRDefault="00A85061">
            <w:pPr>
              <w:jc w:val="right"/>
              <w:rPr>
                <w:rFonts w:ascii="宋体"/>
              </w:rPr>
            </w:pPr>
          </w:p>
        </w:tc>
        <w:tc>
          <w:tcPr>
            <w:tcW w:w="0" w:type="auto"/>
            <w:shd w:val="clear" w:color="auto" w:fill="auto"/>
            <w:vAlign w:val="bottom"/>
          </w:tcPr>
          <w:p w14:paraId="27E074F2" w14:textId="77777777" w:rsidR="00A85061" w:rsidRDefault="00A85061">
            <w:pPr>
              <w:rPr>
                <w:rFonts w:ascii="宋体"/>
                <w:vanish/>
              </w:rPr>
            </w:pPr>
          </w:p>
        </w:tc>
        <w:tc>
          <w:tcPr>
            <w:tcW w:w="0" w:type="auto"/>
            <w:shd w:val="clear" w:color="auto" w:fill="auto"/>
            <w:vAlign w:val="bottom"/>
          </w:tcPr>
          <w:p w14:paraId="27E074F3" w14:textId="77777777" w:rsidR="00A85061" w:rsidRDefault="00A85061">
            <w:pPr>
              <w:rPr>
                <w:rFonts w:ascii="宋体"/>
                <w:vanish/>
              </w:rPr>
            </w:pPr>
          </w:p>
        </w:tc>
        <w:tc>
          <w:tcPr>
            <w:tcW w:w="0" w:type="auto"/>
            <w:gridSpan w:val="3"/>
            <w:shd w:val="clear" w:color="auto" w:fill="auto"/>
            <w:vAlign w:val="bottom"/>
          </w:tcPr>
          <w:p w14:paraId="27E074F4" w14:textId="77777777" w:rsidR="00A85061" w:rsidRDefault="00A85061">
            <w:pPr>
              <w:rPr>
                <w:rFonts w:ascii="宋体"/>
                <w:vanish/>
              </w:rPr>
            </w:pPr>
          </w:p>
        </w:tc>
        <w:tc>
          <w:tcPr>
            <w:tcW w:w="0" w:type="auto"/>
            <w:gridSpan w:val="3"/>
            <w:shd w:val="clear" w:color="auto" w:fill="auto"/>
            <w:vAlign w:val="bottom"/>
          </w:tcPr>
          <w:p w14:paraId="27E074F5" w14:textId="77777777" w:rsidR="00A85061" w:rsidRDefault="00A85061">
            <w:pPr>
              <w:rPr>
                <w:rFonts w:ascii="宋体"/>
                <w:vanish/>
              </w:rPr>
            </w:pPr>
          </w:p>
        </w:tc>
      </w:tr>
      <w:tr w:rsidR="00A85061" w14:paraId="27E07501" w14:textId="77777777">
        <w:trPr>
          <w:jc w:val="center"/>
        </w:trPr>
        <w:tc>
          <w:tcPr>
            <w:tcW w:w="0" w:type="auto"/>
            <w:gridSpan w:val="3"/>
            <w:shd w:val="clear" w:color="auto" w:fill="E2EFD9"/>
            <w:tcMar>
              <w:top w:w="40" w:type="dxa"/>
              <w:left w:w="20" w:type="dxa"/>
              <w:bottom w:w="40" w:type="dxa"/>
              <w:right w:w="20" w:type="dxa"/>
            </w:tcMar>
            <w:vAlign w:val="bottom"/>
          </w:tcPr>
          <w:p w14:paraId="27E074F7" w14:textId="77777777" w:rsidR="00A85061" w:rsidRDefault="00F04891">
            <w:pPr>
              <w:textAlignment w:val="bottom"/>
            </w:pPr>
            <w:r>
              <w:rPr>
                <w:rFonts w:ascii="sans-serif" w:eastAsia="sans-serif" w:hAnsi="sans-serif" w:cs="sans-serif"/>
                <w:color w:val="000000"/>
                <w:sz w:val="20"/>
                <w:szCs w:val="20"/>
              </w:rPr>
              <w:t xml:space="preserve">Income </w:t>
            </w:r>
            <w:r>
              <w:rPr>
                <w:rFonts w:ascii="sans-serif" w:eastAsia="sans-serif" w:hAnsi="sans-serif" w:cs="sans-serif"/>
                <w:color w:val="000000"/>
                <w:sz w:val="20"/>
                <w:szCs w:val="20"/>
              </w:rPr>
              <w:t>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F8" w14:textId="77777777" w:rsidR="00A85061" w:rsidRDefault="00F04891">
            <w:pPr>
              <w:jc w:val="right"/>
              <w:textAlignment w:val="bottom"/>
            </w:pPr>
            <w:r>
              <w:rPr>
                <w:rFonts w:ascii="sans-serif" w:eastAsia="sans-serif" w:hAnsi="sans-serif" w:cs="sans-serif"/>
                <w:color w:val="000000"/>
                <w:sz w:val="20"/>
                <w:szCs w:val="20"/>
              </w:rPr>
              <w:t>2,044 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F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4FA"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4FB" w14:textId="77777777" w:rsidR="00A85061" w:rsidRDefault="00F04891">
            <w:pPr>
              <w:jc w:val="right"/>
              <w:textAlignment w:val="bottom"/>
            </w:pPr>
            <w:r>
              <w:rPr>
                <w:rFonts w:ascii="sans-serif" w:eastAsia="sans-serif" w:hAnsi="sans-serif" w:cs="sans-serif"/>
                <w:color w:val="000000"/>
                <w:sz w:val="20"/>
                <w:szCs w:val="20"/>
              </w:rPr>
              <w:t>981 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4FC" w14:textId="77777777" w:rsidR="00A85061" w:rsidRDefault="00A85061">
            <w:pPr>
              <w:jc w:val="right"/>
              <w:rPr>
                <w:rFonts w:ascii="宋体"/>
              </w:rPr>
            </w:pPr>
          </w:p>
        </w:tc>
        <w:tc>
          <w:tcPr>
            <w:tcW w:w="0" w:type="auto"/>
            <w:shd w:val="clear" w:color="auto" w:fill="auto"/>
            <w:vAlign w:val="bottom"/>
          </w:tcPr>
          <w:p w14:paraId="27E074FD" w14:textId="77777777" w:rsidR="00A85061" w:rsidRDefault="00A85061">
            <w:pPr>
              <w:rPr>
                <w:rFonts w:ascii="宋体"/>
                <w:vanish/>
              </w:rPr>
            </w:pPr>
          </w:p>
        </w:tc>
        <w:tc>
          <w:tcPr>
            <w:tcW w:w="0" w:type="auto"/>
            <w:shd w:val="clear" w:color="auto" w:fill="auto"/>
            <w:vAlign w:val="bottom"/>
          </w:tcPr>
          <w:p w14:paraId="27E074FE" w14:textId="77777777" w:rsidR="00A85061" w:rsidRDefault="00A85061">
            <w:pPr>
              <w:rPr>
                <w:rFonts w:ascii="宋体"/>
                <w:vanish/>
              </w:rPr>
            </w:pPr>
          </w:p>
        </w:tc>
        <w:tc>
          <w:tcPr>
            <w:tcW w:w="0" w:type="auto"/>
            <w:gridSpan w:val="3"/>
            <w:shd w:val="clear" w:color="auto" w:fill="auto"/>
            <w:vAlign w:val="bottom"/>
          </w:tcPr>
          <w:p w14:paraId="27E074FF" w14:textId="77777777" w:rsidR="00A85061" w:rsidRDefault="00A85061">
            <w:pPr>
              <w:rPr>
                <w:rFonts w:ascii="宋体"/>
                <w:vanish/>
              </w:rPr>
            </w:pPr>
          </w:p>
        </w:tc>
        <w:tc>
          <w:tcPr>
            <w:tcW w:w="0" w:type="auto"/>
            <w:gridSpan w:val="3"/>
            <w:shd w:val="clear" w:color="auto" w:fill="auto"/>
            <w:vAlign w:val="bottom"/>
          </w:tcPr>
          <w:p w14:paraId="27E07500" w14:textId="77777777" w:rsidR="00A85061" w:rsidRDefault="00A85061">
            <w:pPr>
              <w:rPr>
                <w:rFonts w:ascii="宋体"/>
                <w:vanish/>
              </w:rPr>
            </w:pPr>
          </w:p>
        </w:tc>
      </w:tr>
      <w:tr w:rsidR="00A85061" w14:paraId="27E0750C" w14:textId="77777777">
        <w:trPr>
          <w:jc w:val="center"/>
        </w:trPr>
        <w:tc>
          <w:tcPr>
            <w:tcW w:w="0" w:type="auto"/>
            <w:gridSpan w:val="3"/>
            <w:shd w:val="clear" w:color="auto" w:fill="FFFFFF"/>
            <w:tcMar>
              <w:top w:w="40" w:type="dxa"/>
              <w:left w:w="20" w:type="dxa"/>
              <w:bottom w:w="40" w:type="dxa"/>
              <w:right w:w="20" w:type="dxa"/>
            </w:tcMar>
            <w:vAlign w:val="bottom"/>
          </w:tcPr>
          <w:p w14:paraId="27E07502" w14:textId="77777777" w:rsidR="00A85061" w:rsidRDefault="00F04891">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27E07503" w14:textId="77777777" w:rsidR="00A85061" w:rsidRDefault="00F04891">
            <w:pPr>
              <w:jc w:val="right"/>
              <w:textAlignment w:val="bottom"/>
            </w:pPr>
            <w:r>
              <w:rPr>
                <w:rFonts w:ascii="sans-serif" w:eastAsia="sans-serif" w:hAnsi="sans-serif" w:cs="sans-serif"/>
                <w:color w:val="000000"/>
                <w:sz w:val="20"/>
                <w:szCs w:val="20"/>
              </w:rPr>
              <w:t>132 </w:t>
            </w:r>
          </w:p>
        </w:tc>
        <w:tc>
          <w:tcPr>
            <w:tcW w:w="0" w:type="auto"/>
            <w:shd w:val="clear" w:color="auto" w:fill="FFFFFF"/>
            <w:tcMar>
              <w:top w:w="40" w:type="dxa"/>
              <w:left w:w="0" w:type="dxa"/>
              <w:bottom w:w="40" w:type="dxa"/>
              <w:right w:w="20" w:type="dxa"/>
            </w:tcMar>
            <w:vAlign w:val="bottom"/>
          </w:tcPr>
          <w:p w14:paraId="27E0750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50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506" w14:textId="77777777" w:rsidR="00A85061" w:rsidRDefault="00F04891">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left w:w="0" w:type="dxa"/>
              <w:bottom w:w="40" w:type="dxa"/>
              <w:right w:w="20" w:type="dxa"/>
            </w:tcMar>
            <w:vAlign w:val="bottom"/>
          </w:tcPr>
          <w:p w14:paraId="27E07507" w14:textId="77777777" w:rsidR="00A85061" w:rsidRDefault="00A85061">
            <w:pPr>
              <w:jc w:val="right"/>
              <w:rPr>
                <w:rFonts w:ascii="宋体"/>
              </w:rPr>
            </w:pPr>
          </w:p>
        </w:tc>
        <w:tc>
          <w:tcPr>
            <w:tcW w:w="0" w:type="auto"/>
            <w:shd w:val="clear" w:color="auto" w:fill="auto"/>
            <w:vAlign w:val="bottom"/>
          </w:tcPr>
          <w:p w14:paraId="27E07508" w14:textId="77777777" w:rsidR="00A85061" w:rsidRDefault="00A85061">
            <w:pPr>
              <w:rPr>
                <w:rFonts w:ascii="宋体"/>
                <w:vanish/>
              </w:rPr>
            </w:pPr>
          </w:p>
        </w:tc>
        <w:tc>
          <w:tcPr>
            <w:tcW w:w="0" w:type="auto"/>
            <w:shd w:val="clear" w:color="auto" w:fill="auto"/>
            <w:vAlign w:val="bottom"/>
          </w:tcPr>
          <w:p w14:paraId="27E07509" w14:textId="77777777" w:rsidR="00A85061" w:rsidRDefault="00A85061">
            <w:pPr>
              <w:rPr>
                <w:rFonts w:ascii="宋体"/>
                <w:vanish/>
              </w:rPr>
            </w:pPr>
          </w:p>
        </w:tc>
        <w:tc>
          <w:tcPr>
            <w:tcW w:w="0" w:type="auto"/>
            <w:gridSpan w:val="3"/>
            <w:shd w:val="clear" w:color="auto" w:fill="auto"/>
            <w:vAlign w:val="bottom"/>
          </w:tcPr>
          <w:p w14:paraId="27E0750A" w14:textId="77777777" w:rsidR="00A85061" w:rsidRDefault="00A85061">
            <w:pPr>
              <w:rPr>
                <w:rFonts w:ascii="宋体"/>
                <w:vanish/>
              </w:rPr>
            </w:pPr>
          </w:p>
        </w:tc>
        <w:tc>
          <w:tcPr>
            <w:tcW w:w="0" w:type="auto"/>
            <w:gridSpan w:val="3"/>
            <w:shd w:val="clear" w:color="auto" w:fill="auto"/>
            <w:vAlign w:val="bottom"/>
          </w:tcPr>
          <w:p w14:paraId="27E0750B" w14:textId="77777777" w:rsidR="00A85061" w:rsidRDefault="00A85061">
            <w:pPr>
              <w:rPr>
                <w:rFonts w:ascii="宋体"/>
                <w:vanish/>
              </w:rPr>
            </w:pPr>
          </w:p>
        </w:tc>
      </w:tr>
      <w:tr w:rsidR="00A85061" w14:paraId="27E07519" w14:textId="77777777">
        <w:trPr>
          <w:jc w:val="center"/>
        </w:trPr>
        <w:tc>
          <w:tcPr>
            <w:tcW w:w="0" w:type="auto"/>
            <w:gridSpan w:val="3"/>
            <w:shd w:val="clear" w:color="auto" w:fill="E2EFD9"/>
            <w:tcMar>
              <w:top w:w="40" w:type="dxa"/>
              <w:left w:w="20" w:type="dxa"/>
              <w:bottom w:w="40" w:type="dxa"/>
              <w:right w:w="20" w:type="dxa"/>
            </w:tcMar>
            <w:vAlign w:val="bottom"/>
          </w:tcPr>
          <w:p w14:paraId="27E0750D" w14:textId="77777777" w:rsidR="00A85061" w:rsidRDefault="00F04891">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E2EFD9"/>
            <w:tcMar>
              <w:top w:w="40" w:type="dxa"/>
              <w:left w:w="20" w:type="dxa"/>
              <w:bottom w:w="40" w:type="dxa"/>
              <w:right w:w="0" w:type="dxa"/>
            </w:tcMar>
            <w:vAlign w:val="bottom"/>
          </w:tcPr>
          <w:p w14:paraId="27E0750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50F" w14:textId="77777777" w:rsidR="00A85061" w:rsidRDefault="00F04891">
            <w:pPr>
              <w:jc w:val="right"/>
              <w:textAlignment w:val="bottom"/>
            </w:pPr>
            <w:r>
              <w:rPr>
                <w:rFonts w:ascii="sans-serif" w:eastAsia="sans-serif" w:hAnsi="sans-serif" w:cs="sans-serif"/>
                <w:color w:val="000000"/>
                <w:sz w:val="20"/>
                <w:szCs w:val="20"/>
              </w:rPr>
              <w:t>1,912 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51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511"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51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513" w14:textId="77777777" w:rsidR="00A85061" w:rsidRDefault="00F04891">
            <w:pPr>
              <w:jc w:val="right"/>
              <w:textAlignment w:val="bottom"/>
            </w:pPr>
            <w:r>
              <w:rPr>
                <w:rFonts w:ascii="sans-serif" w:eastAsia="sans-serif" w:hAnsi="sans-serif" w:cs="sans-serif"/>
                <w:color w:val="000000"/>
                <w:sz w:val="20"/>
                <w:szCs w:val="20"/>
              </w:rPr>
              <w:t>917 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514" w14:textId="77777777" w:rsidR="00A85061" w:rsidRDefault="00A85061">
            <w:pPr>
              <w:jc w:val="right"/>
              <w:rPr>
                <w:rFonts w:ascii="宋体"/>
              </w:rPr>
            </w:pPr>
          </w:p>
        </w:tc>
        <w:tc>
          <w:tcPr>
            <w:tcW w:w="0" w:type="auto"/>
            <w:shd w:val="clear" w:color="auto" w:fill="auto"/>
            <w:vAlign w:val="bottom"/>
          </w:tcPr>
          <w:p w14:paraId="27E07515" w14:textId="77777777" w:rsidR="00A85061" w:rsidRDefault="00A85061">
            <w:pPr>
              <w:rPr>
                <w:rFonts w:ascii="宋体"/>
                <w:vanish/>
              </w:rPr>
            </w:pPr>
          </w:p>
        </w:tc>
        <w:tc>
          <w:tcPr>
            <w:tcW w:w="0" w:type="auto"/>
            <w:shd w:val="clear" w:color="auto" w:fill="auto"/>
            <w:vAlign w:val="bottom"/>
          </w:tcPr>
          <w:p w14:paraId="27E07516" w14:textId="77777777" w:rsidR="00A85061" w:rsidRDefault="00A85061">
            <w:pPr>
              <w:rPr>
                <w:rFonts w:ascii="宋体"/>
                <w:vanish/>
              </w:rPr>
            </w:pPr>
          </w:p>
        </w:tc>
        <w:tc>
          <w:tcPr>
            <w:tcW w:w="0" w:type="auto"/>
            <w:gridSpan w:val="3"/>
            <w:shd w:val="clear" w:color="auto" w:fill="auto"/>
            <w:vAlign w:val="bottom"/>
          </w:tcPr>
          <w:p w14:paraId="27E07517" w14:textId="77777777" w:rsidR="00A85061" w:rsidRDefault="00A85061">
            <w:pPr>
              <w:rPr>
                <w:rFonts w:ascii="宋体"/>
                <w:vanish/>
              </w:rPr>
            </w:pPr>
          </w:p>
        </w:tc>
        <w:tc>
          <w:tcPr>
            <w:tcW w:w="0" w:type="auto"/>
            <w:gridSpan w:val="3"/>
            <w:shd w:val="clear" w:color="auto" w:fill="auto"/>
            <w:vAlign w:val="bottom"/>
          </w:tcPr>
          <w:p w14:paraId="27E07518" w14:textId="77777777" w:rsidR="00A85061" w:rsidRDefault="00A85061">
            <w:pPr>
              <w:rPr>
                <w:rFonts w:ascii="宋体"/>
                <w:vanish/>
              </w:rPr>
            </w:pPr>
          </w:p>
        </w:tc>
      </w:tr>
      <w:tr w:rsidR="00A85061" w14:paraId="27E07522" w14:textId="77777777">
        <w:trPr>
          <w:trHeight w:val="300"/>
          <w:jc w:val="center"/>
        </w:trPr>
        <w:tc>
          <w:tcPr>
            <w:tcW w:w="0" w:type="auto"/>
            <w:gridSpan w:val="3"/>
            <w:shd w:val="clear" w:color="auto" w:fill="FFFFFF"/>
            <w:tcMar>
              <w:top w:w="0" w:type="dxa"/>
              <w:left w:w="20" w:type="dxa"/>
              <w:bottom w:w="0" w:type="dxa"/>
              <w:right w:w="20" w:type="dxa"/>
            </w:tcMar>
            <w:vAlign w:val="bottom"/>
          </w:tcPr>
          <w:p w14:paraId="27E0751A"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51B"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51C"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51D" w14:textId="77777777" w:rsidR="00A85061" w:rsidRDefault="00A85061">
            <w:pPr>
              <w:rPr>
                <w:rFonts w:ascii="宋体"/>
              </w:rPr>
            </w:pPr>
          </w:p>
        </w:tc>
        <w:tc>
          <w:tcPr>
            <w:tcW w:w="0" w:type="auto"/>
            <w:shd w:val="clear" w:color="auto" w:fill="auto"/>
            <w:vAlign w:val="bottom"/>
          </w:tcPr>
          <w:p w14:paraId="27E0751E" w14:textId="77777777" w:rsidR="00A85061" w:rsidRDefault="00A85061">
            <w:pPr>
              <w:rPr>
                <w:rFonts w:ascii="宋体"/>
                <w:vanish/>
              </w:rPr>
            </w:pPr>
          </w:p>
        </w:tc>
        <w:tc>
          <w:tcPr>
            <w:tcW w:w="0" w:type="auto"/>
            <w:shd w:val="clear" w:color="auto" w:fill="auto"/>
            <w:vAlign w:val="bottom"/>
          </w:tcPr>
          <w:p w14:paraId="27E0751F" w14:textId="77777777" w:rsidR="00A85061" w:rsidRDefault="00A85061">
            <w:pPr>
              <w:rPr>
                <w:rFonts w:ascii="宋体"/>
                <w:vanish/>
              </w:rPr>
            </w:pPr>
          </w:p>
        </w:tc>
        <w:tc>
          <w:tcPr>
            <w:tcW w:w="0" w:type="auto"/>
            <w:gridSpan w:val="3"/>
            <w:shd w:val="clear" w:color="auto" w:fill="auto"/>
            <w:vAlign w:val="bottom"/>
          </w:tcPr>
          <w:p w14:paraId="27E07520" w14:textId="77777777" w:rsidR="00A85061" w:rsidRDefault="00A85061">
            <w:pPr>
              <w:rPr>
                <w:rFonts w:ascii="宋体"/>
                <w:vanish/>
              </w:rPr>
            </w:pPr>
          </w:p>
        </w:tc>
        <w:tc>
          <w:tcPr>
            <w:tcW w:w="0" w:type="auto"/>
            <w:gridSpan w:val="3"/>
            <w:shd w:val="clear" w:color="auto" w:fill="auto"/>
            <w:vAlign w:val="bottom"/>
          </w:tcPr>
          <w:p w14:paraId="27E07521" w14:textId="77777777" w:rsidR="00A85061" w:rsidRDefault="00A85061">
            <w:pPr>
              <w:rPr>
                <w:rFonts w:ascii="宋体"/>
                <w:vanish/>
              </w:rPr>
            </w:pPr>
          </w:p>
        </w:tc>
      </w:tr>
      <w:tr w:rsidR="00A85061" w14:paraId="27E0752B" w14:textId="77777777">
        <w:trPr>
          <w:jc w:val="center"/>
        </w:trPr>
        <w:tc>
          <w:tcPr>
            <w:tcW w:w="0" w:type="auto"/>
            <w:gridSpan w:val="3"/>
            <w:shd w:val="clear" w:color="auto" w:fill="E2EFD9"/>
            <w:tcMar>
              <w:top w:w="40" w:type="dxa"/>
              <w:left w:w="20" w:type="dxa"/>
              <w:bottom w:w="40" w:type="dxa"/>
              <w:right w:w="20" w:type="dxa"/>
            </w:tcMar>
            <w:vAlign w:val="bottom"/>
          </w:tcPr>
          <w:p w14:paraId="27E07523" w14:textId="77777777" w:rsidR="00A85061" w:rsidRDefault="00F04891">
            <w:pPr>
              <w:textAlignment w:val="bottom"/>
            </w:pPr>
            <w:r>
              <w:rPr>
                <w:rFonts w:ascii="sans-serif" w:eastAsia="sans-serif" w:hAnsi="sans-serif" w:cs="sans-serif"/>
                <w:color w:val="000000"/>
                <w:sz w:val="20"/>
                <w:szCs w:val="20"/>
              </w:rPr>
              <w:t>Net income per share:</w:t>
            </w:r>
          </w:p>
        </w:tc>
        <w:tc>
          <w:tcPr>
            <w:tcW w:w="0" w:type="auto"/>
            <w:gridSpan w:val="3"/>
            <w:shd w:val="clear" w:color="auto" w:fill="E2EFD9"/>
            <w:tcMar>
              <w:top w:w="0" w:type="dxa"/>
              <w:left w:w="20" w:type="dxa"/>
              <w:bottom w:w="0" w:type="dxa"/>
              <w:right w:w="20" w:type="dxa"/>
            </w:tcMar>
            <w:vAlign w:val="bottom"/>
          </w:tcPr>
          <w:p w14:paraId="27E07524"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25"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26" w14:textId="77777777" w:rsidR="00A85061" w:rsidRDefault="00A85061">
            <w:pPr>
              <w:rPr>
                <w:rFonts w:ascii="宋体"/>
              </w:rPr>
            </w:pPr>
          </w:p>
        </w:tc>
        <w:tc>
          <w:tcPr>
            <w:tcW w:w="0" w:type="auto"/>
            <w:shd w:val="clear" w:color="auto" w:fill="auto"/>
            <w:vAlign w:val="bottom"/>
          </w:tcPr>
          <w:p w14:paraId="27E07527" w14:textId="77777777" w:rsidR="00A85061" w:rsidRDefault="00A85061">
            <w:pPr>
              <w:rPr>
                <w:rFonts w:ascii="宋体"/>
                <w:vanish/>
              </w:rPr>
            </w:pPr>
          </w:p>
        </w:tc>
        <w:tc>
          <w:tcPr>
            <w:tcW w:w="0" w:type="auto"/>
            <w:shd w:val="clear" w:color="auto" w:fill="auto"/>
            <w:vAlign w:val="bottom"/>
          </w:tcPr>
          <w:p w14:paraId="27E07528" w14:textId="77777777" w:rsidR="00A85061" w:rsidRDefault="00A85061">
            <w:pPr>
              <w:rPr>
                <w:rFonts w:ascii="宋体"/>
                <w:vanish/>
              </w:rPr>
            </w:pPr>
          </w:p>
        </w:tc>
        <w:tc>
          <w:tcPr>
            <w:tcW w:w="0" w:type="auto"/>
            <w:gridSpan w:val="3"/>
            <w:shd w:val="clear" w:color="auto" w:fill="auto"/>
            <w:vAlign w:val="bottom"/>
          </w:tcPr>
          <w:p w14:paraId="27E07529" w14:textId="77777777" w:rsidR="00A85061" w:rsidRDefault="00A85061">
            <w:pPr>
              <w:rPr>
                <w:rFonts w:ascii="宋体"/>
                <w:vanish/>
              </w:rPr>
            </w:pPr>
          </w:p>
        </w:tc>
        <w:tc>
          <w:tcPr>
            <w:tcW w:w="0" w:type="auto"/>
            <w:gridSpan w:val="3"/>
            <w:shd w:val="clear" w:color="auto" w:fill="auto"/>
            <w:vAlign w:val="bottom"/>
          </w:tcPr>
          <w:p w14:paraId="27E0752A" w14:textId="77777777" w:rsidR="00A85061" w:rsidRDefault="00A85061">
            <w:pPr>
              <w:rPr>
                <w:rFonts w:ascii="宋体"/>
                <w:vanish/>
              </w:rPr>
            </w:pPr>
          </w:p>
        </w:tc>
      </w:tr>
      <w:tr w:rsidR="00A85061" w14:paraId="27E07538" w14:textId="77777777">
        <w:trPr>
          <w:jc w:val="center"/>
        </w:trPr>
        <w:tc>
          <w:tcPr>
            <w:tcW w:w="0" w:type="auto"/>
            <w:gridSpan w:val="3"/>
            <w:shd w:val="clear" w:color="auto" w:fill="FFFFFF"/>
            <w:tcMar>
              <w:top w:w="40" w:type="dxa"/>
              <w:left w:w="515" w:type="dxa"/>
              <w:bottom w:w="40" w:type="dxa"/>
              <w:right w:w="20" w:type="dxa"/>
            </w:tcMar>
            <w:vAlign w:val="bottom"/>
          </w:tcPr>
          <w:p w14:paraId="27E0752C" w14:textId="77777777" w:rsidR="00A85061" w:rsidRDefault="00F04891">
            <w:pPr>
              <w:textAlignment w:val="bottom"/>
            </w:pPr>
            <w:r>
              <w:rPr>
                <w:rFonts w:ascii="sans-serif" w:eastAsia="sans-serif" w:hAnsi="sans-serif" w:cs="sans-serif"/>
                <w:color w:val="000000"/>
                <w:sz w:val="20"/>
                <w:szCs w:val="20"/>
              </w:rPr>
              <w:t>Basic</w:t>
            </w:r>
          </w:p>
        </w:tc>
        <w:tc>
          <w:tcPr>
            <w:tcW w:w="0" w:type="auto"/>
            <w:shd w:val="clear" w:color="auto" w:fill="FFFFFF"/>
            <w:tcMar>
              <w:top w:w="40" w:type="dxa"/>
              <w:left w:w="20" w:type="dxa"/>
              <w:bottom w:w="40" w:type="dxa"/>
              <w:right w:w="0" w:type="dxa"/>
            </w:tcMar>
            <w:vAlign w:val="bottom"/>
          </w:tcPr>
          <w:p w14:paraId="27E0752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52E" w14:textId="77777777" w:rsidR="00A85061" w:rsidRDefault="00F04891">
            <w:pPr>
              <w:jc w:val="right"/>
              <w:textAlignment w:val="bottom"/>
            </w:pPr>
            <w:r>
              <w:rPr>
                <w:rFonts w:ascii="sans-serif" w:eastAsia="sans-serif" w:hAnsi="sans-serif" w:cs="sans-serif"/>
                <w:color w:val="000000"/>
                <w:sz w:val="20"/>
                <w:szCs w:val="20"/>
              </w:rPr>
              <w:t>3.08 </w:t>
            </w:r>
          </w:p>
        </w:tc>
        <w:tc>
          <w:tcPr>
            <w:tcW w:w="0" w:type="auto"/>
            <w:shd w:val="clear" w:color="auto" w:fill="FFFFFF"/>
            <w:tcMar>
              <w:top w:w="40" w:type="dxa"/>
              <w:left w:w="0" w:type="dxa"/>
              <w:bottom w:w="40" w:type="dxa"/>
              <w:right w:w="20" w:type="dxa"/>
            </w:tcMar>
            <w:vAlign w:val="bottom"/>
          </w:tcPr>
          <w:p w14:paraId="27E0752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530"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53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532" w14:textId="77777777" w:rsidR="00A85061" w:rsidRDefault="00F04891">
            <w:pPr>
              <w:jc w:val="right"/>
              <w:textAlignment w:val="bottom"/>
            </w:pPr>
            <w:r>
              <w:rPr>
                <w:rFonts w:ascii="sans-serif" w:eastAsia="sans-serif" w:hAnsi="sans-serif" w:cs="sans-serif"/>
                <w:color w:val="000000"/>
                <w:sz w:val="20"/>
                <w:szCs w:val="20"/>
              </w:rPr>
              <w:t>1.49 </w:t>
            </w:r>
          </w:p>
        </w:tc>
        <w:tc>
          <w:tcPr>
            <w:tcW w:w="0" w:type="auto"/>
            <w:shd w:val="clear" w:color="auto" w:fill="FFFFFF"/>
            <w:tcMar>
              <w:top w:w="40" w:type="dxa"/>
              <w:left w:w="0" w:type="dxa"/>
              <w:bottom w:w="40" w:type="dxa"/>
              <w:right w:w="20" w:type="dxa"/>
            </w:tcMar>
            <w:vAlign w:val="bottom"/>
          </w:tcPr>
          <w:p w14:paraId="27E07533" w14:textId="77777777" w:rsidR="00A85061" w:rsidRDefault="00A85061">
            <w:pPr>
              <w:jc w:val="right"/>
              <w:rPr>
                <w:rFonts w:ascii="宋体"/>
              </w:rPr>
            </w:pPr>
          </w:p>
        </w:tc>
        <w:tc>
          <w:tcPr>
            <w:tcW w:w="0" w:type="auto"/>
            <w:shd w:val="clear" w:color="auto" w:fill="auto"/>
            <w:vAlign w:val="bottom"/>
          </w:tcPr>
          <w:p w14:paraId="27E07534" w14:textId="77777777" w:rsidR="00A85061" w:rsidRDefault="00A85061">
            <w:pPr>
              <w:rPr>
                <w:rFonts w:ascii="宋体"/>
                <w:vanish/>
              </w:rPr>
            </w:pPr>
          </w:p>
        </w:tc>
        <w:tc>
          <w:tcPr>
            <w:tcW w:w="0" w:type="auto"/>
            <w:shd w:val="clear" w:color="auto" w:fill="auto"/>
            <w:vAlign w:val="bottom"/>
          </w:tcPr>
          <w:p w14:paraId="27E07535" w14:textId="77777777" w:rsidR="00A85061" w:rsidRDefault="00A85061">
            <w:pPr>
              <w:rPr>
                <w:rFonts w:ascii="宋体"/>
                <w:vanish/>
              </w:rPr>
            </w:pPr>
          </w:p>
        </w:tc>
        <w:tc>
          <w:tcPr>
            <w:tcW w:w="0" w:type="auto"/>
            <w:gridSpan w:val="3"/>
            <w:shd w:val="clear" w:color="auto" w:fill="auto"/>
            <w:vAlign w:val="bottom"/>
          </w:tcPr>
          <w:p w14:paraId="27E07536" w14:textId="77777777" w:rsidR="00A85061" w:rsidRDefault="00A85061">
            <w:pPr>
              <w:rPr>
                <w:rFonts w:ascii="宋体"/>
                <w:vanish/>
              </w:rPr>
            </w:pPr>
          </w:p>
        </w:tc>
        <w:tc>
          <w:tcPr>
            <w:tcW w:w="0" w:type="auto"/>
            <w:gridSpan w:val="3"/>
            <w:shd w:val="clear" w:color="auto" w:fill="auto"/>
            <w:vAlign w:val="bottom"/>
          </w:tcPr>
          <w:p w14:paraId="27E07537" w14:textId="77777777" w:rsidR="00A85061" w:rsidRDefault="00A85061">
            <w:pPr>
              <w:rPr>
                <w:rFonts w:ascii="宋体"/>
                <w:vanish/>
              </w:rPr>
            </w:pPr>
          </w:p>
        </w:tc>
      </w:tr>
      <w:tr w:rsidR="00A85061" w14:paraId="27E07545" w14:textId="77777777">
        <w:trPr>
          <w:jc w:val="center"/>
        </w:trPr>
        <w:tc>
          <w:tcPr>
            <w:tcW w:w="0" w:type="auto"/>
            <w:gridSpan w:val="3"/>
            <w:shd w:val="clear" w:color="auto" w:fill="E2EFD9"/>
            <w:tcMar>
              <w:top w:w="40" w:type="dxa"/>
              <w:left w:w="515" w:type="dxa"/>
              <w:bottom w:w="40" w:type="dxa"/>
              <w:right w:w="20" w:type="dxa"/>
            </w:tcMar>
            <w:vAlign w:val="bottom"/>
          </w:tcPr>
          <w:p w14:paraId="27E07539" w14:textId="77777777" w:rsidR="00A85061" w:rsidRDefault="00F04891">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E2EFD9"/>
            <w:tcMar>
              <w:top w:w="40" w:type="dxa"/>
              <w:left w:w="20" w:type="dxa"/>
              <w:bottom w:w="40" w:type="dxa"/>
              <w:right w:w="0" w:type="dxa"/>
            </w:tcMar>
            <w:vAlign w:val="bottom"/>
          </w:tcPr>
          <w:p w14:paraId="27E0753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53B" w14:textId="77777777" w:rsidR="00A85061" w:rsidRDefault="00F04891">
            <w:pPr>
              <w:jc w:val="right"/>
              <w:textAlignment w:val="bottom"/>
            </w:pPr>
            <w:r>
              <w:rPr>
                <w:rFonts w:ascii="sans-serif" w:eastAsia="sans-serif" w:hAnsi="sans-serif" w:cs="sans-serif"/>
                <w:color w:val="000000"/>
                <w:sz w:val="20"/>
                <w:szCs w:val="20"/>
              </w:rPr>
              <w:t>3.03 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53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53D"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53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53F" w14:textId="77777777" w:rsidR="00A85061" w:rsidRDefault="00F04891">
            <w:pPr>
              <w:jc w:val="right"/>
              <w:textAlignment w:val="bottom"/>
            </w:pPr>
            <w:r>
              <w:rPr>
                <w:rFonts w:ascii="sans-serif" w:eastAsia="sans-serif" w:hAnsi="sans-serif" w:cs="sans-serif"/>
                <w:color w:val="000000"/>
                <w:sz w:val="20"/>
                <w:szCs w:val="20"/>
              </w:rPr>
              <w:t>1.47 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540" w14:textId="77777777" w:rsidR="00A85061" w:rsidRDefault="00A85061">
            <w:pPr>
              <w:jc w:val="right"/>
              <w:rPr>
                <w:rFonts w:ascii="宋体"/>
              </w:rPr>
            </w:pPr>
          </w:p>
        </w:tc>
        <w:tc>
          <w:tcPr>
            <w:tcW w:w="0" w:type="auto"/>
            <w:shd w:val="clear" w:color="auto" w:fill="auto"/>
            <w:vAlign w:val="bottom"/>
          </w:tcPr>
          <w:p w14:paraId="27E07541" w14:textId="77777777" w:rsidR="00A85061" w:rsidRDefault="00A85061">
            <w:pPr>
              <w:rPr>
                <w:rFonts w:ascii="宋体"/>
                <w:vanish/>
              </w:rPr>
            </w:pPr>
          </w:p>
        </w:tc>
        <w:tc>
          <w:tcPr>
            <w:tcW w:w="0" w:type="auto"/>
            <w:shd w:val="clear" w:color="auto" w:fill="auto"/>
            <w:vAlign w:val="bottom"/>
          </w:tcPr>
          <w:p w14:paraId="27E07542" w14:textId="77777777" w:rsidR="00A85061" w:rsidRDefault="00A85061">
            <w:pPr>
              <w:rPr>
                <w:rFonts w:ascii="宋体"/>
                <w:vanish/>
              </w:rPr>
            </w:pPr>
          </w:p>
        </w:tc>
        <w:tc>
          <w:tcPr>
            <w:tcW w:w="0" w:type="auto"/>
            <w:gridSpan w:val="3"/>
            <w:shd w:val="clear" w:color="auto" w:fill="auto"/>
            <w:vAlign w:val="bottom"/>
          </w:tcPr>
          <w:p w14:paraId="27E07543" w14:textId="77777777" w:rsidR="00A85061" w:rsidRDefault="00A85061">
            <w:pPr>
              <w:rPr>
                <w:rFonts w:ascii="宋体"/>
                <w:vanish/>
              </w:rPr>
            </w:pPr>
          </w:p>
        </w:tc>
        <w:tc>
          <w:tcPr>
            <w:tcW w:w="0" w:type="auto"/>
            <w:gridSpan w:val="3"/>
            <w:shd w:val="clear" w:color="auto" w:fill="auto"/>
            <w:vAlign w:val="bottom"/>
          </w:tcPr>
          <w:p w14:paraId="27E07544" w14:textId="77777777" w:rsidR="00A85061" w:rsidRDefault="00A85061">
            <w:pPr>
              <w:rPr>
                <w:rFonts w:ascii="宋体"/>
                <w:vanish/>
              </w:rPr>
            </w:pPr>
          </w:p>
        </w:tc>
      </w:tr>
      <w:tr w:rsidR="00A85061" w14:paraId="27E0754E" w14:textId="77777777">
        <w:trPr>
          <w:trHeight w:val="300"/>
          <w:jc w:val="center"/>
        </w:trPr>
        <w:tc>
          <w:tcPr>
            <w:tcW w:w="0" w:type="auto"/>
            <w:gridSpan w:val="3"/>
            <w:shd w:val="clear" w:color="auto" w:fill="FFFFFF"/>
            <w:tcMar>
              <w:top w:w="0" w:type="dxa"/>
              <w:left w:w="20" w:type="dxa"/>
              <w:bottom w:w="0" w:type="dxa"/>
              <w:right w:w="20" w:type="dxa"/>
            </w:tcMar>
            <w:vAlign w:val="bottom"/>
          </w:tcPr>
          <w:p w14:paraId="27E07546"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54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548"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549" w14:textId="77777777" w:rsidR="00A85061" w:rsidRDefault="00A85061">
            <w:pPr>
              <w:rPr>
                <w:rFonts w:ascii="宋体"/>
              </w:rPr>
            </w:pPr>
          </w:p>
        </w:tc>
        <w:tc>
          <w:tcPr>
            <w:tcW w:w="0" w:type="auto"/>
            <w:shd w:val="clear" w:color="auto" w:fill="auto"/>
            <w:vAlign w:val="bottom"/>
          </w:tcPr>
          <w:p w14:paraId="27E0754A" w14:textId="77777777" w:rsidR="00A85061" w:rsidRDefault="00A85061">
            <w:pPr>
              <w:rPr>
                <w:rFonts w:ascii="宋体"/>
                <w:vanish/>
              </w:rPr>
            </w:pPr>
          </w:p>
        </w:tc>
        <w:tc>
          <w:tcPr>
            <w:tcW w:w="0" w:type="auto"/>
            <w:shd w:val="clear" w:color="auto" w:fill="auto"/>
            <w:vAlign w:val="bottom"/>
          </w:tcPr>
          <w:p w14:paraId="27E0754B" w14:textId="77777777" w:rsidR="00A85061" w:rsidRDefault="00A85061">
            <w:pPr>
              <w:rPr>
                <w:rFonts w:ascii="宋体"/>
                <w:vanish/>
              </w:rPr>
            </w:pPr>
          </w:p>
        </w:tc>
        <w:tc>
          <w:tcPr>
            <w:tcW w:w="0" w:type="auto"/>
            <w:gridSpan w:val="3"/>
            <w:shd w:val="clear" w:color="auto" w:fill="auto"/>
            <w:vAlign w:val="bottom"/>
          </w:tcPr>
          <w:p w14:paraId="27E0754C" w14:textId="77777777" w:rsidR="00A85061" w:rsidRDefault="00A85061">
            <w:pPr>
              <w:rPr>
                <w:rFonts w:ascii="宋体"/>
                <w:vanish/>
              </w:rPr>
            </w:pPr>
          </w:p>
        </w:tc>
        <w:tc>
          <w:tcPr>
            <w:tcW w:w="0" w:type="auto"/>
            <w:gridSpan w:val="3"/>
            <w:shd w:val="clear" w:color="auto" w:fill="auto"/>
            <w:vAlign w:val="bottom"/>
          </w:tcPr>
          <w:p w14:paraId="27E0754D" w14:textId="77777777" w:rsidR="00A85061" w:rsidRDefault="00A85061">
            <w:pPr>
              <w:rPr>
                <w:rFonts w:ascii="宋体"/>
                <w:vanish/>
              </w:rPr>
            </w:pPr>
          </w:p>
        </w:tc>
      </w:tr>
      <w:tr w:rsidR="00A85061" w14:paraId="27E07557" w14:textId="77777777">
        <w:trPr>
          <w:jc w:val="center"/>
        </w:trPr>
        <w:tc>
          <w:tcPr>
            <w:tcW w:w="0" w:type="auto"/>
            <w:gridSpan w:val="3"/>
            <w:shd w:val="clear" w:color="auto" w:fill="E2EFD9"/>
            <w:tcMar>
              <w:top w:w="40" w:type="dxa"/>
              <w:left w:w="20" w:type="dxa"/>
              <w:bottom w:w="40" w:type="dxa"/>
              <w:right w:w="20" w:type="dxa"/>
            </w:tcMar>
            <w:vAlign w:val="bottom"/>
          </w:tcPr>
          <w:p w14:paraId="27E0754F" w14:textId="77777777" w:rsidR="00A85061" w:rsidRDefault="00F04891">
            <w:pPr>
              <w:textAlignment w:val="bottom"/>
            </w:pPr>
            <w:r>
              <w:rPr>
                <w:rFonts w:ascii="sans-serif" w:eastAsia="sans-serif" w:hAnsi="sans-serif" w:cs="sans-serif"/>
                <w:color w:val="000000"/>
                <w:sz w:val="20"/>
                <w:szCs w:val="20"/>
              </w:rPr>
              <w:t xml:space="preserve">Weighted average shares used in </w:t>
            </w:r>
            <w:r>
              <w:rPr>
                <w:rFonts w:ascii="sans-serif" w:eastAsia="sans-serif" w:hAnsi="sans-serif" w:cs="sans-serif"/>
                <w:color w:val="000000"/>
                <w:sz w:val="20"/>
                <w:szCs w:val="20"/>
              </w:rPr>
              <w:t>per share computation:</w:t>
            </w:r>
          </w:p>
        </w:tc>
        <w:tc>
          <w:tcPr>
            <w:tcW w:w="0" w:type="auto"/>
            <w:gridSpan w:val="3"/>
            <w:shd w:val="clear" w:color="auto" w:fill="E2EFD9"/>
            <w:tcMar>
              <w:top w:w="0" w:type="dxa"/>
              <w:left w:w="20" w:type="dxa"/>
              <w:bottom w:w="0" w:type="dxa"/>
              <w:right w:w="20" w:type="dxa"/>
            </w:tcMar>
            <w:vAlign w:val="bottom"/>
          </w:tcPr>
          <w:p w14:paraId="27E07550"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51"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52" w14:textId="77777777" w:rsidR="00A85061" w:rsidRDefault="00A85061">
            <w:pPr>
              <w:rPr>
                <w:rFonts w:ascii="宋体"/>
              </w:rPr>
            </w:pPr>
          </w:p>
        </w:tc>
        <w:tc>
          <w:tcPr>
            <w:tcW w:w="0" w:type="auto"/>
            <w:shd w:val="clear" w:color="auto" w:fill="auto"/>
            <w:vAlign w:val="bottom"/>
          </w:tcPr>
          <w:p w14:paraId="27E07553" w14:textId="77777777" w:rsidR="00A85061" w:rsidRDefault="00A85061">
            <w:pPr>
              <w:rPr>
                <w:rFonts w:ascii="宋体"/>
                <w:vanish/>
              </w:rPr>
            </w:pPr>
          </w:p>
        </w:tc>
        <w:tc>
          <w:tcPr>
            <w:tcW w:w="0" w:type="auto"/>
            <w:shd w:val="clear" w:color="auto" w:fill="auto"/>
            <w:vAlign w:val="bottom"/>
          </w:tcPr>
          <w:p w14:paraId="27E07554" w14:textId="77777777" w:rsidR="00A85061" w:rsidRDefault="00A85061">
            <w:pPr>
              <w:rPr>
                <w:rFonts w:ascii="宋体"/>
                <w:vanish/>
              </w:rPr>
            </w:pPr>
          </w:p>
        </w:tc>
        <w:tc>
          <w:tcPr>
            <w:tcW w:w="0" w:type="auto"/>
            <w:gridSpan w:val="3"/>
            <w:shd w:val="clear" w:color="auto" w:fill="auto"/>
            <w:vAlign w:val="bottom"/>
          </w:tcPr>
          <w:p w14:paraId="27E07555" w14:textId="77777777" w:rsidR="00A85061" w:rsidRDefault="00A85061">
            <w:pPr>
              <w:rPr>
                <w:rFonts w:ascii="宋体"/>
                <w:vanish/>
              </w:rPr>
            </w:pPr>
          </w:p>
        </w:tc>
        <w:tc>
          <w:tcPr>
            <w:tcW w:w="0" w:type="auto"/>
            <w:gridSpan w:val="3"/>
            <w:shd w:val="clear" w:color="auto" w:fill="auto"/>
            <w:vAlign w:val="bottom"/>
          </w:tcPr>
          <w:p w14:paraId="27E07556" w14:textId="77777777" w:rsidR="00A85061" w:rsidRDefault="00A85061">
            <w:pPr>
              <w:rPr>
                <w:rFonts w:ascii="宋体"/>
                <w:vanish/>
              </w:rPr>
            </w:pPr>
          </w:p>
        </w:tc>
      </w:tr>
      <w:tr w:rsidR="00A85061" w14:paraId="27E07562" w14:textId="77777777">
        <w:trPr>
          <w:jc w:val="center"/>
        </w:trPr>
        <w:tc>
          <w:tcPr>
            <w:tcW w:w="0" w:type="auto"/>
            <w:gridSpan w:val="3"/>
            <w:shd w:val="clear" w:color="auto" w:fill="FFFFFF"/>
            <w:tcMar>
              <w:top w:w="40" w:type="dxa"/>
              <w:left w:w="515" w:type="dxa"/>
              <w:bottom w:w="40" w:type="dxa"/>
              <w:right w:w="20" w:type="dxa"/>
            </w:tcMar>
            <w:vAlign w:val="bottom"/>
          </w:tcPr>
          <w:p w14:paraId="27E07558" w14:textId="77777777" w:rsidR="00A85061" w:rsidRDefault="00F04891">
            <w:pPr>
              <w:textAlignment w:val="bottom"/>
            </w:pPr>
            <w:r>
              <w:rPr>
                <w:rFonts w:ascii="sans-serif" w:eastAsia="sans-serif" w:hAnsi="sans-serif" w:cs="sans-serif"/>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27E07559" w14:textId="77777777" w:rsidR="00A85061" w:rsidRDefault="00F04891">
            <w:pPr>
              <w:jc w:val="right"/>
              <w:textAlignment w:val="bottom"/>
            </w:pPr>
            <w:r>
              <w:rPr>
                <w:rFonts w:ascii="sans-serif" w:eastAsia="sans-serif" w:hAnsi="sans-serif" w:cs="sans-serif"/>
                <w:color w:val="000000"/>
                <w:sz w:val="20"/>
                <w:szCs w:val="20"/>
              </w:rPr>
              <w:t>621 </w:t>
            </w:r>
          </w:p>
        </w:tc>
        <w:tc>
          <w:tcPr>
            <w:tcW w:w="0" w:type="auto"/>
            <w:shd w:val="clear" w:color="auto" w:fill="FFFFFF"/>
            <w:tcMar>
              <w:top w:w="40" w:type="dxa"/>
              <w:left w:w="0" w:type="dxa"/>
              <w:bottom w:w="40" w:type="dxa"/>
              <w:right w:w="20" w:type="dxa"/>
            </w:tcMar>
            <w:vAlign w:val="bottom"/>
          </w:tcPr>
          <w:p w14:paraId="27E0755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55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55C" w14:textId="77777777" w:rsidR="00A85061" w:rsidRDefault="00F04891">
            <w:pPr>
              <w:jc w:val="right"/>
              <w:textAlignment w:val="bottom"/>
            </w:pPr>
            <w:r>
              <w:rPr>
                <w:rFonts w:ascii="sans-serif" w:eastAsia="sans-serif" w:hAnsi="sans-serif" w:cs="sans-serif"/>
                <w:color w:val="000000"/>
                <w:sz w:val="20"/>
                <w:szCs w:val="20"/>
              </w:rPr>
              <w:t>614 </w:t>
            </w:r>
          </w:p>
        </w:tc>
        <w:tc>
          <w:tcPr>
            <w:tcW w:w="0" w:type="auto"/>
            <w:shd w:val="clear" w:color="auto" w:fill="FFFFFF"/>
            <w:tcMar>
              <w:top w:w="40" w:type="dxa"/>
              <w:left w:w="0" w:type="dxa"/>
              <w:bottom w:w="40" w:type="dxa"/>
              <w:right w:w="20" w:type="dxa"/>
            </w:tcMar>
            <w:vAlign w:val="bottom"/>
          </w:tcPr>
          <w:p w14:paraId="27E0755D" w14:textId="77777777" w:rsidR="00A85061" w:rsidRDefault="00A85061">
            <w:pPr>
              <w:jc w:val="right"/>
              <w:rPr>
                <w:rFonts w:ascii="宋体"/>
              </w:rPr>
            </w:pPr>
          </w:p>
        </w:tc>
        <w:tc>
          <w:tcPr>
            <w:tcW w:w="0" w:type="auto"/>
            <w:shd w:val="clear" w:color="auto" w:fill="auto"/>
            <w:vAlign w:val="bottom"/>
          </w:tcPr>
          <w:p w14:paraId="27E0755E" w14:textId="77777777" w:rsidR="00A85061" w:rsidRDefault="00A85061">
            <w:pPr>
              <w:rPr>
                <w:rFonts w:ascii="宋体"/>
                <w:vanish/>
              </w:rPr>
            </w:pPr>
          </w:p>
        </w:tc>
        <w:tc>
          <w:tcPr>
            <w:tcW w:w="0" w:type="auto"/>
            <w:shd w:val="clear" w:color="auto" w:fill="auto"/>
            <w:vAlign w:val="bottom"/>
          </w:tcPr>
          <w:p w14:paraId="27E0755F" w14:textId="77777777" w:rsidR="00A85061" w:rsidRDefault="00A85061">
            <w:pPr>
              <w:rPr>
                <w:rFonts w:ascii="宋体"/>
                <w:vanish/>
              </w:rPr>
            </w:pPr>
          </w:p>
        </w:tc>
        <w:tc>
          <w:tcPr>
            <w:tcW w:w="0" w:type="auto"/>
            <w:gridSpan w:val="3"/>
            <w:shd w:val="clear" w:color="auto" w:fill="auto"/>
            <w:vAlign w:val="bottom"/>
          </w:tcPr>
          <w:p w14:paraId="27E07560" w14:textId="77777777" w:rsidR="00A85061" w:rsidRDefault="00A85061">
            <w:pPr>
              <w:rPr>
                <w:rFonts w:ascii="宋体"/>
                <w:vanish/>
              </w:rPr>
            </w:pPr>
          </w:p>
        </w:tc>
        <w:tc>
          <w:tcPr>
            <w:tcW w:w="0" w:type="auto"/>
            <w:gridSpan w:val="3"/>
            <w:shd w:val="clear" w:color="auto" w:fill="auto"/>
            <w:vAlign w:val="bottom"/>
          </w:tcPr>
          <w:p w14:paraId="27E07561" w14:textId="77777777" w:rsidR="00A85061" w:rsidRDefault="00A85061">
            <w:pPr>
              <w:rPr>
                <w:rFonts w:ascii="宋体"/>
                <w:vanish/>
              </w:rPr>
            </w:pPr>
          </w:p>
        </w:tc>
      </w:tr>
      <w:tr w:rsidR="00A85061" w14:paraId="27E0756D" w14:textId="77777777">
        <w:trPr>
          <w:jc w:val="center"/>
        </w:trPr>
        <w:tc>
          <w:tcPr>
            <w:tcW w:w="0" w:type="auto"/>
            <w:gridSpan w:val="3"/>
            <w:shd w:val="clear" w:color="auto" w:fill="E2EFD9"/>
            <w:tcMar>
              <w:top w:w="40" w:type="dxa"/>
              <w:left w:w="515" w:type="dxa"/>
              <w:bottom w:w="40" w:type="dxa"/>
              <w:right w:w="20" w:type="dxa"/>
            </w:tcMar>
            <w:vAlign w:val="bottom"/>
          </w:tcPr>
          <w:p w14:paraId="27E07563" w14:textId="77777777" w:rsidR="00A85061" w:rsidRDefault="00F04891">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7564" w14:textId="77777777" w:rsidR="00A85061" w:rsidRDefault="00F04891">
            <w:pPr>
              <w:jc w:val="right"/>
              <w:textAlignment w:val="bottom"/>
            </w:pPr>
            <w:r>
              <w:rPr>
                <w:rFonts w:ascii="sans-serif" w:eastAsia="sans-serif" w:hAnsi="sans-serif" w:cs="sans-serif"/>
                <w:color w:val="000000"/>
                <w:sz w:val="20"/>
                <w:szCs w:val="20"/>
              </w:rPr>
              <w:t>632 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756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566" w14:textId="77777777" w:rsidR="00A85061" w:rsidRDefault="00A85061">
            <w:pPr>
              <w:rPr>
                <w:rFonts w:ascii="宋体"/>
              </w:rPr>
            </w:pPr>
          </w:p>
        </w:tc>
        <w:tc>
          <w:tcPr>
            <w:tcW w:w="0" w:type="auto"/>
            <w:gridSpan w:val="2"/>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7567" w14:textId="77777777" w:rsidR="00A85061" w:rsidRDefault="00F04891">
            <w:pPr>
              <w:jc w:val="right"/>
              <w:textAlignment w:val="bottom"/>
            </w:pPr>
            <w:r>
              <w:rPr>
                <w:rFonts w:ascii="sans-serif" w:eastAsia="sans-serif" w:hAnsi="sans-serif" w:cs="sans-serif"/>
                <w:color w:val="000000"/>
                <w:sz w:val="20"/>
                <w:szCs w:val="20"/>
              </w:rPr>
              <w:t>622 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7568" w14:textId="77777777" w:rsidR="00A85061" w:rsidRDefault="00A85061">
            <w:pPr>
              <w:jc w:val="right"/>
              <w:rPr>
                <w:rFonts w:ascii="宋体"/>
              </w:rPr>
            </w:pPr>
          </w:p>
        </w:tc>
        <w:tc>
          <w:tcPr>
            <w:tcW w:w="0" w:type="auto"/>
            <w:shd w:val="clear" w:color="auto" w:fill="auto"/>
            <w:vAlign w:val="bottom"/>
          </w:tcPr>
          <w:p w14:paraId="27E07569" w14:textId="77777777" w:rsidR="00A85061" w:rsidRDefault="00A85061">
            <w:pPr>
              <w:rPr>
                <w:rFonts w:ascii="宋体"/>
                <w:vanish/>
              </w:rPr>
            </w:pPr>
          </w:p>
        </w:tc>
        <w:tc>
          <w:tcPr>
            <w:tcW w:w="0" w:type="auto"/>
            <w:shd w:val="clear" w:color="auto" w:fill="auto"/>
            <w:vAlign w:val="bottom"/>
          </w:tcPr>
          <w:p w14:paraId="27E0756A" w14:textId="77777777" w:rsidR="00A85061" w:rsidRDefault="00A85061">
            <w:pPr>
              <w:rPr>
                <w:rFonts w:ascii="宋体"/>
                <w:vanish/>
              </w:rPr>
            </w:pPr>
          </w:p>
        </w:tc>
        <w:tc>
          <w:tcPr>
            <w:tcW w:w="0" w:type="auto"/>
            <w:gridSpan w:val="3"/>
            <w:shd w:val="clear" w:color="auto" w:fill="auto"/>
            <w:vAlign w:val="bottom"/>
          </w:tcPr>
          <w:p w14:paraId="27E0756B" w14:textId="77777777" w:rsidR="00A85061" w:rsidRDefault="00A85061">
            <w:pPr>
              <w:rPr>
                <w:rFonts w:ascii="宋体"/>
                <w:vanish/>
              </w:rPr>
            </w:pPr>
          </w:p>
        </w:tc>
        <w:tc>
          <w:tcPr>
            <w:tcW w:w="0" w:type="auto"/>
            <w:gridSpan w:val="3"/>
            <w:shd w:val="clear" w:color="auto" w:fill="auto"/>
            <w:vAlign w:val="bottom"/>
          </w:tcPr>
          <w:p w14:paraId="27E0756C" w14:textId="77777777" w:rsidR="00A85061" w:rsidRDefault="00A85061">
            <w:pPr>
              <w:rPr>
                <w:rFonts w:ascii="宋体"/>
                <w:vanish/>
              </w:rPr>
            </w:pPr>
          </w:p>
        </w:tc>
      </w:tr>
      <w:tr w:rsidR="00A85061" w14:paraId="27E07576" w14:textId="77777777">
        <w:trPr>
          <w:jc w:val="center"/>
          <w:hidden/>
        </w:trPr>
        <w:tc>
          <w:tcPr>
            <w:tcW w:w="0" w:type="auto"/>
            <w:gridSpan w:val="3"/>
            <w:shd w:val="clear" w:color="auto" w:fill="auto"/>
            <w:vAlign w:val="bottom"/>
          </w:tcPr>
          <w:p w14:paraId="27E0756E" w14:textId="77777777" w:rsidR="00A85061" w:rsidRDefault="00A85061">
            <w:pPr>
              <w:rPr>
                <w:rFonts w:ascii="宋体"/>
                <w:vanish/>
              </w:rPr>
            </w:pPr>
          </w:p>
        </w:tc>
        <w:tc>
          <w:tcPr>
            <w:tcW w:w="0" w:type="auto"/>
            <w:gridSpan w:val="3"/>
            <w:shd w:val="clear" w:color="auto" w:fill="auto"/>
            <w:vAlign w:val="bottom"/>
          </w:tcPr>
          <w:p w14:paraId="27E0756F" w14:textId="77777777" w:rsidR="00A85061" w:rsidRDefault="00A85061">
            <w:pPr>
              <w:rPr>
                <w:rFonts w:ascii="宋体"/>
                <w:vanish/>
              </w:rPr>
            </w:pPr>
          </w:p>
        </w:tc>
        <w:tc>
          <w:tcPr>
            <w:tcW w:w="0" w:type="auto"/>
            <w:gridSpan w:val="3"/>
            <w:shd w:val="clear" w:color="auto" w:fill="auto"/>
            <w:vAlign w:val="bottom"/>
          </w:tcPr>
          <w:p w14:paraId="27E07570" w14:textId="77777777" w:rsidR="00A85061" w:rsidRDefault="00A85061">
            <w:pPr>
              <w:rPr>
                <w:rFonts w:ascii="宋体"/>
                <w:vanish/>
              </w:rPr>
            </w:pPr>
          </w:p>
        </w:tc>
        <w:tc>
          <w:tcPr>
            <w:tcW w:w="0" w:type="auto"/>
            <w:gridSpan w:val="3"/>
            <w:shd w:val="clear" w:color="auto" w:fill="auto"/>
            <w:vAlign w:val="bottom"/>
          </w:tcPr>
          <w:p w14:paraId="27E07571" w14:textId="77777777" w:rsidR="00A85061" w:rsidRDefault="00A85061">
            <w:pPr>
              <w:rPr>
                <w:rFonts w:ascii="宋体"/>
                <w:vanish/>
              </w:rPr>
            </w:pPr>
          </w:p>
        </w:tc>
        <w:tc>
          <w:tcPr>
            <w:tcW w:w="0" w:type="auto"/>
            <w:shd w:val="clear" w:color="auto" w:fill="auto"/>
            <w:vAlign w:val="bottom"/>
          </w:tcPr>
          <w:p w14:paraId="27E07572" w14:textId="77777777" w:rsidR="00A85061" w:rsidRDefault="00A85061">
            <w:pPr>
              <w:rPr>
                <w:rFonts w:ascii="宋体"/>
                <w:vanish/>
              </w:rPr>
            </w:pPr>
          </w:p>
        </w:tc>
        <w:tc>
          <w:tcPr>
            <w:tcW w:w="0" w:type="auto"/>
            <w:shd w:val="clear" w:color="auto" w:fill="auto"/>
            <w:vAlign w:val="bottom"/>
          </w:tcPr>
          <w:p w14:paraId="27E07573" w14:textId="77777777" w:rsidR="00A85061" w:rsidRDefault="00A85061">
            <w:pPr>
              <w:rPr>
                <w:rFonts w:ascii="宋体"/>
                <w:vanish/>
              </w:rPr>
            </w:pPr>
          </w:p>
        </w:tc>
        <w:tc>
          <w:tcPr>
            <w:tcW w:w="0" w:type="auto"/>
            <w:gridSpan w:val="3"/>
            <w:shd w:val="clear" w:color="auto" w:fill="auto"/>
            <w:vAlign w:val="bottom"/>
          </w:tcPr>
          <w:p w14:paraId="27E07574" w14:textId="77777777" w:rsidR="00A85061" w:rsidRDefault="00A85061">
            <w:pPr>
              <w:rPr>
                <w:rFonts w:ascii="宋体"/>
                <w:vanish/>
              </w:rPr>
            </w:pPr>
          </w:p>
        </w:tc>
        <w:tc>
          <w:tcPr>
            <w:tcW w:w="0" w:type="auto"/>
            <w:gridSpan w:val="3"/>
            <w:shd w:val="clear" w:color="auto" w:fill="auto"/>
            <w:vAlign w:val="bottom"/>
          </w:tcPr>
          <w:p w14:paraId="27E07575" w14:textId="77777777" w:rsidR="00A85061" w:rsidRDefault="00A85061">
            <w:pPr>
              <w:rPr>
                <w:rFonts w:ascii="宋体"/>
                <w:vanish/>
              </w:rPr>
            </w:pPr>
          </w:p>
        </w:tc>
      </w:tr>
      <w:tr w:rsidR="00A85061" w14:paraId="27E0757F" w14:textId="77777777">
        <w:trPr>
          <w:jc w:val="center"/>
          <w:hidden/>
        </w:trPr>
        <w:tc>
          <w:tcPr>
            <w:tcW w:w="0" w:type="auto"/>
            <w:gridSpan w:val="3"/>
            <w:shd w:val="clear" w:color="auto" w:fill="auto"/>
            <w:vAlign w:val="bottom"/>
          </w:tcPr>
          <w:p w14:paraId="27E07577" w14:textId="77777777" w:rsidR="00A85061" w:rsidRDefault="00A85061">
            <w:pPr>
              <w:rPr>
                <w:rFonts w:ascii="宋体"/>
                <w:vanish/>
              </w:rPr>
            </w:pPr>
          </w:p>
        </w:tc>
        <w:tc>
          <w:tcPr>
            <w:tcW w:w="0" w:type="auto"/>
            <w:gridSpan w:val="3"/>
            <w:shd w:val="clear" w:color="auto" w:fill="auto"/>
            <w:vAlign w:val="bottom"/>
          </w:tcPr>
          <w:p w14:paraId="27E07578" w14:textId="77777777" w:rsidR="00A85061" w:rsidRDefault="00A85061">
            <w:pPr>
              <w:rPr>
                <w:rFonts w:ascii="宋体"/>
                <w:vanish/>
              </w:rPr>
            </w:pPr>
          </w:p>
        </w:tc>
        <w:tc>
          <w:tcPr>
            <w:tcW w:w="0" w:type="auto"/>
            <w:gridSpan w:val="3"/>
            <w:shd w:val="clear" w:color="auto" w:fill="auto"/>
            <w:vAlign w:val="bottom"/>
          </w:tcPr>
          <w:p w14:paraId="27E07579" w14:textId="77777777" w:rsidR="00A85061" w:rsidRDefault="00A85061">
            <w:pPr>
              <w:rPr>
                <w:rFonts w:ascii="宋体"/>
                <w:vanish/>
              </w:rPr>
            </w:pPr>
          </w:p>
        </w:tc>
        <w:tc>
          <w:tcPr>
            <w:tcW w:w="0" w:type="auto"/>
            <w:gridSpan w:val="3"/>
            <w:shd w:val="clear" w:color="auto" w:fill="auto"/>
            <w:vAlign w:val="bottom"/>
          </w:tcPr>
          <w:p w14:paraId="27E0757A" w14:textId="77777777" w:rsidR="00A85061" w:rsidRDefault="00A85061">
            <w:pPr>
              <w:rPr>
                <w:rFonts w:ascii="宋体"/>
                <w:vanish/>
              </w:rPr>
            </w:pPr>
          </w:p>
        </w:tc>
        <w:tc>
          <w:tcPr>
            <w:tcW w:w="0" w:type="auto"/>
            <w:shd w:val="clear" w:color="auto" w:fill="auto"/>
            <w:vAlign w:val="bottom"/>
          </w:tcPr>
          <w:p w14:paraId="27E0757B" w14:textId="77777777" w:rsidR="00A85061" w:rsidRDefault="00A85061">
            <w:pPr>
              <w:rPr>
                <w:rFonts w:ascii="宋体"/>
                <w:vanish/>
              </w:rPr>
            </w:pPr>
          </w:p>
        </w:tc>
        <w:tc>
          <w:tcPr>
            <w:tcW w:w="0" w:type="auto"/>
            <w:shd w:val="clear" w:color="auto" w:fill="auto"/>
            <w:vAlign w:val="bottom"/>
          </w:tcPr>
          <w:p w14:paraId="27E0757C" w14:textId="77777777" w:rsidR="00A85061" w:rsidRDefault="00A85061">
            <w:pPr>
              <w:rPr>
                <w:rFonts w:ascii="宋体"/>
                <w:vanish/>
              </w:rPr>
            </w:pPr>
          </w:p>
        </w:tc>
        <w:tc>
          <w:tcPr>
            <w:tcW w:w="0" w:type="auto"/>
            <w:gridSpan w:val="3"/>
            <w:shd w:val="clear" w:color="auto" w:fill="auto"/>
            <w:vAlign w:val="bottom"/>
          </w:tcPr>
          <w:p w14:paraId="27E0757D" w14:textId="77777777" w:rsidR="00A85061" w:rsidRDefault="00A85061">
            <w:pPr>
              <w:rPr>
                <w:rFonts w:ascii="宋体"/>
                <w:vanish/>
              </w:rPr>
            </w:pPr>
          </w:p>
        </w:tc>
        <w:tc>
          <w:tcPr>
            <w:tcW w:w="0" w:type="auto"/>
            <w:gridSpan w:val="3"/>
            <w:shd w:val="clear" w:color="auto" w:fill="auto"/>
            <w:vAlign w:val="bottom"/>
          </w:tcPr>
          <w:p w14:paraId="27E0757E" w14:textId="77777777" w:rsidR="00A85061" w:rsidRDefault="00A85061">
            <w:pPr>
              <w:rPr>
                <w:rFonts w:ascii="宋体"/>
                <w:vanish/>
              </w:rPr>
            </w:pPr>
          </w:p>
        </w:tc>
      </w:tr>
    </w:tbl>
    <w:p w14:paraId="27E07580" w14:textId="77777777" w:rsidR="00A85061" w:rsidRDefault="00F04891">
      <w:pPr>
        <w:spacing w:after="180"/>
        <w:jc w:val="center"/>
      </w:pPr>
      <w:r>
        <w:rPr>
          <w:rFonts w:ascii="sans-serif" w:eastAsia="sans-serif" w:hAnsi="sans-serif" w:cs="sans-serif"/>
          <w:color w:val="000000"/>
          <w:sz w:val="20"/>
          <w:szCs w:val="20"/>
        </w:rPr>
        <w:t>See accompanying Notes to Condensed Consolidated Financial Statements.</w:t>
      </w:r>
    </w:p>
    <w:p w14:paraId="27E07581" w14:textId="77777777" w:rsidR="00A85061" w:rsidRDefault="00A85061">
      <w:pPr>
        <w:spacing w:after="180"/>
        <w:jc w:val="center"/>
      </w:pPr>
    </w:p>
    <w:p w14:paraId="27E07582" w14:textId="77777777" w:rsidR="00A85061" w:rsidRDefault="00F04891">
      <w:pPr>
        <w:spacing w:after="180"/>
        <w:jc w:val="center"/>
      </w:pPr>
      <w:r>
        <w:rPr>
          <w:rFonts w:ascii="sans-serif" w:eastAsia="sans-serif" w:hAnsi="sans-serif" w:cs="sans-serif"/>
          <w:color w:val="000000"/>
          <w:sz w:val="20"/>
          <w:szCs w:val="20"/>
        </w:rPr>
        <w:t>3</w:t>
      </w:r>
    </w:p>
    <w:p w14:paraId="27E07583" w14:textId="77777777" w:rsidR="00A85061" w:rsidRDefault="00F04891">
      <w:r>
        <w:pict w14:anchorId="27E08EF4">
          <v:rect id="_x0000_i1027" style="width:415.3pt;height:1.5pt" o:hralign="center" o:hrstd="t" o:hr="t" fillcolor="#a0a0a0" stroked="f"/>
        </w:pict>
      </w:r>
    </w:p>
    <w:p w14:paraId="27E07584" w14:textId="77777777" w:rsidR="00A85061" w:rsidRDefault="00A85061">
      <w:pPr>
        <w:spacing w:after="180"/>
        <w:jc w:val="both"/>
      </w:pPr>
    </w:p>
    <w:p w14:paraId="27E07585" w14:textId="77777777" w:rsidR="00A85061" w:rsidRDefault="00F04891">
      <w:pPr>
        <w:jc w:val="center"/>
      </w:pPr>
      <w:r>
        <w:rPr>
          <w:rFonts w:ascii="sans-serif" w:eastAsia="sans-serif" w:hAnsi="sans-serif" w:cs="sans-serif"/>
          <w:b/>
          <w:bCs/>
          <w:color w:val="000000"/>
          <w:sz w:val="20"/>
          <w:szCs w:val="20"/>
        </w:rPr>
        <w:t>NVIDIA CORPORATION AND SUBSIDIARIES</w:t>
      </w:r>
    </w:p>
    <w:p w14:paraId="27E07586" w14:textId="77777777" w:rsidR="00A85061" w:rsidRDefault="00F04891">
      <w:pPr>
        <w:jc w:val="center"/>
      </w:pPr>
      <w:r>
        <w:rPr>
          <w:rFonts w:ascii="sans-serif" w:eastAsia="sans-serif" w:hAnsi="sans-serif" w:cs="sans-serif"/>
          <w:b/>
          <w:bCs/>
          <w:color w:val="000000"/>
          <w:sz w:val="20"/>
          <w:szCs w:val="20"/>
        </w:rPr>
        <w:t xml:space="preserve">CONDENSED CONSOLIDATED STATEMENTS OF </w:t>
      </w:r>
      <w:r>
        <w:rPr>
          <w:rFonts w:ascii="sans-serif" w:eastAsia="sans-serif" w:hAnsi="sans-serif" w:cs="sans-serif"/>
          <w:b/>
          <w:bCs/>
          <w:color w:val="000000"/>
          <w:sz w:val="20"/>
          <w:szCs w:val="20"/>
        </w:rPr>
        <w:t>COMPREHENSIVE INCOME</w:t>
      </w:r>
    </w:p>
    <w:p w14:paraId="27E07587" w14:textId="77777777" w:rsidR="00A85061" w:rsidRDefault="00F04891">
      <w:pPr>
        <w:jc w:val="center"/>
      </w:pPr>
      <w:r>
        <w:rPr>
          <w:rFonts w:ascii="sans-serif" w:eastAsia="sans-serif" w:hAnsi="sans-serif" w:cs="sans-serif"/>
          <w:b/>
          <w:bCs/>
          <w:color w:val="000000"/>
          <w:sz w:val="20"/>
          <w:szCs w:val="20"/>
        </w:rPr>
        <w:t>(In millions)</w:t>
      </w:r>
    </w:p>
    <w:p w14:paraId="27E07588" w14:textId="77777777" w:rsidR="00A85061" w:rsidRDefault="00F04891">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06"/>
        <w:gridCol w:w="37"/>
        <w:gridCol w:w="122"/>
        <w:gridCol w:w="889"/>
        <w:gridCol w:w="36"/>
        <w:gridCol w:w="36"/>
        <w:gridCol w:w="36"/>
        <w:gridCol w:w="36"/>
        <w:gridCol w:w="122"/>
        <w:gridCol w:w="853"/>
        <w:gridCol w:w="36"/>
        <w:gridCol w:w="36"/>
        <w:gridCol w:w="36"/>
        <w:gridCol w:w="36"/>
        <w:gridCol w:w="36"/>
        <w:gridCol w:w="36"/>
        <w:gridCol w:w="36"/>
        <w:gridCol w:w="36"/>
        <w:gridCol w:w="36"/>
      </w:tblGrid>
      <w:tr w:rsidR="00A85061" w14:paraId="27E07599" w14:textId="77777777">
        <w:trPr>
          <w:jc w:val="center"/>
        </w:trPr>
        <w:tc>
          <w:tcPr>
            <w:tcW w:w="50" w:type="pct"/>
            <w:shd w:val="clear" w:color="auto" w:fill="auto"/>
            <w:vAlign w:val="bottom"/>
          </w:tcPr>
          <w:p w14:paraId="27E07589" w14:textId="77777777" w:rsidR="00A85061" w:rsidRDefault="00A85061">
            <w:pPr>
              <w:rPr>
                <w:rFonts w:ascii="宋体"/>
              </w:rPr>
            </w:pPr>
          </w:p>
        </w:tc>
        <w:tc>
          <w:tcPr>
            <w:tcW w:w="3636" w:type="pct"/>
            <w:shd w:val="clear" w:color="auto" w:fill="auto"/>
            <w:vAlign w:val="bottom"/>
          </w:tcPr>
          <w:p w14:paraId="27E0758A" w14:textId="77777777" w:rsidR="00A85061" w:rsidRDefault="00A85061">
            <w:pPr>
              <w:rPr>
                <w:rFonts w:ascii="宋体"/>
              </w:rPr>
            </w:pPr>
          </w:p>
        </w:tc>
        <w:tc>
          <w:tcPr>
            <w:tcW w:w="5" w:type="pct"/>
            <w:shd w:val="clear" w:color="auto" w:fill="auto"/>
            <w:vAlign w:val="bottom"/>
          </w:tcPr>
          <w:p w14:paraId="27E0758B" w14:textId="77777777" w:rsidR="00A85061" w:rsidRDefault="00A85061">
            <w:pPr>
              <w:rPr>
                <w:rFonts w:ascii="宋体"/>
              </w:rPr>
            </w:pPr>
          </w:p>
        </w:tc>
        <w:tc>
          <w:tcPr>
            <w:tcW w:w="50" w:type="pct"/>
            <w:shd w:val="clear" w:color="auto" w:fill="auto"/>
            <w:vAlign w:val="bottom"/>
          </w:tcPr>
          <w:p w14:paraId="27E0758C" w14:textId="77777777" w:rsidR="00A85061" w:rsidRDefault="00A85061">
            <w:pPr>
              <w:rPr>
                <w:rFonts w:ascii="宋体"/>
              </w:rPr>
            </w:pPr>
          </w:p>
        </w:tc>
        <w:tc>
          <w:tcPr>
            <w:tcW w:w="580" w:type="pct"/>
            <w:shd w:val="clear" w:color="auto" w:fill="auto"/>
            <w:vAlign w:val="bottom"/>
          </w:tcPr>
          <w:p w14:paraId="27E0758D" w14:textId="77777777" w:rsidR="00A85061" w:rsidRDefault="00A85061">
            <w:pPr>
              <w:rPr>
                <w:rFonts w:ascii="宋体"/>
              </w:rPr>
            </w:pPr>
          </w:p>
        </w:tc>
        <w:tc>
          <w:tcPr>
            <w:tcW w:w="5" w:type="pct"/>
            <w:shd w:val="clear" w:color="auto" w:fill="auto"/>
            <w:vAlign w:val="bottom"/>
          </w:tcPr>
          <w:p w14:paraId="27E0758E" w14:textId="77777777" w:rsidR="00A85061" w:rsidRDefault="00A85061">
            <w:pPr>
              <w:rPr>
                <w:rFonts w:ascii="宋体"/>
              </w:rPr>
            </w:pPr>
          </w:p>
        </w:tc>
        <w:tc>
          <w:tcPr>
            <w:tcW w:w="5" w:type="pct"/>
            <w:shd w:val="clear" w:color="auto" w:fill="auto"/>
            <w:vAlign w:val="bottom"/>
          </w:tcPr>
          <w:p w14:paraId="27E0758F" w14:textId="77777777" w:rsidR="00A85061" w:rsidRDefault="00A85061">
            <w:pPr>
              <w:rPr>
                <w:rFonts w:ascii="宋体"/>
              </w:rPr>
            </w:pPr>
          </w:p>
        </w:tc>
        <w:tc>
          <w:tcPr>
            <w:tcW w:w="26" w:type="pct"/>
            <w:shd w:val="clear" w:color="auto" w:fill="auto"/>
            <w:vAlign w:val="bottom"/>
          </w:tcPr>
          <w:p w14:paraId="27E07590" w14:textId="77777777" w:rsidR="00A85061" w:rsidRDefault="00A85061">
            <w:pPr>
              <w:rPr>
                <w:rFonts w:ascii="宋体"/>
              </w:rPr>
            </w:pPr>
          </w:p>
        </w:tc>
        <w:tc>
          <w:tcPr>
            <w:tcW w:w="5" w:type="pct"/>
            <w:shd w:val="clear" w:color="auto" w:fill="auto"/>
            <w:vAlign w:val="bottom"/>
          </w:tcPr>
          <w:p w14:paraId="27E07591" w14:textId="77777777" w:rsidR="00A85061" w:rsidRDefault="00A85061">
            <w:pPr>
              <w:rPr>
                <w:rFonts w:ascii="宋体"/>
              </w:rPr>
            </w:pPr>
          </w:p>
        </w:tc>
        <w:tc>
          <w:tcPr>
            <w:tcW w:w="50" w:type="pct"/>
            <w:shd w:val="clear" w:color="auto" w:fill="auto"/>
            <w:vAlign w:val="bottom"/>
          </w:tcPr>
          <w:p w14:paraId="27E07592" w14:textId="77777777" w:rsidR="00A85061" w:rsidRDefault="00A85061">
            <w:pPr>
              <w:rPr>
                <w:rFonts w:ascii="宋体"/>
              </w:rPr>
            </w:pPr>
          </w:p>
        </w:tc>
        <w:tc>
          <w:tcPr>
            <w:tcW w:w="581" w:type="pct"/>
            <w:shd w:val="clear" w:color="auto" w:fill="auto"/>
            <w:vAlign w:val="bottom"/>
          </w:tcPr>
          <w:p w14:paraId="27E07593" w14:textId="77777777" w:rsidR="00A85061" w:rsidRDefault="00A85061">
            <w:pPr>
              <w:rPr>
                <w:rFonts w:ascii="宋体"/>
              </w:rPr>
            </w:pPr>
          </w:p>
        </w:tc>
        <w:tc>
          <w:tcPr>
            <w:tcW w:w="5" w:type="pct"/>
            <w:shd w:val="clear" w:color="auto" w:fill="auto"/>
            <w:vAlign w:val="bottom"/>
          </w:tcPr>
          <w:p w14:paraId="27E07594" w14:textId="77777777" w:rsidR="00A85061" w:rsidRDefault="00A85061">
            <w:pPr>
              <w:rPr>
                <w:rFonts w:ascii="宋体"/>
              </w:rPr>
            </w:pPr>
          </w:p>
        </w:tc>
        <w:tc>
          <w:tcPr>
            <w:tcW w:w="0" w:type="auto"/>
            <w:shd w:val="clear" w:color="auto" w:fill="auto"/>
            <w:vAlign w:val="bottom"/>
          </w:tcPr>
          <w:p w14:paraId="27E07595" w14:textId="77777777" w:rsidR="00A85061" w:rsidRDefault="00A85061">
            <w:pPr>
              <w:rPr>
                <w:rFonts w:ascii="宋体"/>
                <w:vanish/>
              </w:rPr>
            </w:pPr>
          </w:p>
        </w:tc>
        <w:tc>
          <w:tcPr>
            <w:tcW w:w="0" w:type="auto"/>
            <w:shd w:val="clear" w:color="auto" w:fill="auto"/>
            <w:vAlign w:val="bottom"/>
          </w:tcPr>
          <w:p w14:paraId="27E07596" w14:textId="77777777" w:rsidR="00A85061" w:rsidRDefault="00A85061">
            <w:pPr>
              <w:rPr>
                <w:rFonts w:ascii="宋体"/>
                <w:vanish/>
              </w:rPr>
            </w:pPr>
          </w:p>
        </w:tc>
        <w:tc>
          <w:tcPr>
            <w:tcW w:w="0" w:type="auto"/>
            <w:gridSpan w:val="3"/>
            <w:shd w:val="clear" w:color="auto" w:fill="auto"/>
            <w:vAlign w:val="bottom"/>
          </w:tcPr>
          <w:p w14:paraId="27E07597" w14:textId="77777777" w:rsidR="00A85061" w:rsidRDefault="00A85061">
            <w:pPr>
              <w:rPr>
                <w:rFonts w:ascii="宋体"/>
                <w:vanish/>
              </w:rPr>
            </w:pPr>
          </w:p>
        </w:tc>
        <w:tc>
          <w:tcPr>
            <w:tcW w:w="0" w:type="auto"/>
            <w:gridSpan w:val="3"/>
            <w:shd w:val="clear" w:color="auto" w:fill="auto"/>
            <w:vAlign w:val="bottom"/>
          </w:tcPr>
          <w:p w14:paraId="27E07598" w14:textId="77777777" w:rsidR="00A85061" w:rsidRDefault="00A85061">
            <w:pPr>
              <w:rPr>
                <w:rFonts w:ascii="宋体"/>
                <w:vanish/>
              </w:rPr>
            </w:pPr>
          </w:p>
        </w:tc>
      </w:tr>
      <w:tr w:rsidR="00A85061" w14:paraId="27E075A4" w14:textId="77777777">
        <w:trPr>
          <w:jc w:val="center"/>
        </w:trPr>
        <w:tc>
          <w:tcPr>
            <w:tcW w:w="0" w:type="auto"/>
            <w:gridSpan w:val="3"/>
            <w:shd w:val="clear" w:color="auto" w:fill="auto"/>
            <w:tcMar>
              <w:top w:w="40" w:type="dxa"/>
              <w:left w:w="20" w:type="dxa"/>
              <w:bottom w:w="40" w:type="dxa"/>
              <w:right w:w="20" w:type="dxa"/>
            </w:tcMar>
            <w:vAlign w:val="bottom"/>
          </w:tcPr>
          <w:p w14:paraId="27E0759A"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59B"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27E0759C" w14:textId="77777777" w:rsidR="00A85061" w:rsidRDefault="00A85061">
            <w:pPr>
              <w:rPr>
                <w:rFonts w:ascii="宋体"/>
                <w:vanish/>
              </w:rPr>
            </w:pPr>
          </w:p>
        </w:tc>
        <w:tc>
          <w:tcPr>
            <w:tcW w:w="0" w:type="auto"/>
            <w:shd w:val="clear" w:color="auto" w:fill="auto"/>
            <w:vAlign w:val="bottom"/>
          </w:tcPr>
          <w:p w14:paraId="27E0759D" w14:textId="77777777" w:rsidR="00A85061" w:rsidRDefault="00A85061">
            <w:pPr>
              <w:rPr>
                <w:rFonts w:ascii="宋体"/>
                <w:vanish/>
              </w:rPr>
            </w:pPr>
          </w:p>
        </w:tc>
        <w:tc>
          <w:tcPr>
            <w:tcW w:w="0" w:type="auto"/>
            <w:shd w:val="clear" w:color="auto" w:fill="auto"/>
            <w:vAlign w:val="bottom"/>
          </w:tcPr>
          <w:p w14:paraId="27E0759E" w14:textId="77777777" w:rsidR="00A85061" w:rsidRDefault="00A85061">
            <w:pPr>
              <w:rPr>
                <w:rFonts w:ascii="宋体"/>
              </w:rPr>
            </w:pPr>
          </w:p>
        </w:tc>
        <w:tc>
          <w:tcPr>
            <w:tcW w:w="0" w:type="auto"/>
            <w:shd w:val="clear" w:color="auto" w:fill="auto"/>
            <w:vAlign w:val="bottom"/>
          </w:tcPr>
          <w:p w14:paraId="27E0759F" w14:textId="77777777" w:rsidR="00A85061" w:rsidRDefault="00A85061">
            <w:pPr>
              <w:rPr>
                <w:rFonts w:ascii="宋体"/>
              </w:rPr>
            </w:pPr>
          </w:p>
        </w:tc>
        <w:tc>
          <w:tcPr>
            <w:tcW w:w="0" w:type="auto"/>
            <w:shd w:val="clear" w:color="auto" w:fill="auto"/>
            <w:vAlign w:val="bottom"/>
          </w:tcPr>
          <w:p w14:paraId="27E075A0" w14:textId="77777777" w:rsidR="00A85061" w:rsidRDefault="00A85061">
            <w:pPr>
              <w:rPr>
                <w:rFonts w:ascii="宋体"/>
              </w:rPr>
            </w:pPr>
          </w:p>
        </w:tc>
        <w:tc>
          <w:tcPr>
            <w:tcW w:w="0" w:type="auto"/>
            <w:shd w:val="clear" w:color="auto" w:fill="auto"/>
            <w:vAlign w:val="bottom"/>
          </w:tcPr>
          <w:p w14:paraId="27E075A1" w14:textId="77777777" w:rsidR="00A85061" w:rsidRDefault="00A85061">
            <w:pPr>
              <w:rPr>
                <w:rFonts w:ascii="宋体"/>
              </w:rPr>
            </w:pPr>
          </w:p>
        </w:tc>
        <w:tc>
          <w:tcPr>
            <w:tcW w:w="0" w:type="auto"/>
            <w:shd w:val="clear" w:color="auto" w:fill="auto"/>
            <w:vAlign w:val="bottom"/>
          </w:tcPr>
          <w:p w14:paraId="27E075A2" w14:textId="77777777" w:rsidR="00A85061" w:rsidRDefault="00A85061">
            <w:pPr>
              <w:rPr>
                <w:rFonts w:ascii="宋体"/>
              </w:rPr>
            </w:pPr>
          </w:p>
        </w:tc>
        <w:tc>
          <w:tcPr>
            <w:tcW w:w="0" w:type="auto"/>
            <w:shd w:val="clear" w:color="auto" w:fill="auto"/>
            <w:vAlign w:val="bottom"/>
          </w:tcPr>
          <w:p w14:paraId="27E075A3" w14:textId="77777777" w:rsidR="00A85061" w:rsidRDefault="00A85061">
            <w:pPr>
              <w:rPr>
                <w:rFonts w:ascii="宋体"/>
              </w:rPr>
            </w:pPr>
          </w:p>
        </w:tc>
      </w:tr>
      <w:tr w:rsidR="00A85061" w14:paraId="27E075AD" w14:textId="77777777">
        <w:trPr>
          <w:jc w:val="center"/>
        </w:trPr>
        <w:tc>
          <w:tcPr>
            <w:tcW w:w="0" w:type="auto"/>
            <w:gridSpan w:val="3"/>
            <w:shd w:val="clear" w:color="auto" w:fill="auto"/>
            <w:tcMar>
              <w:top w:w="40" w:type="dxa"/>
              <w:left w:w="20" w:type="dxa"/>
              <w:bottom w:w="40" w:type="dxa"/>
              <w:right w:w="20" w:type="dxa"/>
            </w:tcMar>
            <w:vAlign w:val="bottom"/>
          </w:tcPr>
          <w:p w14:paraId="27E075A5"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5A6"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5A7"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5A8"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shd w:val="clear" w:color="auto" w:fill="auto"/>
            <w:vAlign w:val="bottom"/>
          </w:tcPr>
          <w:p w14:paraId="27E075A9" w14:textId="77777777" w:rsidR="00A85061" w:rsidRDefault="00A85061">
            <w:pPr>
              <w:rPr>
                <w:rFonts w:ascii="宋体"/>
                <w:vanish/>
              </w:rPr>
            </w:pPr>
          </w:p>
        </w:tc>
        <w:tc>
          <w:tcPr>
            <w:tcW w:w="0" w:type="auto"/>
            <w:shd w:val="clear" w:color="auto" w:fill="auto"/>
            <w:vAlign w:val="bottom"/>
          </w:tcPr>
          <w:p w14:paraId="27E075AA" w14:textId="77777777" w:rsidR="00A85061" w:rsidRDefault="00A85061">
            <w:pPr>
              <w:rPr>
                <w:rFonts w:ascii="宋体"/>
                <w:vanish/>
              </w:rPr>
            </w:pPr>
          </w:p>
        </w:tc>
        <w:tc>
          <w:tcPr>
            <w:tcW w:w="0" w:type="auto"/>
            <w:gridSpan w:val="3"/>
            <w:shd w:val="clear" w:color="auto" w:fill="auto"/>
            <w:vAlign w:val="bottom"/>
          </w:tcPr>
          <w:p w14:paraId="27E075AB" w14:textId="77777777" w:rsidR="00A85061" w:rsidRDefault="00A85061">
            <w:pPr>
              <w:rPr>
                <w:rFonts w:ascii="宋体"/>
                <w:vanish/>
              </w:rPr>
            </w:pPr>
          </w:p>
        </w:tc>
        <w:tc>
          <w:tcPr>
            <w:tcW w:w="0" w:type="auto"/>
            <w:gridSpan w:val="3"/>
            <w:shd w:val="clear" w:color="auto" w:fill="auto"/>
            <w:vAlign w:val="bottom"/>
          </w:tcPr>
          <w:p w14:paraId="27E075AC" w14:textId="77777777" w:rsidR="00A85061" w:rsidRDefault="00A85061">
            <w:pPr>
              <w:rPr>
                <w:rFonts w:ascii="宋体"/>
                <w:vanish/>
              </w:rPr>
            </w:pPr>
          </w:p>
        </w:tc>
      </w:tr>
      <w:tr w:rsidR="00A85061" w14:paraId="27E075B6" w14:textId="77777777">
        <w:trPr>
          <w:jc w:val="center"/>
        </w:trPr>
        <w:tc>
          <w:tcPr>
            <w:tcW w:w="0" w:type="auto"/>
            <w:gridSpan w:val="3"/>
            <w:shd w:val="clear" w:color="auto" w:fill="auto"/>
            <w:tcMar>
              <w:top w:w="0" w:type="dxa"/>
              <w:left w:w="20" w:type="dxa"/>
              <w:bottom w:w="0" w:type="dxa"/>
              <w:right w:w="20" w:type="dxa"/>
            </w:tcMar>
            <w:vAlign w:val="bottom"/>
          </w:tcPr>
          <w:p w14:paraId="27E075AE"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5AF"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75B0"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5B1"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shd w:val="clear" w:color="auto" w:fill="auto"/>
            <w:vAlign w:val="bottom"/>
          </w:tcPr>
          <w:p w14:paraId="27E075B2" w14:textId="77777777" w:rsidR="00A85061" w:rsidRDefault="00A85061">
            <w:pPr>
              <w:rPr>
                <w:rFonts w:ascii="宋体"/>
                <w:vanish/>
              </w:rPr>
            </w:pPr>
          </w:p>
        </w:tc>
        <w:tc>
          <w:tcPr>
            <w:tcW w:w="0" w:type="auto"/>
            <w:shd w:val="clear" w:color="auto" w:fill="auto"/>
            <w:vAlign w:val="bottom"/>
          </w:tcPr>
          <w:p w14:paraId="27E075B3" w14:textId="77777777" w:rsidR="00A85061" w:rsidRDefault="00A85061">
            <w:pPr>
              <w:rPr>
                <w:rFonts w:ascii="宋体"/>
                <w:vanish/>
              </w:rPr>
            </w:pPr>
          </w:p>
        </w:tc>
        <w:tc>
          <w:tcPr>
            <w:tcW w:w="0" w:type="auto"/>
            <w:gridSpan w:val="3"/>
            <w:shd w:val="clear" w:color="auto" w:fill="auto"/>
            <w:vAlign w:val="bottom"/>
          </w:tcPr>
          <w:p w14:paraId="27E075B4" w14:textId="77777777" w:rsidR="00A85061" w:rsidRDefault="00A85061">
            <w:pPr>
              <w:rPr>
                <w:rFonts w:ascii="宋体"/>
                <w:vanish/>
              </w:rPr>
            </w:pPr>
          </w:p>
        </w:tc>
        <w:tc>
          <w:tcPr>
            <w:tcW w:w="0" w:type="auto"/>
            <w:gridSpan w:val="3"/>
            <w:shd w:val="clear" w:color="auto" w:fill="auto"/>
            <w:vAlign w:val="bottom"/>
          </w:tcPr>
          <w:p w14:paraId="27E075B5" w14:textId="77777777" w:rsidR="00A85061" w:rsidRDefault="00A85061">
            <w:pPr>
              <w:rPr>
                <w:rFonts w:ascii="宋体"/>
                <w:vanish/>
              </w:rPr>
            </w:pPr>
          </w:p>
        </w:tc>
      </w:tr>
      <w:tr w:rsidR="00A85061" w14:paraId="27E075BF" w14:textId="77777777">
        <w:trPr>
          <w:jc w:val="center"/>
        </w:trPr>
        <w:tc>
          <w:tcPr>
            <w:tcW w:w="0" w:type="auto"/>
            <w:gridSpan w:val="3"/>
            <w:shd w:val="clear" w:color="auto" w:fill="auto"/>
            <w:tcMar>
              <w:top w:w="40" w:type="dxa"/>
              <w:left w:w="20" w:type="dxa"/>
              <w:bottom w:w="40" w:type="dxa"/>
              <w:right w:w="20" w:type="dxa"/>
            </w:tcMar>
            <w:vAlign w:val="bottom"/>
          </w:tcPr>
          <w:p w14:paraId="27E075B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5B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5B9"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5BA" w14:textId="77777777" w:rsidR="00A85061" w:rsidRDefault="00A85061">
            <w:pPr>
              <w:rPr>
                <w:rFonts w:ascii="宋体"/>
              </w:rPr>
            </w:pPr>
          </w:p>
        </w:tc>
        <w:tc>
          <w:tcPr>
            <w:tcW w:w="0" w:type="auto"/>
            <w:shd w:val="clear" w:color="auto" w:fill="auto"/>
            <w:vAlign w:val="bottom"/>
          </w:tcPr>
          <w:p w14:paraId="27E075BB" w14:textId="77777777" w:rsidR="00A85061" w:rsidRDefault="00A85061">
            <w:pPr>
              <w:rPr>
                <w:rFonts w:ascii="宋体"/>
                <w:vanish/>
              </w:rPr>
            </w:pPr>
          </w:p>
        </w:tc>
        <w:tc>
          <w:tcPr>
            <w:tcW w:w="0" w:type="auto"/>
            <w:shd w:val="clear" w:color="auto" w:fill="auto"/>
            <w:vAlign w:val="bottom"/>
          </w:tcPr>
          <w:p w14:paraId="27E075BC" w14:textId="77777777" w:rsidR="00A85061" w:rsidRDefault="00A85061">
            <w:pPr>
              <w:rPr>
                <w:rFonts w:ascii="宋体"/>
                <w:vanish/>
              </w:rPr>
            </w:pPr>
          </w:p>
        </w:tc>
        <w:tc>
          <w:tcPr>
            <w:tcW w:w="0" w:type="auto"/>
            <w:gridSpan w:val="3"/>
            <w:shd w:val="clear" w:color="auto" w:fill="auto"/>
            <w:vAlign w:val="bottom"/>
          </w:tcPr>
          <w:p w14:paraId="27E075BD" w14:textId="77777777" w:rsidR="00A85061" w:rsidRDefault="00A85061">
            <w:pPr>
              <w:rPr>
                <w:rFonts w:ascii="宋体"/>
                <w:vanish/>
              </w:rPr>
            </w:pPr>
          </w:p>
        </w:tc>
        <w:tc>
          <w:tcPr>
            <w:tcW w:w="0" w:type="auto"/>
            <w:gridSpan w:val="3"/>
            <w:shd w:val="clear" w:color="auto" w:fill="auto"/>
            <w:vAlign w:val="bottom"/>
          </w:tcPr>
          <w:p w14:paraId="27E075BE" w14:textId="77777777" w:rsidR="00A85061" w:rsidRDefault="00A85061">
            <w:pPr>
              <w:rPr>
                <w:rFonts w:ascii="宋体"/>
                <w:vanish/>
              </w:rPr>
            </w:pPr>
          </w:p>
        </w:tc>
      </w:tr>
      <w:tr w:rsidR="00A85061" w14:paraId="27E075CC" w14:textId="77777777">
        <w:trPr>
          <w:jc w:val="center"/>
        </w:trPr>
        <w:tc>
          <w:tcPr>
            <w:tcW w:w="0" w:type="auto"/>
            <w:gridSpan w:val="3"/>
            <w:shd w:val="clear" w:color="auto" w:fill="E2EFD9"/>
            <w:tcMar>
              <w:top w:w="40" w:type="dxa"/>
              <w:left w:w="20" w:type="dxa"/>
              <w:bottom w:w="40" w:type="dxa"/>
              <w:right w:w="20" w:type="dxa"/>
            </w:tcMar>
            <w:vAlign w:val="bottom"/>
          </w:tcPr>
          <w:p w14:paraId="27E075C0" w14:textId="77777777" w:rsidR="00A85061" w:rsidRDefault="00F04891">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27E075C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5C2" w14:textId="77777777" w:rsidR="00A85061" w:rsidRDefault="00F04891">
            <w:pPr>
              <w:jc w:val="right"/>
              <w:textAlignment w:val="bottom"/>
            </w:pPr>
            <w:r>
              <w:rPr>
                <w:rFonts w:ascii="sans-serif" w:eastAsia="sans-serif" w:hAnsi="sans-serif" w:cs="sans-serif"/>
                <w:color w:val="000000"/>
                <w:sz w:val="20"/>
                <w:szCs w:val="20"/>
              </w:rPr>
              <w:t>1,912 </w:t>
            </w:r>
          </w:p>
        </w:tc>
        <w:tc>
          <w:tcPr>
            <w:tcW w:w="0" w:type="auto"/>
            <w:shd w:val="clear" w:color="auto" w:fill="E2EFD9"/>
            <w:tcMar>
              <w:top w:w="40" w:type="dxa"/>
              <w:left w:w="0" w:type="dxa"/>
              <w:bottom w:w="40" w:type="dxa"/>
              <w:right w:w="20" w:type="dxa"/>
            </w:tcMar>
            <w:vAlign w:val="bottom"/>
          </w:tcPr>
          <w:p w14:paraId="27E075C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5C4"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5C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5C6" w14:textId="77777777" w:rsidR="00A85061" w:rsidRDefault="00F04891">
            <w:pPr>
              <w:jc w:val="right"/>
              <w:textAlignment w:val="bottom"/>
            </w:pPr>
            <w:r>
              <w:rPr>
                <w:rFonts w:ascii="sans-serif" w:eastAsia="sans-serif" w:hAnsi="sans-serif" w:cs="sans-serif"/>
                <w:color w:val="000000"/>
                <w:sz w:val="20"/>
                <w:szCs w:val="20"/>
              </w:rPr>
              <w:t>917 </w:t>
            </w:r>
          </w:p>
        </w:tc>
        <w:tc>
          <w:tcPr>
            <w:tcW w:w="0" w:type="auto"/>
            <w:shd w:val="clear" w:color="auto" w:fill="E2EFD9"/>
            <w:tcMar>
              <w:top w:w="40" w:type="dxa"/>
              <w:left w:w="0" w:type="dxa"/>
              <w:bottom w:w="40" w:type="dxa"/>
              <w:right w:w="20" w:type="dxa"/>
            </w:tcMar>
            <w:vAlign w:val="bottom"/>
          </w:tcPr>
          <w:p w14:paraId="27E075C7" w14:textId="77777777" w:rsidR="00A85061" w:rsidRDefault="00A85061">
            <w:pPr>
              <w:jc w:val="right"/>
              <w:rPr>
                <w:rFonts w:ascii="宋体"/>
              </w:rPr>
            </w:pPr>
          </w:p>
        </w:tc>
        <w:tc>
          <w:tcPr>
            <w:tcW w:w="0" w:type="auto"/>
            <w:shd w:val="clear" w:color="auto" w:fill="auto"/>
            <w:vAlign w:val="bottom"/>
          </w:tcPr>
          <w:p w14:paraId="27E075C8" w14:textId="77777777" w:rsidR="00A85061" w:rsidRDefault="00A85061">
            <w:pPr>
              <w:rPr>
                <w:rFonts w:ascii="宋体"/>
                <w:vanish/>
              </w:rPr>
            </w:pPr>
          </w:p>
        </w:tc>
        <w:tc>
          <w:tcPr>
            <w:tcW w:w="0" w:type="auto"/>
            <w:shd w:val="clear" w:color="auto" w:fill="auto"/>
            <w:vAlign w:val="bottom"/>
          </w:tcPr>
          <w:p w14:paraId="27E075C9" w14:textId="77777777" w:rsidR="00A85061" w:rsidRDefault="00A85061">
            <w:pPr>
              <w:rPr>
                <w:rFonts w:ascii="宋体"/>
                <w:vanish/>
              </w:rPr>
            </w:pPr>
          </w:p>
        </w:tc>
        <w:tc>
          <w:tcPr>
            <w:tcW w:w="0" w:type="auto"/>
            <w:gridSpan w:val="3"/>
            <w:shd w:val="clear" w:color="auto" w:fill="auto"/>
            <w:vAlign w:val="bottom"/>
          </w:tcPr>
          <w:p w14:paraId="27E075CA" w14:textId="77777777" w:rsidR="00A85061" w:rsidRDefault="00A85061">
            <w:pPr>
              <w:rPr>
                <w:rFonts w:ascii="宋体"/>
                <w:vanish/>
              </w:rPr>
            </w:pPr>
          </w:p>
        </w:tc>
        <w:tc>
          <w:tcPr>
            <w:tcW w:w="0" w:type="auto"/>
            <w:gridSpan w:val="3"/>
            <w:shd w:val="clear" w:color="auto" w:fill="auto"/>
            <w:vAlign w:val="bottom"/>
          </w:tcPr>
          <w:p w14:paraId="27E075CB" w14:textId="77777777" w:rsidR="00A85061" w:rsidRDefault="00A85061">
            <w:pPr>
              <w:rPr>
                <w:rFonts w:ascii="宋体"/>
                <w:vanish/>
              </w:rPr>
            </w:pPr>
          </w:p>
        </w:tc>
      </w:tr>
      <w:tr w:rsidR="00A85061" w14:paraId="27E075D5" w14:textId="77777777">
        <w:trPr>
          <w:jc w:val="center"/>
        </w:trPr>
        <w:tc>
          <w:tcPr>
            <w:tcW w:w="0" w:type="auto"/>
            <w:gridSpan w:val="3"/>
            <w:shd w:val="clear" w:color="auto" w:fill="FFFFFF"/>
            <w:tcMar>
              <w:top w:w="40" w:type="dxa"/>
              <w:left w:w="20" w:type="dxa"/>
              <w:bottom w:w="40" w:type="dxa"/>
              <w:right w:w="20" w:type="dxa"/>
            </w:tcMar>
            <w:vAlign w:val="bottom"/>
          </w:tcPr>
          <w:p w14:paraId="27E075CD" w14:textId="77777777" w:rsidR="00A85061" w:rsidRDefault="00F04891">
            <w:pPr>
              <w:textAlignment w:val="bottom"/>
            </w:pPr>
            <w:r>
              <w:rPr>
                <w:rFonts w:ascii="sans-serif" w:eastAsia="sans-serif" w:hAnsi="sans-serif" w:cs="sans-serif"/>
                <w:color w:val="000000"/>
                <w:sz w:val="20"/>
                <w:szCs w:val="20"/>
              </w:rPr>
              <w:t>Other comprehensive loss, net of tax</w:t>
            </w:r>
          </w:p>
        </w:tc>
        <w:tc>
          <w:tcPr>
            <w:tcW w:w="0" w:type="auto"/>
            <w:gridSpan w:val="3"/>
            <w:shd w:val="clear" w:color="auto" w:fill="FFFFFF"/>
            <w:tcMar>
              <w:top w:w="0" w:type="dxa"/>
              <w:left w:w="20" w:type="dxa"/>
              <w:bottom w:w="0" w:type="dxa"/>
              <w:right w:w="20" w:type="dxa"/>
            </w:tcMar>
            <w:vAlign w:val="bottom"/>
          </w:tcPr>
          <w:p w14:paraId="27E075CE"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5CF"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5D0" w14:textId="77777777" w:rsidR="00A85061" w:rsidRDefault="00A85061">
            <w:pPr>
              <w:rPr>
                <w:rFonts w:ascii="宋体"/>
              </w:rPr>
            </w:pPr>
          </w:p>
        </w:tc>
        <w:tc>
          <w:tcPr>
            <w:tcW w:w="0" w:type="auto"/>
            <w:shd w:val="clear" w:color="auto" w:fill="auto"/>
            <w:vAlign w:val="bottom"/>
          </w:tcPr>
          <w:p w14:paraId="27E075D1" w14:textId="77777777" w:rsidR="00A85061" w:rsidRDefault="00A85061">
            <w:pPr>
              <w:rPr>
                <w:rFonts w:ascii="宋体"/>
                <w:vanish/>
              </w:rPr>
            </w:pPr>
          </w:p>
        </w:tc>
        <w:tc>
          <w:tcPr>
            <w:tcW w:w="0" w:type="auto"/>
            <w:shd w:val="clear" w:color="auto" w:fill="auto"/>
            <w:vAlign w:val="bottom"/>
          </w:tcPr>
          <w:p w14:paraId="27E075D2" w14:textId="77777777" w:rsidR="00A85061" w:rsidRDefault="00A85061">
            <w:pPr>
              <w:rPr>
                <w:rFonts w:ascii="宋体"/>
                <w:vanish/>
              </w:rPr>
            </w:pPr>
          </w:p>
        </w:tc>
        <w:tc>
          <w:tcPr>
            <w:tcW w:w="0" w:type="auto"/>
            <w:gridSpan w:val="3"/>
            <w:shd w:val="clear" w:color="auto" w:fill="auto"/>
            <w:vAlign w:val="bottom"/>
          </w:tcPr>
          <w:p w14:paraId="27E075D3" w14:textId="77777777" w:rsidR="00A85061" w:rsidRDefault="00A85061">
            <w:pPr>
              <w:rPr>
                <w:rFonts w:ascii="宋体"/>
                <w:vanish/>
              </w:rPr>
            </w:pPr>
          </w:p>
        </w:tc>
        <w:tc>
          <w:tcPr>
            <w:tcW w:w="0" w:type="auto"/>
            <w:gridSpan w:val="3"/>
            <w:shd w:val="clear" w:color="auto" w:fill="auto"/>
            <w:vAlign w:val="bottom"/>
          </w:tcPr>
          <w:p w14:paraId="27E075D4" w14:textId="77777777" w:rsidR="00A85061" w:rsidRDefault="00A85061">
            <w:pPr>
              <w:rPr>
                <w:rFonts w:ascii="宋体"/>
                <w:vanish/>
              </w:rPr>
            </w:pPr>
          </w:p>
        </w:tc>
      </w:tr>
      <w:tr w:rsidR="00A85061" w14:paraId="27E075DE" w14:textId="77777777">
        <w:trPr>
          <w:jc w:val="center"/>
          <w:hidden/>
        </w:trPr>
        <w:tc>
          <w:tcPr>
            <w:tcW w:w="0" w:type="auto"/>
            <w:gridSpan w:val="3"/>
            <w:shd w:val="clear" w:color="auto" w:fill="auto"/>
            <w:vAlign w:val="bottom"/>
          </w:tcPr>
          <w:p w14:paraId="27E075D6" w14:textId="77777777" w:rsidR="00A85061" w:rsidRDefault="00A85061">
            <w:pPr>
              <w:rPr>
                <w:rFonts w:ascii="宋体"/>
                <w:vanish/>
              </w:rPr>
            </w:pPr>
          </w:p>
        </w:tc>
        <w:tc>
          <w:tcPr>
            <w:tcW w:w="0" w:type="auto"/>
            <w:gridSpan w:val="3"/>
            <w:shd w:val="clear" w:color="auto" w:fill="auto"/>
            <w:vAlign w:val="bottom"/>
          </w:tcPr>
          <w:p w14:paraId="27E075D7" w14:textId="77777777" w:rsidR="00A85061" w:rsidRDefault="00A85061">
            <w:pPr>
              <w:rPr>
                <w:rFonts w:ascii="宋体"/>
                <w:vanish/>
              </w:rPr>
            </w:pPr>
          </w:p>
        </w:tc>
        <w:tc>
          <w:tcPr>
            <w:tcW w:w="0" w:type="auto"/>
            <w:gridSpan w:val="3"/>
            <w:shd w:val="clear" w:color="auto" w:fill="auto"/>
            <w:vAlign w:val="bottom"/>
          </w:tcPr>
          <w:p w14:paraId="27E075D8" w14:textId="77777777" w:rsidR="00A85061" w:rsidRDefault="00A85061">
            <w:pPr>
              <w:rPr>
                <w:rFonts w:ascii="宋体"/>
                <w:vanish/>
              </w:rPr>
            </w:pPr>
          </w:p>
        </w:tc>
        <w:tc>
          <w:tcPr>
            <w:tcW w:w="0" w:type="auto"/>
            <w:gridSpan w:val="3"/>
            <w:shd w:val="clear" w:color="auto" w:fill="auto"/>
            <w:vAlign w:val="bottom"/>
          </w:tcPr>
          <w:p w14:paraId="27E075D9" w14:textId="77777777" w:rsidR="00A85061" w:rsidRDefault="00A85061">
            <w:pPr>
              <w:rPr>
                <w:rFonts w:ascii="宋体"/>
                <w:vanish/>
              </w:rPr>
            </w:pPr>
          </w:p>
        </w:tc>
        <w:tc>
          <w:tcPr>
            <w:tcW w:w="0" w:type="auto"/>
            <w:shd w:val="clear" w:color="auto" w:fill="auto"/>
            <w:vAlign w:val="bottom"/>
          </w:tcPr>
          <w:p w14:paraId="27E075DA" w14:textId="77777777" w:rsidR="00A85061" w:rsidRDefault="00A85061">
            <w:pPr>
              <w:rPr>
                <w:rFonts w:ascii="宋体"/>
                <w:vanish/>
              </w:rPr>
            </w:pPr>
          </w:p>
        </w:tc>
        <w:tc>
          <w:tcPr>
            <w:tcW w:w="0" w:type="auto"/>
            <w:shd w:val="clear" w:color="auto" w:fill="auto"/>
            <w:vAlign w:val="bottom"/>
          </w:tcPr>
          <w:p w14:paraId="27E075DB" w14:textId="77777777" w:rsidR="00A85061" w:rsidRDefault="00A85061">
            <w:pPr>
              <w:rPr>
                <w:rFonts w:ascii="宋体"/>
                <w:vanish/>
              </w:rPr>
            </w:pPr>
          </w:p>
        </w:tc>
        <w:tc>
          <w:tcPr>
            <w:tcW w:w="0" w:type="auto"/>
            <w:gridSpan w:val="3"/>
            <w:shd w:val="clear" w:color="auto" w:fill="auto"/>
            <w:vAlign w:val="bottom"/>
          </w:tcPr>
          <w:p w14:paraId="27E075DC" w14:textId="77777777" w:rsidR="00A85061" w:rsidRDefault="00A85061">
            <w:pPr>
              <w:rPr>
                <w:rFonts w:ascii="宋体"/>
                <w:vanish/>
              </w:rPr>
            </w:pPr>
          </w:p>
        </w:tc>
        <w:tc>
          <w:tcPr>
            <w:tcW w:w="0" w:type="auto"/>
            <w:gridSpan w:val="3"/>
            <w:shd w:val="clear" w:color="auto" w:fill="auto"/>
            <w:vAlign w:val="bottom"/>
          </w:tcPr>
          <w:p w14:paraId="27E075DD" w14:textId="77777777" w:rsidR="00A85061" w:rsidRDefault="00A85061">
            <w:pPr>
              <w:rPr>
                <w:rFonts w:ascii="宋体"/>
                <w:vanish/>
              </w:rPr>
            </w:pPr>
          </w:p>
        </w:tc>
      </w:tr>
      <w:tr w:rsidR="00A85061" w14:paraId="27E075E7" w14:textId="77777777">
        <w:trPr>
          <w:jc w:val="center"/>
          <w:hidden/>
        </w:trPr>
        <w:tc>
          <w:tcPr>
            <w:tcW w:w="0" w:type="auto"/>
            <w:gridSpan w:val="3"/>
            <w:shd w:val="clear" w:color="auto" w:fill="auto"/>
            <w:vAlign w:val="bottom"/>
          </w:tcPr>
          <w:p w14:paraId="27E075DF" w14:textId="77777777" w:rsidR="00A85061" w:rsidRDefault="00A85061">
            <w:pPr>
              <w:rPr>
                <w:rFonts w:ascii="宋体"/>
                <w:vanish/>
              </w:rPr>
            </w:pPr>
          </w:p>
        </w:tc>
        <w:tc>
          <w:tcPr>
            <w:tcW w:w="0" w:type="auto"/>
            <w:gridSpan w:val="3"/>
            <w:shd w:val="clear" w:color="auto" w:fill="auto"/>
            <w:vAlign w:val="bottom"/>
          </w:tcPr>
          <w:p w14:paraId="27E075E0" w14:textId="77777777" w:rsidR="00A85061" w:rsidRDefault="00A85061">
            <w:pPr>
              <w:rPr>
                <w:rFonts w:ascii="宋体"/>
                <w:vanish/>
              </w:rPr>
            </w:pPr>
          </w:p>
        </w:tc>
        <w:tc>
          <w:tcPr>
            <w:tcW w:w="0" w:type="auto"/>
            <w:gridSpan w:val="3"/>
            <w:shd w:val="clear" w:color="auto" w:fill="auto"/>
            <w:vAlign w:val="bottom"/>
          </w:tcPr>
          <w:p w14:paraId="27E075E1" w14:textId="77777777" w:rsidR="00A85061" w:rsidRDefault="00A85061">
            <w:pPr>
              <w:rPr>
                <w:rFonts w:ascii="宋体"/>
                <w:vanish/>
              </w:rPr>
            </w:pPr>
          </w:p>
        </w:tc>
        <w:tc>
          <w:tcPr>
            <w:tcW w:w="0" w:type="auto"/>
            <w:gridSpan w:val="3"/>
            <w:shd w:val="clear" w:color="auto" w:fill="auto"/>
            <w:vAlign w:val="bottom"/>
          </w:tcPr>
          <w:p w14:paraId="27E075E2" w14:textId="77777777" w:rsidR="00A85061" w:rsidRDefault="00A85061">
            <w:pPr>
              <w:rPr>
                <w:rFonts w:ascii="宋体"/>
                <w:vanish/>
              </w:rPr>
            </w:pPr>
          </w:p>
        </w:tc>
        <w:tc>
          <w:tcPr>
            <w:tcW w:w="0" w:type="auto"/>
            <w:shd w:val="clear" w:color="auto" w:fill="auto"/>
            <w:vAlign w:val="bottom"/>
          </w:tcPr>
          <w:p w14:paraId="27E075E3" w14:textId="77777777" w:rsidR="00A85061" w:rsidRDefault="00A85061">
            <w:pPr>
              <w:rPr>
                <w:rFonts w:ascii="宋体"/>
                <w:vanish/>
              </w:rPr>
            </w:pPr>
          </w:p>
        </w:tc>
        <w:tc>
          <w:tcPr>
            <w:tcW w:w="0" w:type="auto"/>
            <w:shd w:val="clear" w:color="auto" w:fill="auto"/>
            <w:vAlign w:val="bottom"/>
          </w:tcPr>
          <w:p w14:paraId="27E075E4" w14:textId="77777777" w:rsidR="00A85061" w:rsidRDefault="00A85061">
            <w:pPr>
              <w:rPr>
                <w:rFonts w:ascii="宋体"/>
                <w:vanish/>
              </w:rPr>
            </w:pPr>
          </w:p>
        </w:tc>
        <w:tc>
          <w:tcPr>
            <w:tcW w:w="0" w:type="auto"/>
            <w:gridSpan w:val="3"/>
            <w:shd w:val="clear" w:color="auto" w:fill="auto"/>
            <w:vAlign w:val="bottom"/>
          </w:tcPr>
          <w:p w14:paraId="27E075E5" w14:textId="77777777" w:rsidR="00A85061" w:rsidRDefault="00A85061">
            <w:pPr>
              <w:rPr>
                <w:rFonts w:ascii="宋体"/>
                <w:vanish/>
              </w:rPr>
            </w:pPr>
          </w:p>
        </w:tc>
        <w:tc>
          <w:tcPr>
            <w:tcW w:w="0" w:type="auto"/>
            <w:gridSpan w:val="3"/>
            <w:shd w:val="clear" w:color="auto" w:fill="auto"/>
            <w:vAlign w:val="bottom"/>
          </w:tcPr>
          <w:p w14:paraId="27E075E6" w14:textId="77777777" w:rsidR="00A85061" w:rsidRDefault="00A85061">
            <w:pPr>
              <w:rPr>
                <w:rFonts w:ascii="宋体"/>
                <w:vanish/>
              </w:rPr>
            </w:pPr>
          </w:p>
        </w:tc>
      </w:tr>
      <w:tr w:rsidR="00A85061" w14:paraId="27E075F0" w14:textId="77777777">
        <w:trPr>
          <w:jc w:val="center"/>
          <w:hidden/>
        </w:trPr>
        <w:tc>
          <w:tcPr>
            <w:tcW w:w="0" w:type="auto"/>
            <w:gridSpan w:val="3"/>
            <w:shd w:val="clear" w:color="auto" w:fill="auto"/>
            <w:vAlign w:val="bottom"/>
          </w:tcPr>
          <w:p w14:paraId="27E075E8" w14:textId="77777777" w:rsidR="00A85061" w:rsidRDefault="00A85061">
            <w:pPr>
              <w:rPr>
                <w:rFonts w:ascii="宋体"/>
                <w:vanish/>
              </w:rPr>
            </w:pPr>
          </w:p>
        </w:tc>
        <w:tc>
          <w:tcPr>
            <w:tcW w:w="0" w:type="auto"/>
            <w:gridSpan w:val="3"/>
            <w:shd w:val="clear" w:color="auto" w:fill="auto"/>
            <w:vAlign w:val="bottom"/>
          </w:tcPr>
          <w:p w14:paraId="27E075E9" w14:textId="77777777" w:rsidR="00A85061" w:rsidRDefault="00A85061">
            <w:pPr>
              <w:rPr>
                <w:rFonts w:ascii="宋体"/>
                <w:vanish/>
              </w:rPr>
            </w:pPr>
          </w:p>
        </w:tc>
        <w:tc>
          <w:tcPr>
            <w:tcW w:w="0" w:type="auto"/>
            <w:gridSpan w:val="3"/>
            <w:shd w:val="clear" w:color="auto" w:fill="auto"/>
            <w:vAlign w:val="bottom"/>
          </w:tcPr>
          <w:p w14:paraId="27E075EA" w14:textId="77777777" w:rsidR="00A85061" w:rsidRDefault="00A85061">
            <w:pPr>
              <w:rPr>
                <w:rFonts w:ascii="宋体"/>
                <w:vanish/>
              </w:rPr>
            </w:pPr>
          </w:p>
        </w:tc>
        <w:tc>
          <w:tcPr>
            <w:tcW w:w="0" w:type="auto"/>
            <w:gridSpan w:val="3"/>
            <w:shd w:val="clear" w:color="auto" w:fill="auto"/>
            <w:vAlign w:val="bottom"/>
          </w:tcPr>
          <w:p w14:paraId="27E075EB" w14:textId="77777777" w:rsidR="00A85061" w:rsidRDefault="00A85061">
            <w:pPr>
              <w:rPr>
                <w:rFonts w:ascii="宋体"/>
                <w:vanish/>
              </w:rPr>
            </w:pPr>
          </w:p>
        </w:tc>
        <w:tc>
          <w:tcPr>
            <w:tcW w:w="0" w:type="auto"/>
            <w:shd w:val="clear" w:color="auto" w:fill="auto"/>
            <w:vAlign w:val="bottom"/>
          </w:tcPr>
          <w:p w14:paraId="27E075EC" w14:textId="77777777" w:rsidR="00A85061" w:rsidRDefault="00A85061">
            <w:pPr>
              <w:rPr>
                <w:rFonts w:ascii="宋体"/>
                <w:vanish/>
              </w:rPr>
            </w:pPr>
          </w:p>
        </w:tc>
        <w:tc>
          <w:tcPr>
            <w:tcW w:w="0" w:type="auto"/>
            <w:shd w:val="clear" w:color="auto" w:fill="auto"/>
            <w:vAlign w:val="bottom"/>
          </w:tcPr>
          <w:p w14:paraId="27E075ED" w14:textId="77777777" w:rsidR="00A85061" w:rsidRDefault="00A85061">
            <w:pPr>
              <w:rPr>
                <w:rFonts w:ascii="宋体"/>
                <w:vanish/>
              </w:rPr>
            </w:pPr>
          </w:p>
        </w:tc>
        <w:tc>
          <w:tcPr>
            <w:tcW w:w="0" w:type="auto"/>
            <w:gridSpan w:val="3"/>
            <w:shd w:val="clear" w:color="auto" w:fill="auto"/>
            <w:vAlign w:val="bottom"/>
          </w:tcPr>
          <w:p w14:paraId="27E075EE" w14:textId="77777777" w:rsidR="00A85061" w:rsidRDefault="00A85061">
            <w:pPr>
              <w:rPr>
                <w:rFonts w:ascii="宋体"/>
                <w:vanish/>
              </w:rPr>
            </w:pPr>
          </w:p>
        </w:tc>
        <w:tc>
          <w:tcPr>
            <w:tcW w:w="0" w:type="auto"/>
            <w:gridSpan w:val="3"/>
            <w:shd w:val="clear" w:color="auto" w:fill="auto"/>
            <w:vAlign w:val="bottom"/>
          </w:tcPr>
          <w:p w14:paraId="27E075EF" w14:textId="77777777" w:rsidR="00A85061" w:rsidRDefault="00A85061">
            <w:pPr>
              <w:rPr>
                <w:rFonts w:ascii="宋体"/>
                <w:vanish/>
              </w:rPr>
            </w:pPr>
          </w:p>
        </w:tc>
      </w:tr>
      <w:tr w:rsidR="00A85061" w14:paraId="27E075F9" w14:textId="77777777">
        <w:trPr>
          <w:jc w:val="center"/>
          <w:hidden/>
        </w:trPr>
        <w:tc>
          <w:tcPr>
            <w:tcW w:w="0" w:type="auto"/>
            <w:gridSpan w:val="3"/>
            <w:shd w:val="clear" w:color="auto" w:fill="auto"/>
            <w:vAlign w:val="bottom"/>
          </w:tcPr>
          <w:p w14:paraId="27E075F1" w14:textId="77777777" w:rsidR="00A85061" w:rsidRDefault="00A85061">
            <w:pPr>
              <w:rPr>
                <w:rFonts w:ascii="宋体"/>
                <w:vanish/>
              </w:rPr>
            </w:pPr>
          </w:p>
        </w:tc>
        <w:tc>
          <w:tcPr>
            <w:tcW w:w="0" w:type="auto"/>
            <w:gridSpan w:val="3"/>
            <w:shd w:val="clear" w:color="auto" w:fill="auto"/>
            <w:vAlign w:val="bottom"/>
          </w:tcPr>
          <w:p w14:paraId="27E075F2" w14:textId="77777777" w:rsidR="00A85061" w:rsidRDefault="00A85061">
            <w:pPr>
              <w:rPr>
                <w:rFonts w:ascii="宋体"/>
                <w:vanish/>
              </w:rPr>
            </w:pPr>
          </w:p>
        </w:tc>
        <w:tc>
          <w:tcPr>
            <w:tcW w:w="0" w:type="auto"/>
            <w:gridSpan w:val="3"/>
            <w:shd w:val="clear" w:color="auto" w:fill="auto"/>
            <w:vAlign w:val="bottom"/>
          </w:tcPr>
          <w:p w14:paraId="27E075F3" w14:textId="77777777" w:rsidR="00A85061" w:rsidRDefault="00A85061">
            <w:pPr>
              <w:rPr>
                <w:rFonts w:ascii="宋体"/>
                <w:vanish/>
              </w:rPr>
            </w:pPr>
          </w:p>
        </w:tc>
        <w:tc>
          <w:tcPr>
            <w:tcW w:w="0" w:type="auto"/>
            <w:gridSpan w:val="3"/>
            <w:shd w:val="clear" w:color="auto" w:fill="auto"/>
            <w:vAlign w:val="bottom"/>
          </w:tcPr>
          <w:p w14:paraId="27E075F4" w14:textId="77777777" w:rsidR="00A85061" w:rsidRDefault="00A85061">
            <w:pPr>
              <w:rPr>
                <w:rFonts w:ascii="宋体"/>
                <w:vanish/>
              </w:rPr>
            </w:pPr>
          </w:p>
        </w:tc>
        <w:tc>
          <w:tcPr>
            <w:tcW w:w="0" w:type="auto"/>
            <w:shd w:val="clear" w:color="auto" w:fill="auto"/>
            <w:vAlign w:val="bottom"/>
          </w:tcPr>
          <w:p w14:paraId="27E075F5" w14:textId="77777777" w:rsidR="00A85061" w:rsidRDefault="00A85061">
            <w:pPr>
              <w:rPr>
                <w:rFonts w:ascii="宋体"/>
                <w:vanish/>
              </w:rPr>
            </w:pPr>
          </w:p>
        </w:tc>
        <w:tc>
          <w:tcPr>
            <w:tcW w:w="0" w:type="auto"/>
            <w:shd w:val="clear" w:color="auto" w:fill="auto"/>
            <w:vAlign w:val="bottom"/>
          </w:tcPr>
          <w:p w14:paraId="27E075F6" w14:textId="77777777" w:rsidR="00A85061" w:rsidRDefault="00A85061">
            <w:pPr>
              <w:rPr>
                <w:rFonts w:ascii="宋体"/>
                <w:vanish/>
              </w:rPr>
            </w:pPr>
          </w:p>
        </w:tc>
        <w:tc>
          <w:tcPr>
            <w:tcW w:w="0" w:type="auto"/>
            <w:gridSpan w:val="3"/>
            <w:shd w:val="clear" w:color="auto" w:fill="auto"/>
            <w:vAlign w:val="bottom"/>
          </w:tcPr>
          <w:p w14:paraId="27E075F7" w14:textId="77777777" w:rsidR="00A85061" w:rsidRDefault="00A85061">
            <w:pPr>
              <w:rPr>
                <w:rFonts w:ascii="宋体"/>
                <w:vanish/>
              </w:rPr>
            </w:pPr>
          </w:p>
        </w:tc>
        <w:tc>
          <w:tcPr>
            <w:tcW w:w="0" w:type="auto"/>
            <w:gridSpan w:val="3"/>
            <w:shd w:val="clear" w:color="auto" w:fill="auto"/>
            <w:vAlign w:val="bottom"/>
          </w:tcPr>
          <w:p w14:paraId="27E075F8" w14:textId="77777777" w:rsidR="00A85061" w:rsidRDefault="00A85061">
            <w:pPr>
              <w:rPr>
                <w:rFonts w:ascii="宋体"/>
                <w:vanish/>
              </w:rPr>
            </w:pPr>
          </w:p>
        </w:tc>
      </w:tr>
      <w:tr w:rsidR="00A85061" w14:paraId="27E07602" w14:textId="77777777">
        <w:trPr>
          <w:jc w:val="center"/>
        </w:trPr>
        <w:tc>
          <w:tcPr>
            <w:tcW w:w="0" w:type="auto"/>
            <w:gridSpan w:val="3"/>
            <w:shd w:val="clear" w:color="auto" w:fill="E2EFD9"/>
            <w:tcMar>
              <w:top w:w="40" w:type="dxa"/>
              <w:left w:w="20" w:type="dxa"/>
              <w:bottom w:w="40" w:type="dxa"/>
              <w:right w:w="20" w:type="dxa"/>
            </w:tcMar>
            <w:vAlign w:val="bottom"/>
          </w:tcPr>
          <w:p w14:paraId="27E075FA" w14:textId="77777777" w:rsidR="00A85061" w:rsidRDefault="00F04891">
            <w:pPr>
              <w:textAlignment w:val="bottom"/>
            </w:pPr>
            <w:r>
              <w:rPr>
                <w:rFonts w:ascii="sans-serif" w:eastAsia="sans-serif" w:hAnsi="sans-serif" w:cs="sans-serif"/>
                <w:color w:val="000000"/>
                <w:sz w:val="20"/>
                <w:szCs w:val="20"/>
              </w:rPr>
              <w:t>Cash flow hedges:</w:t>
            </w:r>
          </w:p>
        </w:tc>
        <w:tc>
          <w:tcPr>
            <w:tcW w:w="0" w:type="auto"/>
            <w:gridSpan w:val="3"/>
            <w:shd w:val="clear" w:color="auto" w:fill="E2EFD9"/>
            <w:tcMar>
              <w:top w:w="0" w:type="dxa"/>
              <w:left w:w="20" w:type="dxa"/>
              <w:bottom w:w="0" w:type="dxa"/>
              <w:right w:w="20" w:type="dxa"/>
            </w:tcMar>
            <w:vAlign w:val="bottom"/>
          </w:tcPr>
          <w:p w14:paraId="27E075FB"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FC"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5FD" w14:textId="77777777" w:rsidR="00A85061" w:rsidRDefault="00A85061">
            <w:pPr>
              <w:rPr>
                <w:rFonts w:ascii="宋体"/>
              </w:rPr>
            </w:pPr>
          </w:p>
        </w:tc>
        <w:tc>
          <w:tcPr>
            <w:tcW w:w="0" w:type="auto"/>
            <w:shd w:val="clear" w:color="auto" w:fill="auto"/>
            <w:vAlign w:val="bottom"/>
          </w:tcPr>
          <w:p w14:paraId="27E075FE" w14:textId="77777777" w:rsidR="00A85061" w:rsidRDefault="00A85061">
            <w:pPr>
              <w:rPr>
                <w:rFonts w:ascii="宋体"/>
                <w:vanish/>
              </w:rPr>
            </w:pPr>
          </w:p>
        </w:tc>
        <w:tc>
          <w:tcPr>
            <w:tcW w:w="0" w:type="auto"/>
            <w:shd w:val="clear" w:color="auto" w:fill="auto"/>
            <w:vAlign w:val="bottom"/>
          </w:tcPr>
          <w:p w14:paraId="27E075FF" w14:textId="77777777" w:rsidR="00A85061" w:rsidRDefault="00A85061">
            <w:pPr>
              <w:rPr>
                <w:rFonts w:ascii="宋体"/>
                <w:vanish/>
              </w:rPr>
            </w:pPr>
          </w:p>
        </w:tc>
        <w:tc>
          <w:tcPr>
            <w:tcW w:w="0" w:type="auto"/>
            <w:gridSpan w:val="3"/>
            <w:shd w:val="clear" w:color="auto" w:fill="auto"/>
            <w:vAlign w:val="bottom"/>
          </w:tcPr>
          <w:p w14:paraId="27E07600" w14:textId="77777777" w:rsidR="00A85061" w:rsidRDefault="00A85061">
            <w:pPr>
              <w:rPr>
                <w:rFonts w:ascii="宋体"/>
                <w:vanish/>
              </w:rPr>
            </w:pPr>
          </w:p>
        </w:tc>
        <w:tc>
          <w:tcPr>
            <w:tcW w:w="0" w:type="auto"/>
            <w:gridSpan w:val="3"/>
            <w:shd w:val="clear" w:color="auto" w:fill="auto"/>
            <w:vAlign w:val="bottom"/>
          </w:tcPr>
          <w:p w14:paraId="27E07601" w14:textId="77777777" w:rsidR="00A85061" w:rsidRDefault="00A85061">
            <w:pPr>
              <w:rPr>
                <w:rFonts w:ascii="宋体"/>
                <w:vanish/>
              </w:rPr>
            </w:pPr>
          </w:p>
        </w:tc>
      </w:tr>
      <w:tr w:rsidR="00A85061" w14:paraId="27E0760D" w14:textId="77777777">
        <w:trPr>
          <w:jc w:val="center"/>
        </w:trPr>
        <w:tc>
          <w:tcPr>
            <w:tcW w:w="0" w:type="auto"/>
            <w:gridSpan w:val="3"/>
            <w:shd w:val="clear" w:color="auto" w:fill="FFFFFF"/>
            <w:tcMar>
              <w:top w:w="40" w:type="dxa"/>
              <w:left w:w="245" w:type="dxa"/>
              <w:bottom w:w="40" w:type="dxa"/>
              <w:right w:w="20" w:type="dxa"/>
            </w:tcMar>
            <w:vAlign w:val="bottom"/>
          </w:tcPr>
          <w:p w14:paraId="27E07603" w14:textId="77777777" w:rsidR="00A85061" w:rsidRDefault="00F04891">
            <w:pPr>
              <w:textAlignment w:val="bottom"/>
            </w:pPr>
            <w:r>
              <w:rPr>
                <w:rFonts w:ascii="sans-serif" w:eastAsia="sans-serif" w:hAnsi="sans-serif" w:cs="sans-serif"/>
                <w:color w:val="000000"/>
                <w:sz w:val="20"/>
                <w:szCs w:val="20"/>
              </w:rPr>
              <w:t>Net unrealized loss</w:t>
            </w:r>
          </w:p>
        </w:tc>
        <w:tc>
          <w:tcPr>
            <w:tcW w:w="0" w:type="auto"/>
            <w:gridSpan w:val="2"/>
            <w:shd w:val="clear" w:color="auto" w:fill="FFFFFF"/>
            <w:tcMar>
              <w:top w:w="40" w:type="dxa"/>
              <w:left w:w="20" w:type="dxa"/>
              <w:bottom w:w="40" w:type="dxa"/>
              <w:right w:w="0" w:type="dxa"/>
            </w:tcMar>
            <w:vAlign w:val="bottom"/>
          </w:tcPr>
          <w:p w14:paraId="27E07604" w14:textId="77777777" w:rsidR="00A85061" w:rsidRDefault="00F04891">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27E0760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0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07" w14:textId="77777777" w:rsidR="00A85061" w:rsidRDefault="00F04891">
            <w:pPr>
              <w:jc w:val="right"/>
              <w:textAlignment w:val="bottom"/>
            </w:pPr>
            <w:r>
              <w:rPr>
                <w:rFonts w:ascii="sans-serif" w:eastAsia="sans-serif" w:hAnsi="sans-serif" w:cs="sans-serif"/>
                <w:color w:val="000000"/>
                <w:sz w:val="20"/>
                <w:szCs w:val="20"/>
              </w:rPr>
              <w:t>(10)</w:t>
            </w:r>
          </w:p>
        </w:tc>
        <w:tc>
          <w:tcPr>
            <w:tcW w:w="0" w:type="auto"/>
            <w:shd w:val="clear" w:color="auto" w:fill="FFFFFF"/>
            <w:tcMar>
              <w:top w:w="40" w:type="dxa"/>
              <w:left w:w="0" w:type="dxa"/>
              <w:bottom w:w="40" w:type="dxa"/>
              <w:right w:w="20" w:type="dxa"/>
            </w:tcMar>
            <w:vAlign w:val="bottom"/>
          </w:tcPr>
          <w:p w14:paraId="27E07608" w14:textId="77777777" w:rsidR="00A85061" w:rsidRDefault="00A85061">
            <w:pPr>
              <w:jc w:val="right"/>
              <w:rPr>
                <w:rFonts w:ascii="宋体"/>
              </w:rPr>
            </w:pPr>
          </w:p>
        </w:tc>
        <w:tc>
          <w:tcPr>
            <w:tcW w:w="0" w:type="auto"/>
            <w:shd w:val="clear" w:color="auto" w:fill="auto"/>
            <w:vAlign w:val="bottom"/>
          </w:tcPr>
          <w:p w14:paraId="27E07609" w14:textId="77777777" w:rsidR="00A85061" w:rsidRDefault="00A85061">
            <w:pPr>
              <w:rPr>
                <w:rFonts w:ascii="宋体"/>
                <w:vanish/>
              </w:rPr>
            </w:pPr>
          </w:p>
        </w:tc>
        <w:tc>
          <w:tcPr>
            <w:tcW w:w="0" w:type="auto"/>
            <w:shd w:val="clear" w:color="auto" w:fill="auto"/>
            <w:vAlign w:val="bottom"/>
          </w:tcPr>
          <w:p w14:paraId="27E0760A" w14:textId="77777777" w:rsidR="00A85061" w:rsidRDefault="00A85061">
            <w:pPr>
              <w:rPr>
                <w:rFonts w:ascii="宋体"/>
                <w:vanish/>
              </w:rPr>
            </w:pPr>
          </w:p>
        </w:tc>
        <w:tc>
          <w:tcPr>
            <w:tcW w:w="0" w:type="auto"/>
            <w:gridSpan w:val="3"/>
            <w:shd w:val="clear" w:color="auto" w:fill="auto"/>
            <w:vAlign w:val="bottom"/>
          </w:tcPr>
          <w:p w14:paraId="27E0760B" w14:textId="77777777" w:rsidR="00A85061" w:rsidRDefault="00A85061">
            <w:pPr>
              <w:rPr>
                <w:rFonts w:ascii="宋体"/>
                <w:vanish/>
              </w:rPr>
            </w:pPr>
          </w:p>
        </w:tc>
        <w:tc>
          <w:tcPr>
            <w:tcW w:w="0" w:type="auto"/>
            <w:gridSpan w:val="3"/>
            <w:shd w:val="clear" w:color="auto" w:fill="auto"/>
            <w:vAlign w:val="bottom"/>
          </w:tcPr>
          <w:p w14:paraId="27E0760C" w14:textId="77777777" w:rsidR="00A85061" w:rsidRDefault="00A85061">
            <w:pPr>
              <w:rPr>
                <w:rFonts w:ascii="宋体"/>
                <w:vanish/>
              </w:rPr>
            </w:pPr>
          </w:p>
        </w:tc>
      </w:tr>
      <w:tr w:rsidR="00A85061" w14:paraId="27E07618" w14:textId="77777777">
        <w:trPr>
          <w:jc w:val="center"/>
        </w:trPr>
        <w:tc>
          <w:tcPr>
            <w:tcW w:w="0" w:type="auto"/>
            <w:gridSpan w:val="3"/>
            <w:shd w:val="clear" w:color="auto" w:fill="E2EFD9"/>
            <w:tcMar>
              <w:top w:w="40" w:type="dxa"/>
              <w:left w:w="245" w:type="dxa"/>
              <w:bottom w:w="40" w:type="dxa"/>
              <w:right w:w="20" w:type="dxa"/>
            </w:tcMar>
            <w:vAlign w:val="bottom"/>
          </w:tcPr>
          <w:p w14:paraId="27E0760E" w14:textId="77777777" w:rsidR="00A85061" w:rsidRDefault="00F04891">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27E0760F" w14:textId="77777777" w:rsidR="00A85061" w:rsidRDefault="00F04891">
            <w:pPr>
              <w:jc w:val="right"/>
              <w:textAlignment w:val="bottom"/>
            </w:pPr>
            <w:r>
              <w:rPr>
                <w:rFonts w:ascii="sans-serif" w:eastAsia="sans-serif" w:hAnsi="sans-serif" w:cs="sans-serif"/>
                <w:color w:val="000000"/>
                <w:sz w:val="20"/>
                <w:szCs w:val="20"/>
              </w:rPr>
              <w:t>9 </w:t>
            </w:r>
          </w:p>
        </w:tc>
        <w:tc>
          <w:tcPr>
            <w:tcW w:w="0" w:type="auto"/>
            <w:shd w:val="clear" w:color="auto" w:fill="E2EFD9"/>
            <w:tcMar>
              <w:top w:w="40" w:type="dxa"/>
              <w:left w:w="0" w:type="dxa"/>
              <w:bottom w:w="40" w:type="dxa"/>
              <w:right w:w="20" w:type="dxa"/>
            </w:tcMar>
            <w:vAlign w:val="bottom"/>
          </w:tcPr>
          <w:p w14:paraId="27E0761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1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12" w14:textId="77777777" w:rsidR="00A85061" w:rsidRDefault="00F04891">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27E07613" w14:textId="77777777" w:rsidR="00A85061" w:rsidRDefault="00A85061">
            <w:pPr>
              <w:jc w:val="right"/>
              <w:rPr>
                <w:rFonts w:ascii="宋体"/>
              </w:rPr>
            </w:pPr>
          </w:p>
        </w:tc>
        <w:tc>
          <w:tcPr>
            <w:tcW w:w="0" w:type="auto"/>
            <w:shd w:val="clear" w:color="auto" w:fill="auto"/>
            <w:vAlign w:val="bottom"/>
          </w:tcPr>
          <w:p w14:paraId="27E07614" w14:textId="77777777" w:rsidR="00A85061" w:rsidRDefault="00A85061">
            <w:pPr>
              <w:rPr>
                <w:rFonts w:ascii="宋体"/>
                <w:vanish/>
              </w:rPr>
            </w:pPr>
          </w:p>
        </w:tc>
        <w:tc>
          <w:tcPr>
            <w:tcW w:w="0" w:type="auto"/>
            <w:shd w:val="clear" w:color="auto" w:fill="auto"/>
            <w:vAlign w:val="bottom"/>
          </w:tcPr>
          <w:p w14:paraId="27E07615" w14:textId="77777777" w:rsidR="00A85061" w:rsidRDefault="00A85061">
            <w:pPr>
              <w:rPr>
                <w:rFonts w:ascii="宋体"/>
                <w:vanish/>
              </w:rPr>
            </w:pPr>
          </w:p>
        </w:tc>
        <w:tc>
          <w:tcPr>
            <w:tcW w:w="0" w:type="auto"/>
            <w:gridSpan w:val="3"/>
            <w:shd w:val="clear" w:color="auto" w:fill="auto"/>
            <w:vAlign w:val="bottom"/>
          </w:tcPr>
          <w:p w14:paraId="27E07616" w14:textId="77777777" w:rsidR="00A85061" w:rsidRDefault="00A85061">
            <w:pPr>
              <w:rPr>
                <w:rFonts w:ascii="宋体"/>
                <w:vanish/>
              </w:rPr>
            </w:pPr>
          </w:p>
        </w:tc>
        <w:tc>
          <w:tcPr>
            <w:tcW w:w="0" w:type="auto"/>
            <w:gridSpan w:val="3"/>
            <w:shd w:val="clear" w:color="auto" w:fill="auto"/>
            <w:vAlign w:val="bottom"/>
          </w:tcPr>
          <w:p w14:paraId="27E07617" w14:textId="77777777" w:rsidR="00A85061" w:rsidRDefault="00A85061">
            <w:pPr>
              <w:rPr>
                <w:rFonts w:ascii="宋体"/>
                <w:vanish/>
              </w:rPr>
            </w:pPr>
          </w:p>
        </w:tc>
      </w:tr>
      <w:tr w:rsidR="00A85061" w14:paraId="27E07623" w14:textId="77777777">
        <w:trPr>
          <w:jc w:val="center"/>
        </w:trPr>
        <w:tc>
          <w:tcPr>
            <w:tcW w:w="0" w:type="auto"/>
            <w:gridSpan w:val="3"/>
            <w:shd w:val="clear" w:color="auto" w:fill="FFFFFF"/>
            <w:tcMar>
              <w:top w:w="40" w:type="dxa"/>
              <w:left w:w="245" w:type="dxa"/>
              <w:bottom w:w="40" w:type="dxa"/>
              <w:right w:w="20" w:type="dxa"/>
            </w:tcMar>
            <w:vAlign w:val="bottom"/>
          </w:tcPr>
          <w:p w14:paraId="27E07619" w14:textId="77777777" w:rsidR="00A85061" w:rsidRDefault="00F04891">
            <w:pPr>
              <w:textAlignment w:val="bottom"/>
            </w:pPr>
            <w:r>
              <w:rPr>
                <w:rFonts w:ascii="sans-serif" w:eastAsia="sans-serif" w:hAnsi="sans-serif" w:cs="sans-serif"/>
                <w:color w:val="000000"/>
                <w:sz w:val="20"/>
                <w:szCs w:val="20"/>
              </w:rPr>
              <w:t>Net change in unrealized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1A" w14:textId="77777777" w:rsidR="00A85061" w:rsidRDefault="00F04891">
            <w:pPr>
              <w:jc w:val="right"/>
              <w:textAlignment w:val="bottom"/>
            </w:pPr>
            <w:r>
              <w:rPr>
                <w:rFonts w:ascii="sans-serif" w:eastAsia="sans-serif" w:hAnsi="sans-serif" w:cs="sans-serif"/>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1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1C"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1D" w14:textId="77777777" w:rsidR="00A85061" w:rsidRDefault="00F04891">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1E" w14:textId="77777777" w:rsidR="00A85061" w:rsidRDefault="00A85061">
            <w:pPr>
              <w:jc w:val="right"/>
              <w:rPr>
                <w:rFonts w:ascii="宋体"/>
              </w:rPr>
            </w:pPr>
          </w:p>
        </w:tc>
        <w:tc>
          <w:tcPr>
            <w:tcW w:w="0" w:type="auto"/>
            <w:shd w:val="clear" w:color="auto" w:fill="auto"/>
            <w:vAlign w:val="bottom"/>
          </w:tcPr>
          <w:p w14:paraId="27E0761F" w14:textId="77777777" w:rsidR="00A85061" w:rsidRDefault="00A85061">
            <w:pPr>
              <w:rPr>
                <w:rFonts w:ascii="宋体"/>
                <w:vanish/>
              </w:rPr>
            </w:pPr>
          </w:p>
        </w:tc>
        <w:tc>
          <w:tcPr>
            <w:tcW w:w="0" w:type="auto"/>
            <w:shd w:val="clear" w:color="auto" w:fill="auto"/>
            <w:vAlign w:val="bottom"/>
          </w:tcPr>
          <w:p w14:paraId="27E07620" w14:textId="77777777" w:rsidR="00A85061" w:rsidRDefault="00A85061">
            <w:pPr>
              <w:rPr>
                <w:rFonts w:ascii="宋体"/>
                <w:vanish/>
              </w:rPr>
            </w:pPr>
          </w:p>
        </w:tc>
        <w:tc>
          <w:tcPr>
            <w:tcW w:w="0" w:type="auto"/>
            <w:gridSpan w:val="3"/>
            <w:shd w:val="clear" w:color="auto" w:fill="auto"/>
            <w:vAlign w:val="bottom"/>
          </w:tcPr>
          <w:p w14:paraId="27E07621" w14:textId="77777777" w:rsidR="00A85061" w:rsidRDefault="00A85061">
            <w:pPr>
              <w:rPr>
                <w:rFonts w:ascii="宋体"/>
                <w:vanish/>
              </w:rPr>
            </w:pPr>
          </w:p>
        </w:tc>
        <w:tc>
          <w:tcPr>
            <w:tcW w:w="0" w:type="auto"/>
            <w:gridSpan w:val="3"/>
            <w:shd w:val="clear" w:color="auto" w:fill="auto"/>
            <w:vAlign w:val="bottom"/>
          </w:tcPr>
          <w:p w14:paraId="27E07622" w14:textId="77777777" w:rsidR="00A85061" w:rsidRDefault="00A85061">
            <w:pPr>
              <w:rPr>
                <w:rFonts w:ascii="宋体"/>
                <w:vanish/>
              </w:rPr>
            </w:pPr>
          </w:p>
        </w:tc>
      </w:tr>
      <w:tr w:rsidR="00A85061" w14:paraId="27E0762C" w14:textId="77777777">
        <w:trPr>
          <w:jc w:val="center"/>
          <w:hidden/>
        </w:trPr>
        <w:tc>
          <w:tcPr>
            <w:tcW w:w="0" w:type="auto"/>
            <w:gridSpan w:val="3"/>
            <w:shd w:val="clear" w:color="auto" w:fill="auto"/>
            <w:vAlign w:val="bottom"/>
          </w:tcPr>
          <w:p w14:paraId="27E07624" w14:textId="77777777" w:rsidR="00A85061" w:rsidRDefault="00A85061">
            <w:pPr>
              <w:rPr>
                <w:rFonts w:ascii="宋体"/>
                <w:vanish/>
              </w:rPr>
            </w:pPr>
          </w:p>
        </w:tc>
        <w:tc>
          <w:tcPr>
            <w:tcW w:w="0" w:type="auto"/>
            <w:gridSpan w:val="3"/>
            <w:shd w:val="clear" w:color="auto" w:fill="auto"/>
            <w:vAlign w:val="bottom"/>
          </w:tcPr>
          <w:p w14:paraId="27E07625" w14:textId="77777777" w:rsidR="00A85061" w:rsidRDefault="00A85061">
            <w:pPr>
              <w:rPr>
                <w:rFonts w:ascii="宋体"/>
                <w:vanish/>
              </w:rPr>
            </w:pPr>
          </w:p>
        </w:tc>
        <w:tc>
          <w:tcPr>
            <w:tcW w:w="0" w:type="auto"/>
            <w:gridSpan w:val="3"/>
            <w:shd w:val="clear" w:color="auto" w:fill="auto"/>
            <w:vAlign w:val="bottom"/>
          </w:tcPr>
          <w:p w14:paraId="27E07626" w14:textId="77777777" w:rsidR="00A85061" w:rsidRDefault="00A85061">
            <w:pPr>
              <w:rPr>
                <w:rFonts w:ascii="宋体"/>
                <w:vanish/>
              </w:rPr>
            </w:pPr>
          </w:p>
        </w:tc>
        <w:tc>
          <w:tcPr>
            <w:tcW w:w="0" w:type="auto"/>
            <w:gridSpan w:val="3"/>
            <w:shd w:val="clear" w:color="auto" w:fill="auto"/>
            <w:vAlign w:val="bottom"/>
          </w:tcPr>
          <w:p w14:paraId="27E07627" w14:textId="77777777" w:rsidR="00A85061" w:rsidRDefault="00A85061">
            <w:pPr>
              <w:rPr>
                <w:rFonts w:ascii="宋体"/>
                <w:vanish/>
              </w:rPr>
            </w:pPr>
          </w:p>
        </w:tc>
        <w:tc>
          <w:tcPr>
            <w:tcW w:w="0" w:type="auto"/>
            <w:shd w:val="clear" w:color="auto" w:fill="auto"/>
            <w:vAlign w:val="bottom"/>
          </w:tcPr>
          <w:p w14:paraId="27E07628" w14:textId="77777777" w:rsidR="00A85061" w:rsidRDefault="00A85061">
            <w:pPr>
              <w:rPr>
                <w:rFonts w:ascii="宋体"/>
                <w:vanish/>
              </w:rPr>
            </w:pPr>
          </w:p>
        </w:tc>
        <w:tc>
          <w:tcPr>
            <w:tcW w:w="0" w:type="auto"/>
            <w:shd w:val="clear" w:color="auto" w:fill="auto"/>
            <w:vAlign w:val="bottom"/>
          </w:tcPr>
          <w:p w14:paraId="27E07629" w14:textId="77777777" w:rsidR="00A85061" w:rsidRDefault="00A85061">
            <w:pPr>
              <w:rPr>
                <w:rFonts w:ascii="宋体"/>
                <w:vanish/>
              </w:rPr>
            </w:pPr>
          </w:p>
        </w:tc>
        <w:tc>
          <w:tcPr>
            <w:tcW w:w="0" w:type="auto"/>
            <w:gridSpan w:val="3"/>
            <w:shd w:val="clear" w:color="auto" w:fill="auto"/>
            <w:vAlign w:val="bottom"/>
          </w:tcPr>
          <w:p w14:paraId="27E0762A" w14:textId="77777777" w:rsidR="00A85061" w:rsidRDefault="00A85061">
            <w:pPr>
              <w:rPr>
                <w:rFonts w:ascii="宋体"/>
                <w:vanish/>
              </w:rPr>
            </w:pPr>
          </w:p>
        </w:tc>
        <w:tc>
          <w:tcPr>
            <w:tcW w:w="0" w:type="auto"/>
            <w:gridSpan w:val="3"/>
            <w:shd w:val="clear" w:color="auto" w:fill="auto"/>
            <w:vAlign w:val="bottom"/>
          </w:tcPr>
          <w:p w14:paraId="27E0762B" w14:textId="77777777" w:rsidR="00A85061" w:rsidRDefault="00A85061">
            <w:pPr>
              <w:rPr>
                <w:rFonts w:ascii="宋体"/>
                <w:vanish/>
              </w:rPr>
            </w:pPr>
          </w:p>
        </w:tc>
      </w:tr>
      <w:tr w:rsidR="00A85061" w14:paraId="27E07639" w14:textId="77777777">
        <w:trPr>
          <w:jc w:val="center"/>
        </w:trPr>
        <w:tc>
          <w:tcPr>
            <w:tcW w:w="0" w:type="auto"/>
            <w:gridSpan w:val="3"/>
            <w:shd w:val="clear" w:color="auto" w:fill="E2EFD9"/>
            <w:tcMar>
              <w:top w:w="40" w:type="dxa"/>
              <w:left w:w="20" w:type="dxa"/>
              <w:bottom w:w="40" w:type="dxa"/>
              <w:right w:w="20" w:type="dxa"/>
            </w:tcMar>
            <w:vAlign w:val="bottom"/>
          </w:tcPr>
          <w:p w14:paraId="27E0762D" w14:textId="77777777" w:rsidR="00A85061" w:rsidRDefault="00F04891">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62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62F" w14:textId="77777777" w:rsidR="00A85061" w:rsidRDefault="00F04891">
            <w:pPr>
              <w:jc w:val="right"/>
              <w:textAlignment w:val="bottom"/>
            </w:pPr>
            <w:r>
              <w:rPr>
                <w:rFonts w:ascii="sans-serif" w:eastAsia="sans-serif" w:hAnsi="sans-serif" w:cs="sans-serif"/>
                <w:color w:val="000000"/>
                <w:sz w:val="20"/>
                <w:szCs w:val="20"/>
              </w:rPr>
              <w:t>1,907 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63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31"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63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633" w14:textId="77777777" w:rsidR="00A85061" w:rsidRDefault="00F04891">
            <w:pPr>
              <w:jc w:val="right"/>
              <w:textAlignment w:val="bottom"/>
            </w:pPr>
            <w:r>
              <w:rPr>
                <w:rFonts w:ascii="sans-serif" w:eastAsia="sans-serif" w:hAnsi="sans-serif" w:cs="sans-serif"/>
                <w:color w:val="000000"/>
                <w:sz w:val="20"/>
                <w:szCs w:val="20"/>
              </w:rPr>
              <w:t>906 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634" w14:textId="77777777" w:rsidR="00A85061" w:rsidRDefault="00A85061">
            <w:pPr>
              <w:jc w:val="right"/>
              <w:rPr>
                <w:rFonts w:ascii="宋体"/>
              </w:rPr>
            </w:pPr>
          </w:p>
        </w:tc>
        <w:tc>
          <w:tcPr>
            <w:tcW w:w="0" w:type="auto"/>
            <w:shd w:val="clear" w:color="auto" w:fill="auto"/>
            <w:vAlign w:val="bottom"/>
          </w:tcPr>
          <w:p w14:paraId="27E07635" w14:textId="77777777" w:rsidR="00A85061" w:rsidRDefault="00A85061">
            <w:pPr>
              <w:rPr>
                <w:rFonts w:ascii="宋体"/>
                <w:vanish/>
              </w:rPr>
            </w:pPr>
          </w:p>
        </w:tc>
        <w:tc>
          <w:tcPr>
            <w:tcW w:w="0" w:type="auto"/>
            <w:shd w:val="clear" w:color="auto" w:fill="auto"/>
            <w:vAlign w:val="bottom"/>
          </w:tcPr>
          <w:p w14:paraId="27E07636" w14:textId="77777777" w:rsidR="00A85061" w:rsidRDefault="00A85061">
            <w:pPr>
              <w:rPr>
                <w:rFonts w:ascii="宋体"/>
                <w:vanish/>
              </w:rPr>
            </w:pPr>
          </w:p>
        </w:tc>
        <w:tc>
          <w:tcPr>
            <w:tcW w:w="0" w:type="auto"/>
            <w:gridSpan w:val="3"/>
            <w:shd w:val="clear" w:color="auto" w:fill="auto"/>
            <w:vAlign w:val="bottom"/>
          </w:tcPr>
          <w:p w14:paraId="27E07637" w14:textId="77777777" w:rsidR="00A85061" w:rsidRDefault="00A85061">
            <w:pPr>
              <w:rPr>
                <w:rFonts w:ascii="宋体"/>
                <w:vanish/>
              </w:rPr>
            </w:pPr>
          </w:p>
        </w:tc>
        <w:tc>
          <w:tcPr>
            <w:tcW w:w="0" w:type="auto"/>
            <w:gridSpan w:val="3"/>
            <w:shd w:val="clear" w:color="auto" w:fill="auto"/>
            <w:vAlign w:val="bottom"/>
          </w:tcPr>
          <w:p w14:paraId="27E07638" w14:textId="77777777" w:rsidR="00A85061" w:rsidRDefault="00A85061">
            <w:pPr>
              <w:rPr>
                <w:rFonts w:ascii="宋体"/>
                <w:vanish/>
              </w:rPr>
            </w:pPr>
          </w:p>
        </w:tc>
      </w:tr>
    </w:tbl>
    <w:p w14:paraId="27E0763A" w14:textId="77777777" w:rsidR="00A85061" w:rsidRDefault="00F04891">
      <w:pPr>
        <w:spacing w:after="180"/>
        <w:jc w:val="center"/>
      </w:pPr>
      <w:r>
        <w:rPr>
          <w:rFonts w:ascii="sans-serif" w:eastAsia="sans-serif" w:hAnsi="sans-serif" w:cs="sans-serif"/>
          <w:color w:val="000000"/>
          <w:sz w:val="20"/>
          <w:szCs w:val="20"/>
        </w:rPr>
        <w:t>See accompanying Notes to Condensed Consolidated Financial Statements.</w:t>
      </w:r>
    </w:p>
    <w:p w14:paraId="27E0763B" w14:textId="77777777" w:rsidR="00A85061" w:rsidRDefault="00A85061">
      <w:pPr>
        <w:spacing w:after="180"/>
        <w:jc w:val="both"/>
      </w:pPr>
    </w:p>
    <w:p w14:paraId="27E0763C" w14:textId="77777777" w:rsidR="00A85061" w:rsidRDefault="00F04891">
      <w:pPr>
        <w:spacing w:after="180"/>
        <w:jc w:val="center"/>
      </w:pPr>
      <w:r>
        <w:rPr>
          <w:rFonts w:ascii="sans-serif" w:eastAsia="sans-serif" w:hAnsi="sans-serif" w:cs="sans-serif"/>
          <w:color w:val="000000"/>
          <w:sz w:val="20"/>
          <w:szCs w:val="20"/>
        </w:rPr>
        <w:t>4</w:t>
      </w:r>
    </w:p>
    <w:p w14:paraId="27E0763D" w14:textId="77777777" w:rsidR="00A85061" w:rsidRDefault="00F04891">
      <w:r>
        <w:pict w14:anchorId="27E08EF5">
          <v:rect id="_x0000_i1028" style="width:415.3pt;height:1.5pt" o:hralign="center" o:hrstd="t" o:hr="t" fillcolor="#a0a0a0" stroked="f"/>
        </w:pict>
      </w:r>
    </w:p>
    <w:p w14:paraId="27E0763E" w14:textId="77777777" w:rsidR="00A85061" w:rsidRDefault="00A85061">
      <w:pPr>
        <w:spacing w:after="180"/>
        <w:jc w:val="both"/>
      </w:pPr>
    </w:p>
    <w:p w14:paraId="27E0763F" w14:textId="77777777" w:rsidR="00A85061" w:rsidRDefault="00F04891">
      <w:pPr>
        <w:jc w:val="center"/>
      </w:pPr>
      <w:r>
        <w:rPr>
          <w:rFonts w:ascii="sans-serif" w:eastAsia="sans-serif" w:hAnsi="sans-serif" w:cs="sans-serif"/>
          <w:b/>
          <w:bCs/>
          <w:color w:val="000000"/>
          <w:sz w:val="20"/>
          <w:szCs w:val="20"/>
        </w:rPr>
        <w:t>NVIDIA CORPORATION AND SUBSIDIARIES </w:t>
      </w:r>
    </w:p>
    <w:p w14:paraId="27E07640" w14:textId="77777777" w:rsidR="00A85061" w:rsidRDefault="00F04891">
      <w:pPr>
        <w:jc w:val="center"/>
      </w:pPr>
      <w:r>
        <w:rPr>
          <w:rFonts w:ascii="sans-serif" w:eastAsia="sans-serif" w:hAnsi="sans-serif" w:cs="sans-serif"/>
          <w:b/>
          <w:bCs/>
          <w:color w:val="000000"/>
          <w:sz w:val="20"/>
          <w:szCs w:val="20"/>
        </w:rPr>
        <w:t>CONDENSED CONSOLIDATED BALANCE SHEETS</w:t>
      </w:r>
    </w:p>
    <w:p w14:paraId="27E07641" w14:textId="77777777" w:rsidR="00A85061" w:rsidRDefault="00F04891">
      <w:pPr>
        <w:jc w:val="center"/>
      </w:pPr>
      <w:r>
        <w:rPr>
          <w:rFonts w:ascii="sans-serif" w:eastAsia="sans-serif" w:hAnsi="sans-serif" w:cs="sans-serif"/>
          <w:b/>
          <w:bCs/>
          <w:color w:val="000000"/>
          <w:sz w:val="20"/>
          <w:szCs w:val="20"/>
        </w:rPr>
        <w:t>(In millions)</w:t>
      </w:r>
    </w:p>
    <w:p w14:paraId="27E07642" w14:textId="77777777" w:rsidR="00A85061" w:rsidRDefault="00F04891">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A85061" w14:paraId="27E0764F" w14:textId="77777777">
        <w:trPr>
          <w:jc w:val="center"/>
        </w:trPr>
        <w:tc>
          <w:tcPr>
            <w:tcW w:w="50" w:type="pct"/>
            <w:shd w:val="clear" w:color="auto" w:fill="auto"/>
            <w:vAlign w:val="bottom"/>
          </w:tcPr>
          <w:p w14:paraId="27E07643" w14:textId="77777777" w:rsidR="00A85061" w:rsidRDefault="00A85061">
            <w:pPr>
              <w:rPr>
                <w:rFonts w:ascii="宋体"/>
              </w:rPr>
            </w:pPr>
          </w:p>
        </w:tc>
        <w:tc>
          <w:tcPr>
            <w:tcW w:w="3645" w:type="pct"/>
            <w:shd w:val="clear" w:color="auto" w:fill="auto"/>
            <w:vAlign w:val="bottom"/>
          </w:tcPr>
          <w:p w14:paraId="27E07644" w14:textId="77777777" w:rsidR="00A85061" w:rsidRDefault="00A85061">
            <w:pPr>
              <w:rPr>
                <w:rFonts w:ascii="宋体"/>
              </w:rPr>
            </w:pPr>
          </w:p>
        </w:tc>
        <w:tc>
          <w:tcPr>
            <w:tcW w:w="5" w:type="pct"/>
            <w:shd w:val="clear" w:color="auto" w:fill="auto"/>
            <w:vAlign w:val="bottom"/>
          </w:tcPr>
          <w:p w14:paraId="27E07645" w14:textId="77777777" w:rsidR="00A85061" w:rsidRDefault="00A85061">
            <w:pPr>
              <w:rPr>
                <w:rFonts w:ascii="宋体"/>
              </w:rPr>
            </w:pPr>
          </w:p>
        </w:tc>
        <w:tc>
          <w:tcPr>
            <w:tcW w:w="50" w:type="pct"/>
            <w:shd w:val="clear" w:color="auto" w:fill="auto"/>
            <w:vAlign w:val="bottom"/>
          </w:tcPr>
          <w:p w14:paraId="27E07646" w14:textId="77777777" w:rsidR="00A85061" w:rsidRDefault="00A85061">
            <w:pPr>
              <w:rPr>
                <w:rFonts w:ascii="宋体"/>
              </w:rPr>
            </w:pPr>
          </w:p>
        </w:tc>
        <w:tc>
          <w:tcPr>
            <w:tcW w:w="583" w:type="pct"/>
            <w:shd w:val="clear" w:color="auto" w:fill="auto"/>
            <w:vAlign w:val="bottom"/>
          </w:tcPr>
          <w:p w14:paraId="27E07647" w14:textId="77777777" w:rsidR="00A85061" w:rsidRDefault="00A85061">
            <w:pPr>
              <w:rPr>
                <w:rFonts w:ascii="宋体"/>
              </w:rPr>
            </w:pPr>
          </w:p>
        </w:tc>
        <w:tc>
          <w:tcPr>
            <w:tcW w:w="5" w:type="pct"/>
            <w:shd w:val="clear" w:color="auto" w:fill="auto"/>
            <w:vAlign w:val="bottom"/>
          </w:tcPr>
          <w:p w14:paraId="27E07648" w14:textId="77777777" w:rsidR="00A85061" w:rsidRDefault="00A85061">
            <w:pPr>
              <w:rPr>
                <w:rFonts w:ascii="宋体"/>
              </w:rPr>
            </w:pPr>
          </w:p>
        </w:tc>
        <w:tc>
          <w:tcPr>
            <w:tcW w:w="5" w:type="pct"/>
            <w:shd w:val="clear" w:color="auto" w:fill="auto"/>
            <w:vAlign w:val="bottom"/>
          </w:tcPr>
          <w:p w14:paraId="27E07649" w14:textId="77777777" w:rsidR="00A85061" w:rsidRDefault="00A85061">
            <w:pPr>
              <w:rPr>
                <w:rFonts w:ascii="宋体"/>
              </w:rPr>
            </w:pPr>
          </w:p>
        </w:tc>
        <w:tc>
          <w:tcPr>
            <w:tcW w:w="26" w:type="pct"/>
            <w:shd w:val="clear" w:color="auto" w:fill="auto"/>
            <w:vAlign w:val="bottom"/>
          </w:tcPr>
          <w:p w14:paraId="27E0764A" w14:textId="77777777" w:rsidR="00A85061" w:rsidRDefault="00A85061">
            <w:pPr>
              <w:rPr>
                <w:rFonts w:ascii="宋体"/>
              </w:rPr>
            </w:pPr>
          </w:p>
        </w:tc>
        <w:tc>
          <w:tcPr>
            <w:tcW w:w="5" w:type="pct"/>
            <w:shd w:val="clear" w:color="auto" w:fill="auto"/>
            <w:vAlign w:val="bottom"/>
          </w:tcPr>
          <w:p w14:paraId="27E0764B" w14:textId="77777777" w:rsidR="00A85061" w:rsidRDefault="00A85061">
            <w:pPr>
              <w:rPr>
                <w:rFonts w:ascii="宋体"/>
              </w:rPr>
            </w:pPr>
          </w:p>
        </w:tc>
        <w:tc>
          <w:tcPr>
            <w:tcW w:w="50" w:type="pct"/>
            <w:shd w:val="clear" w:color="auto" w:fill="auto"/>
            <w:vAlign w:val="bottom"/>
          </w:tcPr>
          <w:p w14:paraId="27E0764C" w14:textId="77777777" w:rsidR="00A85061" w:rsidRDefault="00A85061">
            <w:pPr>
              <w:rPr>
                <w:rFonts w:ascii="宋体"/>
              </w:rPr>
            </w:pPr>
          </w:p>
        </w:tc>
        <w:tc>
          <w:tcPr>
            <w:tcW w:w="569" w:type="pct"/>
            <w:shd w:val="clear" w:color="auto" w:fill="auto"/>
            <w:vAlign w:val="bottom"/>
          </w:tcPr>
          <w:p w14:paraId="27E0764D" w14:textId="77777777" w:rsidR="00A85061" w:rsidRDefault="00A85061">
            <w:pPr>
              <w:rPr>
                <w:rFonts w:ascii="宋体"/>
              </w:rPr>
            </w:pPr>
          </w:p>
        </w:tc>
        <w:tc>
          <w:tcPr>
            <w:tcW w:w="5" w:type="pct"/>
            <w:shd w:val="clear" w:color="auto" w:fill="auto"/>
            <w:vAlign w:val="bottom"/>
          </w:tcPr>
          <w:p w14:paraId="27E0764E" w14:textId="77777777" w:rsidR="00A85061" w:rsidRDefault="00A85061">
            <w:pPr>
              <w:rPr>
                <w:rFonts w:ascii="宋体"/>
              </w:rPr>
            </w:pPr>
          </w:p>
        </w:tc>
      </w:tr>
      <w:tr w:rsidR="00A85061" w14:paraId="27E07654" w14:textId="77777777">
        <w:trPr>
          <w:jc w:val="center"/>
        </w:trPr>
        <w:tc>
          <w:tcPr>
            <w:tcW w:w="0" w:type="auto"/>
            <w:gridSpan w:val="3"/>
            <w:shd w:val="clear" w:color="auto" w:fill="auto"/>
            <w:tcMar>
              <w:top w:w="0" w:type="dxa"/>
              <w:left w:w="20" w:type="dxa"/>
              <w:bottom w:w="0" w:type="dxa"/>
              <w:right w:w="20" w:type="dxa"/>
            </w:tcMar>
            <w:vAlign w:val="bottom"/>
          </w:tcPr>
          <w:p w14:paraId="27E07650"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651"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7652"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653"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7659" w14:textId="77777777">
        <w:trPr>
          <w:jc w:val="center"/>
        </w:trPr>
        <w:tc>
          <w:tcPr>
            <w:tcW w:w="0" w:type="auto"/>
            <w:gridSpan w:val="3"/>
            <w:shd w:val="clear" w:color="auto" w:fill="auto"/>
            <w:tcMar>
              <w:top w:w="40" w:type="dxa"/>
              <w:left w:w="20" w:type="dxa"/>
              <w:bottom w:w="40" w:type="dxa"/>
              <w:right w:w="20" w:type="dxa"/>
            </w:tcMar>
            <w:vAlign w:val="bottom"/>
          </w:tcPr>
          <w:p w14:paraId="27E07655"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7656"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7657"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658"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765E" w14:textId="77777777">
        <w:trPr>
          <w:jc w:val="center"/>
        </w:trPr>
        <w:tc>
          <w:tcPr>
            <w:tcW w:w="0" w:type="auto"/>
            <w:gridSpan w:val="3"/>
            <w:shd w:val="clear" w:color="auto" w:fill="E2EFD9"/>
            <w:tcMar>
              <w:top w:w="40" w:type="dxa"/>
              <w:left w:w="20" w:type="dxa"/>
              <w:bottom w:w="40" w:type="dxa"/>
              <w:right w:w="20" w:type="dxa"/>
            </w:tcMar>
            <w:vAlign w:val="bottom"/>
          </w:tcPr>
          <w:p w14:paraId="27E0765A" w14:textId="77777777" w:rsidR="00A85061" w:rsidRDefault="00F04891">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27E0765B"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65C" w14:textId="77777777" w:rsidR="00A85061" w:rsidRDefault="00A85061">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27E0765D" w14:textId="77777777" w:rsidR="00A85061" w:rsidRDefault="00A85061">
            <w:pPr>
              <w:rPr>
                <w:rFonts w:ascii="宋体"/>
              </w:rPr>
            </w:pPr>
          </w:p>
        </w:tc>
      </w:tr>
      <w:tr w:rsidR="00A85061" w14:paraId="27E07663" w14:textId="77777777">
        <w:trPr>
          <w:jc w:val="center"/>
        </w:trPr>
        <w:tc>
          <w:tcPr>
            <w:tcW w:w="0" w:type="auto"/>
            <w:gridSpan w:val="3"/>
            <w:shd w:val="clear" w:color="auto" w:fill="FFFFFF"/>
            <w:tcMar>
              <w:top w:w="40" w:type="dxa"/>
              <w:left w:w="20" w:type="dxa"/>
              <w:bottom w:w="40" w:type="dxa"/>
              <w:right w:w="20" w:type="dxa"/>
            </w:tcMar>
            <w:vAlign w:val="bottom"/>
          </w:tcPr>
          <w:p w14:paraId="27E0765F" w14:textId="77777777" w:rsidR="00A85061" w:rsidRDefault="00F04891">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27E07660"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27E07661"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662" w14:textId="77777777" w:rsidR="00A85061" w:rsidRDefault="00F04891">
            <w:pPr>
              <w:textAlignment w:val="bottom"/>
            </w:pPr>
            <w:r>
              <w:rPr>
                <w:rFonts w:ascii="sans-serif" w:eastAsia="sans-serif" w:hAnsi="sans-serif" w:cs="sans-serif"/>
                <w:color w:val="000000"/>
                <w:sz w:val="20"/>
                <w:szCs w:val="20"/>
              </w:rPr>
              <w:t> </w:t>
            </w:r>
          </w:p>
        </w:tc>
      </w:tr>
      <w:tr w:rsidR="00A85061" w14:paraId="27E0766C" w14:textId="77777777">
        <w:trPr>
          <w:jc w:val="center"/>
        </w:trPr>
        <w:tc>
          <w:tcPr>
            <w:tcW w:w="0" w:type="auto"/>
            <w:gridSpan w:val="3"/>
            <w:shd w:val="clear" w:color="auto" w:fill="E2EFD9"/>
            <w:tcMar>
              <w:top w:w="40" w:type="dxa"/>
              <w:left w:w="245" w:type="dxa"/>
              <w:bottom w:w="40" w:type="dxa"/>
              <w:right w:w="20" w:type="dxa"/>
            </w:tcMar>
            <w:vAlign w:val="bottom"/>
          </w:tcPr>
          <w:p w14:paraId="27E07664" w14:textId="77777777" w:rsidR="00A85061" w:rsidRDefault="00F04891">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27E0766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666" w14:textId="77777777" w:rsidR="00A85061" w:rsidRDefault="00F04891">
            <w:pPr>
              <w:jc w:val="right"/>
              <w:textAlignment w:val="bottom"/>
            </w:pPr>
            <w:r>
              <w:rPr>
                <w:rFonts w:ascii="sans-serif" w:eastAsia="sans-serif" w:hAnsi="sans-serif" w:cs="sans-serif"/>
                <w:color w:val="000000"/>
                <w:sz w:val="20"/>
                <w:szCs w:val="20"/>
              </w:rPr>
              <w:t>978 </w:t>
            </w:r>
          </w:p>
        </w:tc>
        <w:tc>
          <w:tcPr>
            <w:tcW w:w="0" w:type="auto"/>
            <w:shd w:val="clear" w:color="auto" w:fill="E2EFD9"/>
            <w:tcMar>
              <w:top w:w="40" w:type="dxa"/>
              <w:left w:w="0" w:type="dxa"/>
              <w:bottom w:w="40" w:type="dxa"/>
              <w:right w:w="20" w:type="dxa"/>
            </w:tcMar>
            <w:vAlign w:val="bottom"/>
          </w:tcPr>
          <w:p w14:paraId="27E0766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68"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66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66A" w14:textId="77777777" w:rsidR="00A85061" w:rsidRDefault="00F04891">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27E0766B" w14:textId="77777777" w:rsidR="00A85061" w:rsidRDefault="00A85061">
            <w:pPr>
              <w:jc w:val="right"/>
              <w:rPr>
                <w:rFonts w:ascii="宋体"/>
              </w:rPr>
            </w:pPr>
          </w:p>
        </w:tc>
      </w:tr>
      <w:tr w:rsidR="00A85061" w14:paraId="27E07673" w14:textId="77777777">
        <w:trPr>
          <w:jc w:val="center"/>
        </w:trPr>
        <w:tc>
          <w:tcPr>
            <w:tcW w:w="0" w:type="auto"/>
            <w:gridSpan w:val="3"/>
            <w:shd w:val="clear" w:color="auto" w:fill="FFFFFF"/>
            <w:tcMar>
              <w:top w:w="40" w:type="dxa"/>
              <w:left w:w="245" w:type="dxa"/>
              <w:bottom w:w="40" w:type="dxa"/>
              <w:right w:w="20" w:type="dxa"/>
            </w:tcMar>
            <w:vAlign w:val="bottom"/>
          </w:tcPr>
          <w:p w14:paraId="27E0766D" w14:textId="77777777" w:rsidR="00A85061" w:rsidRDefault="00F04891">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27E0766E" w14:textId="77777777" w:rsidR="00A85061" w:rsidRDefault="00F04891">
            <w:pPr>
              <w:jc w:val="right"/>
              <w:textAlignment w:val="bottom"/>
            </w:pPr>
            <w:r>
              <w:rPr>
                <w:rFonts w:ascii="sans-serif" w:eastAsia="sans-serif" w:hAnsi="sans-serif" w:cs="sans-serif"/>
                <w:color w:val="000000"/>
                <w:sz w:val="20"/>
                <w:szCs w:val="20"/>
              </w:rPr>
              <w:t>11,689 </w:t>
            </w:r>
          </w:p>
        </w:tc>
        <w:tc>
          <w:tcPr>
            <w:tcW w:w="0" w:type="auto"/>
            <w:shd w:val="clear" w:color="auto" w:fill="FFFFFF"/>
            <w:tcMar>
              <w:top w:w="40" w:type="dxa"/>
              <w:left w:w="0" w:type="dxa"/>
              <w:bottom w:w="40" w:type="dxa"/>
              <w:right w:w="20" w:type="dxa"/>
            </w:tcMar>
            <w:vAlign w:val="bottom"/>
          </w:tcPr>
          <w:p w14:paraId="27E0766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7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71" w14:textId="77777777" w:rsidR="00A85061" w:rsidRDefault="00F04891">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27E07672" w14:textId="77777777" w:rsidR="00A85061" w:rsidRDefault="00A85061">
            <w:pPr>
              <w:jc w:val="right"/>
              <w:rPr>
                <w:rFonts w:ascii="宋体"/>
              </w:rPr>
            </w:pPr>
          </w:p>
        </w:tc>
      </w:tr>
      <w:tr w:rsidR="00A85061" w14:paraId="27E0767A" w14:textId="77777777">
        <w:trPr>
          <w:jc w:val="center"/>
        </w:trPr>
        <w:tc>
          <w:tcPr>
            <w:tcW w:w="0" w:type="auto"/>
            <w:gridSpan w:val="3"/>
            <w:shd w:val="clear" w:color="auto" w:fill="E2EFD9"/>
            <w:tcMar>
              <w:top w:w="40" w:type="dxa"/>
              <w:left w:w="245" w:type="dxa"/>
              <w:bottom w:w="40" w:type="dxa"/>
              <w:right w:w="20" w:type="dxa"/>
            </w:tcMar>
            <w:vAlign w:val="bottom"/>
          </w:tcPr>
          <w:p w14:paraId="27E07674" w14:textId="77777777" w:rsidR="00A85061" w:rsidRDefault="00F04891">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27E07675" w14:textId="77777777" w:rsidR="00A85061" w:rsidRDefault="00F04891">
            <w:pPr>
              <w:jc w:val="right"/>
              <w:textAlignment w:val="bottom"/>
            </w:pPr>
            <w:r>
              <w:rPr>
                <w:rFonts w:ascii="sans-serif" w:eastAsia="sans-serif" w:hAnsi="sans-serif" w:cs="sans-serif"/>
                <w:color w:val="000000"/>
                <w:sz w:val="20"/>
                <w:szCs w:val="20"/>
              </w:rPr>
              <w:t>3,024 </w:t>
            </w:r>
          </w:p>
        </w:tc>
        <w:tc>
          <w:tcPr>
            <w:tcW w:w="0" w:type="auto"/>
            <w:shd w:val="clear" w:color="auto" w:fill="E2EFD9"/>
            <w:tcMar>
              <w:top w:w="40" w:type="dxa"/>
              <w:left w:w="0" w:type="dxa"/>
              <w:bottom w:w="40" w:type="dxa"/>
              <w:right w:w="20" w:type="dxa"/>
            </w:tcMar>
            <w:vAlign w:val="bottom"/>
          </w:tcPr>
          <w:p w14:paraId="27E0767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7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78" w14:textId="77777777" w:rsidR="00A85061" w:rsidRDefault="00F04891">
            <w:pPr>
              <w:jc w:val="right"/>
              <w:textAlignment w:val="bottom"/>
            </w:pPr>
            <w:r>
              <w:rPr>
                <w:rFonts w:ascii="sans-serif" w:eastAsia="sans-serif" w:hAnsi="sans-serif" w:cs="sans-serif"/>
                <w:color w:val="000000"/>
                <w:sz w:val="20"/>
                <w:szCs w:val="20"/>
              </w:rPr>
              <w:t>2,429 </w:t>
            </w:r>
          </w:p>
        </w:tc>
        <w:tc>
          <w:tcPr>
            <w:tcW w:w="0" w:type="auto"/>
            <w:shd w:val="clear" w:color="auto" w:fill="E2EFD9"/>
            <w:tcMar>
              <w:top w:w="40" w:type="dxa"/>
              <w:left w:w="0" w:type="dxa"/>
              <w:bottom w:w="40" w:type="dxa"/>
              <w:right w:w="20" w:type="dxa"/>
            </w:tcMar>
            <w:vAlign w:val="bottom"/>
          </w:tcPr>
          <w:p w14:paraId="27E07679" w14:textId="77777777" w:rsidR="00A85061" w:rsidRDefault="00A85061">
            <w:pPr>
              <w:jc w:val="right"/>
              <w:rPr>
                <w:rFonts w:ascii="宋体"/>
              </w:rPr>
            </w:pPr>
          </w:p>
        </w:tc>
      </w:tr>
      <w:tr w:rsidR="00A85061" w14:paraId="27E07681" w14:textId="77777777">
        <w:trPr>
          <w:jc w:val="center"/>
        </w:trPr>
        <w:tc>
          <w:tcPr>
            <w:tcW w:w="0" w:type="auto"/>
            <w:gridSpan w:val="3"/>
            <w:shd w:val="clear" w:color="auto" w:fill="FFFFFF"/>
            <w:tcMar>
              <w:top w:w="40" w:type="dxa"/>
              <w:left w:w="245" w:type="dxa"/>
              <w:bottom w:w="40" w:type="dxa"/>
              <w:right w:w="20" w:type="dxa"/>
            </w:tcMar>
            <w:vAlign w:val="bottom"/>
          </w:tcPr>
          <w:p w14:paraId="27E0767B" w14:textId="77777777" w:rsidR="00A85061" w:rsidRDefault="00F04891">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27E0767C" w14:textId="77777777" w:rsidR="00A85061" w:rsidRDefault="00F04891">
            <w:pPr>
              <w:jc w:val="right"/>
              <w:textAlignment w:val="bottom"/>
            </w:pPr>
            <w:r>
              <w:rPr>
                <w:rFonts w:ascii="sans-serif" w:eastAsia="sans-serif" w:hAnsi="sans-serif" w:cs="sans-serif"/>
                <w:color w:val="000000"/>
                <w:sz w:val="20"/>
                <w:szCs w:val="20"/>
              </w:rPr>
              <w:t>1,992 </w:t>
            </w:r>
          </w:p>
        </w:tc>
        <w:tc>
          <w:tcPr>
            <w:tcW w:w="0" w:type="auto"/>
            <w:shd w:val="clear" w:color="auto" w:fill="FFFFFF"/>
            <w:tcMar>
              <w:top w:w="40" w:type="dxa"/>
              <w:left w:w="0" w:type="dxa"/>
              <w:bottom w:w="40" w:type="dxa"/>
              <w:right w:w="20" w:type="dxa"/>
            </w:tcMar>
            <w:vAlign w:val="bottom"/>
          </w:tcPr>
          <w:p w14:paraId="27E0767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7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7F" w14:textId="77777777" w:rsidR="00A85061" w:rsidRDefault="00F04891">
            <w:pPr>
              <w:jc w:val="right"/>
              <w:textAlignment w:val="bottom"/>
            </w:pPr>
            <w:r>
              <w:rPr>
                <w:rFonts w:ascii="sans-serif" w:eastAsia="sans-serif" w:hAnsi="sans-serif" w:cs="sans-serif"/>
                <w:color w:val="000000"/>
                <w:sz w:val="20"/>
                <w:szCs w:val="20"/>
              </w:rPr>
              <w:t>1,826 </w:t>
            </w:r>
          </w:p>
        </w:tc>
        <w:tc>
          <w:tcPr>
            <w:tcW w:w="0" w:type="auto"/>
            <w:shd w:val="clear" w:color="auto" w:fill="FFFFFF"/>
            <w:tcMar>
              <w:top w:w="40" w:type="dxa"/>
              <w:left w:w="0" w:type="dxa"/>
              <w:bottom w:w="40" w:type="dxa"/>
              <w:right w:w="20" w:type="dxa"/>
            </w:tcMar>
            <w:vAlign w:val="bottom"/>
          </w:tcPr>
          <w:p w14:paraId="27E07680" w14:textId="77777777" w:rsidR="00A85061" w:rsidRDefault="00A85061">
            <w:pPr>
              <w:jc w:val="right"/>
              <w:rPr>
                <w:rFonts w:ascii="宋体"/>
              </w:rPr>
            </w:pPr>
          </w:p>
        </w:tc>
      </w:tr>
      <w:tr w:rsidR="00A85061" w14:paraId="27E07688" w14:textId="77777777">
        <w:trPr>
          <w:jc w:val="center"/>
        </w:trPr>
        <w:tc>
          <w:tcPr>
            <w:tcW w:w="0" w:type="auto"/>
            <w:gridSpan w:val="3"/>
            <w:shd w:val="clear" w:color="auto" w:fill="E2EFD9"/>
            <w:tcMar>
              <w:top w:w="40" w:type="dxa"/>
              <w:left w:w="245" w:type="dxa"/>
              <w:bottom w:w="40" w:type="dxa"/>
              <w:right w:w="20" w:type="dxa"/>
            </w:tcMar>
            <w:vAlign w:val="bottom"/>
          </w:tcPr>
          <w:p w14:paraId="27E07682" w14:textId="77777777" w:rsidR="00A85061" w:rsidRDefault="00F04891">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27E07683" w14:textId="77777777" w:rsidR="00A85061" w:rsidRDefault="00F04891">
            <w:pPr>
              <w:jc w:val="right"/>
              <w:textAlignment w:val="bottom"/>
            </w:pPr>
            <w:r>
              <w:rPr>
                <w:rFonts w:ascii="sans-serif" w:eastAsia="sans-serif" w:hAnsi="sans-serif" w:cs="sans-serif"/>
                <w:color w:val="000000"/>
                <w:sz w:val="20"/>
                <w:szCs w:val="20"/>
              </w:rPr>
              <w:t>444 </w:t>
            </w:r>
          </w:p>
        </w:tc>
        <w:tc>
          <w:tcPr>
            <w:tcW w:w="0" w:type="auto"/>
            <w:shd w:val="clear" w:color="auto" w:fill="E2EFD9"/>
            <w:tcMar>
              <w:top w:w="40" w:type="dxa"/>
              <w:left w:w="0" w:type="dxa"/>
              <w:bottom w:w="40" w:type="dxa"/>
              <w:right w:w="20" w:type="dxa"/>
            </w:tcMar>
            <w:vAlign w:val="bottom"/>
          </w:tcPr>
          <w:p w14:paraId="27E0768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8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86" w14:textId="77777777" w:rsidR="00A85061" w:rsidRDefault="00F04891">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27E07687" w14:textId="77777777" w:rsidR="00A85061" w:rsidRDefault="00A85061">
            <w:pPr>
              <w:jc w:val="right"/>
              <w:rPr>
                <w:rFonts w:ascii="宋体"/>
              </w:rPr>
            </w:pPr>
          </w:p>
        </w:tc>
      </w:tr>
      <w:tr w:rsidR="00A85061" w14:paraId="27E0768F" w14:textId="77777777">
        <w:trPr>
          <w:jc w:val="center"/>
        </w:trPr>
        <w:tc>
          <w:tcPr>
            <w:tcW w:w="0" w:type="auto"/>
            <w:gridSpan w:val="3"/>
            <w:shd w:val="clear" w:color="auto" w:fill="FFFFFF"/>
            <w:tcMar>
              <w:top w:w="40" w:type="dxa"/>
              <w:left w:w="20" w:type="dxa"/>
              <w:bottom w:w="40" w:type="dxa"/>
              <w:right w:w="20" w:type="dxa"/>
            </w:tcMar>
            <w:vAlign w:val="bottom"/>
          </w:tcPr>
          <w:p w14:paraId="27E07689" w14:textId="77777777" w:rsidR="00A85061" w:rsidRDefault="00F04891">
            <w:pPr>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8A" w14:textId="77777777" w:rsidR="00A85061" w:rsidRDefault="00F04891">
            <w:pPr>
              <w:jc w:val="right"/>
              <w:textAlignment w:val="bottom"/>
            </w:pPr>
            <w:r>
              <w:rPr>
                <w:rFonts w:ascii="sans-serif" w:eastAsia="sans-serif" w:hAnsi="sans-serif" w:cs="sans-serif"/>
                <w:color w:val="000000"/>
                <w:sz w:val="20"/>
                <w:szCs w:val="20"/>
              </w:rPr>
              <w:t>18,127 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8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8C"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8D" w14:textId="77777777" w:rsidR="00A85061" w:rsidRDefault="00F04891">
            <w:pPr>
              <w:jc w:val="right"/>
              <w:textAlignment w:val="bottom"/>
            </w:pPr>
            <w:r>
              <w:rPr>
                <w:rFonts w:ascii="sans-serif" w:eastAsia="sans-serif" w:hAnsi="sans-serif" w:cs="sans-serif"/>
                <w:color w:val="000000"/>
                <w:sz w:val="20"/>
                <w:szCs w:val="20"/>
              </w:rPr>
              <w:t>16,055 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8E" w14:textId="77777777" w:rsidR="00A85061" w:rsidRDefault="00A85061">
            <w:pPr>
              <w:jc w:val="right"/>
              <w:rPr>
                <w:rFonts w:ascii="宋体"/>
              </w:rPr>
            </w:pPr>
          </w:p>
        </w:tc>
      </w:tr>
      <w:tr w:rsidR="00A85061" w14:paraId="27E07696" w14:textId="77777777">
        <w:trPr>
          <w:jc w:val="center"/>
        </w:trPr>
        <w:tc>
          <w:tcPr>
            <w:tcW w:w="0" w:type="auto"/>
            <w:gridSpan w:val="3"/>
            <w:shd w:val="clear" w:color="auto" w:fill="E2EFD9"/>
            <w:tcMar>
              <w:top w:w="40" w:type="dxa"/>
              <w:left w:w="20" w:type="dxa"/>
              <w:bottom w:w="40" w:type="dxa"/>
              <w:right w:w="20" w:type="dxa"/>
            </w:tcMar>
            <w:vAlign w:val="bottom"/>
          </w:tcPr>
          <w:p w14:paraId="27E07690" w14:textId="77777777" w:rsidR="00A85061" w:rsidRDefault="00F04891">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27E07691" w14:textId="77777777" w:rsidR="00A85061" w:rsidRDefault="00F04891">
            <w:pPr>
              <w:jc w:val="right"/>
              <w:textAlignment w:val="bottom"/>
            </w:pPr>
            <w:r>
              <w:rPr>
                <w:rFonts w:ascii="sans-serif" w:eastAsia="sans-serif" w:hAnsi="sans-serif" w:cs="sans-serif"/>
                <w:color w:val="000000"/>
                <w:sz w:val="20"/>
                <w:szCs w:val="20"/>
              </w:rPr>
              <w:t>2,268 </w:t>
            </w:r>
          </w:p>
        </w:tc>
        <w:tc>
          <w:tcPr>
            <w:tcW w:w="0" w:type="auto"/>
            <w:shd w:val="clear" w:color="auto" w:fill="E2EFD9"/>
            <w:tcMar>
              <w:top w:w="40" w:type="dxa"/>
              <w:left w:w="0" w:type="dxa"/>
              <w:bottom w:w="40" w:type="dxa"/>
              <w:right w:w="20" w:type="dxa"/>
            </w:tcMar>
            <w:vAlign w:val="bottom"/>
          </w:tcPr>
          <w:p w14:paraId="27E0769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9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94" w14:textId="77777777" w:rsidR="00A85061" w:rsidRDefault="00F04891">
            <w:pPr>
              <w:jc w:val="right"/>
              <w:textAlignment w:val="bottom"/>
            </w:pPr>
            <w:r>
              <w:rPr>
                <w:rFonts w:ascii="sans-serif" w:eastAsia="sans-serif" w:hAnsi="sans-serif" w:cs="sans-serif"/>
                <w:color w:val="000000"/>
                <w:sz w:val="20"/>
                <w:szCs w:val="20"/>
              </w:rPr>
              <w:t>2,149 </w:t>
            </w:r>
          </w:p>
        </w:tc>
        <w:tc>
          <w:tcPr>
            <w:tcW w:w="0" w:type="auto"/>
            <w:shd w:val="clear" w:color="auto" w:fill="E2EFD9"/>
            <w:tcMar>
              <w:top w:w="40" w:type="dxa"/>
              <w:left w:w="0" w:type="dxa"/>
              <w:bottom w:w="40" w:type="dxa"/>
              <w:right w:w="20" w:type="dxa"/>
            </w:tcMar>
            <w:vAlign w:val="bottom"/>
          </w:tcPr>
          <w:p w14:paraId="27E07695" w14:textId="77777777" w:rsidR="00A85061" w:rsidRDefault="00A85061">
            <w:pPr>
              <w:jc w:val="right"/>
              <w:rPr>
                <w:rFonts w:ascii="宋体"/>
              </w:rPr>
            </w:pPr>
          </w:p>
        </w:tc>
      </w:tr>
      <w:tr w:rsidR="00A85061" w14:paraId="27E0769D" w14:textId="77777777">
        <w:trPr>
          <w:jc w:val="center"/>
        </w:trPr>
        <w:tc>
          <w:tcPr>
            <w:tcW w:w="0" w:type="auto"/>
            <w:gridSpan w:val="3"/>
            <w:shd w:val="clear" w:color="auto" w:fill="FFFFFF"/>
            <w:tcMar>
              <w:top w:w="40" w:type="dxa"/>
              <w:left w:w="20" w:type="dxa"/>
              <w:bottom w:w="40" w:type="dxa"/>
              <w:right w:w="20" w:type="dxa"/>
            </w:tcMar>
            <w:vAlign w:val="bottom"/>
          </w:tcPr>
          <w:p w14:paraId="27E07697" w14:textId="77777777" w:rsidR="00A85061" w:rsidRDefault="00F04891">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27E07698" w14:textId="77777777" w:rsidR="00A85061" w:rsidRDefault="00F04891">
            <w:pPr>
              <w:jc w:val="right"/>
              <w:textAlignment w:val="bottom"/>
            </w:pPr>
            <w:r>
              <w:rPr>
                <w:rFonts w:ascii="sans-serif" w:eastAsia="sans-serif" w:hAnsi="sans-serif" w:cs="sans-serif"/>
                <w:color w:val="000000"/>
                <w:sz w:val="20"/>
                <w:szCs w:val="20"/>
              </w:rPr>
              <w:t>727 </w:t>
            </w:r>
          </w:p>
        </w:tc>
        <w:tc>
          <w:tcPr>
            <w:tcW w:w="0" w:type="auto"/>
            <w:shd w:val="clear" w:color="auto" w:fill="FFFFFF"/>
            <w:tcMar>
              <w:top w:w="40" w:type="dxa"/>
              <w:left w:w="0" w:type="dxa"/>
              <w:bottom w:w="40" w:type="dxa"/>
              <w:right w:w="20" w:type="dxa"/>
            </w:tcMar>
            <w:vAlign w:val="bottom"/>
          </w:tcPr>
          <w:p w14:paraId="27E0769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9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9B" w14:textId="77777777" w:rsidR="00A85061" w:rsidRDefault="00F04891">
            <w:pPr>
              <w:jc w:val="right"/>
              <w:textAlignment w:val="bottom"/>
            </w:pPr>
            <w:r>
              <w:rPr>
                <w:rFonts w:ascii="sans-serif" w:eastAsia="sans-serif" w:hAnsi="sans-serif" w:cs="sans-serif"/>
                <w:color w:val="000000"/>
                <w:sz w:val="20"/>
                <w:szCs w:val="20"/>
              </w:rPr>
              <w:t>707 </w:t>
            </w:r>
          </w:p>
        </w:tc>
        <w:tc>
          <w:tcPr>
            <w:tcW w:w="0" w:type="auto"/>
            <w:shd w:val="clear" w:color="auto" w:fill="FFFFFF"/>
            <w:tcMar>
              <w:top w:w="40" w:type="dxa"/>
              <w:left w:w="0" w:type="dxa"/>
              <w:bottom w:w="40" w:type="dxa"/>
              <w:right w:w="20" w:type="dxa"/>
            </w:tcMar>
            <w:vAlign w:val="bottom"/>
          </w:tcPr>
          <w:p w14:paraId="27E0769C" w14:textId="77777777" w:rsidR="00A85061" w:rsidRDefault="00A85061">
            <w:pPr>
              <w:jc w:val="right"/>
              <w:rPr>
                <w:rFonts w:ascii="宋体"/>
              </w:rPr>
            </w:pPr>
          </w:p>
        </w:tc>
      </w:tr>
      <w:tr w:rsidR="00A85061" w14:paraId="27E076A4" w14:textId="77777777">
        <w:trPr>
          <w:jc w:val="center"/>
        </w:trPr>
        <w:tc>
          <w:tcPr>
            <w:tcW w:w="0" w:type="auto"/>
            <w:gridSpan w:val="3"/>
            <w:shd w:val="clear" w:color="auto" w:fill="E2EFD9"/>
            <w:tcMar>
              <w:top w:w="40" w:type="dxa"/>
              <w:left w:w="20" w:type="dxa"/>
              <w:bottom w:w="40" w:type="dxa"/>
              <w:right w:w="20" w:type="dxa"/>
            </w:tcMar>
            <w:vAlign w:val="bottom"/>
          </w:tcPr>
          <w:p w14:paraId="27E0769E" w14:textId="77777777" w:rsidR="00A85061" w:rsidRDefault="00F04891">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27E0769F" w14:textId="77777777" w:rsidR="00A85061" w:rsidRDefault="00F04891">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27E076A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A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A2" w14:textId="77777777" w:rsidR="00A85061" w:rsidRDefault="00F04891">
            <w:pPr>
              <w:jc w:val="right"/>
              <w:textAlignment w:val="bottom"/>
            </w:pPr>
            <w:r>
              <w:rPr>
                <w:rFonts w:ascii="sans-serif" w:eastAsia="sans-serif" w:hAnsi="sans-serif" w:cs="sans-serif"/>
                <w:color w:val="000000"/>
                <w:sz w:val="20"/>
                <w:szCs w:val="20"/>
              </w:rPr>
              <w:t>4,193 </w:t>
            </w:r>
          </w:p>
        </w:tc>
        <w:tc>
          <w:tcPr>
            <w:tcW w:w="0" w:type="auto"/>
            <w:shd w:val="clear" w:color="auto" w:fill="E2EFD9"/>
            <w:tcMar>
              <w:top w:w="40" w:type="dxa"/>
              <w:left w:w="0" w:type="dxa"/>
              <w:bottom w:w="40" w:type="dxa"/>
              <w:right w:w="20" w:type="dxa"/>
            </w:tcMar>
            <w:vAlign w:val="bottom"/>
          </w:tcPr>
          <w:p w14:paraId="27E076A3" w14:textId="77777777" w:rsidR="00A85061" w:rsidRDefault="00A85061">
            <w:pPr>
              <w:jc w:val="right"/>
              <w:rPr>
                <w:rFonts w:ascii="宋体"/>
              </w:rPr>
            </w:pPr>
          </w:p>
        </w:tc>
      </w:tr>
      <w:tr w:rsidR="00A85061" w14:paraId="27E076AB" w14:textId="77777777">
        <w:trPr>
          <w:jc w:val="center"/>
        </w:trPr>
        <w:tc>
          <w:tcPr>
            <w:tcW w:w="0" w:type="auto"/>
            <w:gridSpan w:val="3"/>
            <w:shd w:val="clear" w:color="auto" w:fill="FFFFFF"/>
            <w:tcMar>
              <w:top w:w="40" w:type="dxa"/>
              <w:left w:w="20" w:type="dxa"/>
              <w:bottom w:w="40" w:type="dxa"/>
              <w:right w:w="20" w:type="dxa"/>
            </w:tcMar>
            <w:vAlign w:val="bottom"/>
          </w:tcPr>
          <w:p w14:paraId="27E076A5" w14:textId="77777777" w:rsidR="00A85061" w:rsidRDefault="00F04891">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27E076A6" w14:textId="77777777" w:rsidR="00A85061" w:rsidRDefault="00F04891">
            <w:pPr>
              <w:jc w:val="right"/>
              <w:textAlignment w:val="bottom"/>
            </w:pPr>
            <w:r>
              <w:rPr>
                <w:rFonts w:ascii="sans-serif" w:eastAsia="sans-serif" w:hAnsi="sans-serif" w:cs="sans-serif"/>
                <w:color w:val="000000"/>
                <w:sz w:val="20"/>
                <w:szCs w:val="20"/>
              </w:rPr>
              <w:t>2,613 </w:t>
            </w:r>
          </w:p>
        </w:tc>
        <w:tc>
          <w:tcPr>
            <w:tcW w:w="0" w:type="auto"/>
            <w:shd w:val="clear" w:color="auto" w:fill="FFFFFF"/>
            <w:tcMar>
              <w:top w:w="40" w:type="dxa"/>
              <w:left w:w="0" w:type="dxa"/>
              <w:bottom w:w="40" w:type="dxa"/>
              <w:right w:w="20" w:type="dxa"/>
            </w:tcMar>
            <w:vAlign w:val="bottom"/>
          </w:tcPr>
          <w:p w14:paraId="27E076A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A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A9" w14:textId="77777777" w:rsidR="00A85061" w:rsidRDefault="00F04891">
            <w:pPr>
              <w:jc w:val="right"/>
              <w:textAlignment w:val="bottom"/>
            </w:pPr>
            <w:r>
              <w:rPr>
                <w:rFonts w:ascii="sans-serif" w:eastAsia="sans-serif" w:hAnsi="sans-serif" w:cs="sans-serif"/>
                <w:color w:val="000000"/>
                <w:sz w:val="20"/>
                <w:szCs w:val="20"/>
              </w:rPr>
              <w:t>2,737 </w:t>
            </w:r>
          </w:p>
        </w:tc>
        <w:tc>
          <w:tcPr>
            <w:tcW w:w="0" w:type="auto"/>
            <w:shd w:val="clear" w:color="auto" w:fill="FFFFFF"/>
            <w:tcMar>
              <w:top w:w="40" w:type="dxa"/>
              <w:left w:w="0" w:type="dxa"/>
              <w:bottom w:w="40" w:type="dxa"/>
              <w:right w:w="20" w:type="dxa"/>
            </w:tcMar>
            <w:vAlign w:val="bottom"/>
          </w:tcPr>
          <w:p w14:paraId="27E076AA" w14:textId="77777777" w:rsidR="00A85061" w:rsidRDefault="00A85061">
            <w:pPr>
              <w:jc w:val="right"/>
              <w:rPr>
                <w:rFonts w:ascii="宋体"/>
              </w:rPr>
            </w:pPr>
          </w:p>
        </w:tc>
      </w:tr>
      <w:tr w:rsidR="00A85061" w14:paraId="27E076B2" w14:textId="77777777">
        <w:trPr>
          <w:jc w:val="center"/>
        </w:trPr>
        <w:tc>
          <w:tcPr>
            <w:tcW w:w="0" w:type="auto"/>
            <w:gridSpan w:val="3"/>
            <w:shd w:val="clear" w:color="auto" w:fill="E2EFD9"/>
            <w:tcMar>
              <w:top w:w="40" w:type="dxa"/>
              <w:left w:w="20" w:type="dxa"/>
              <w:bottom w:w="40" w:type="dxa"/>
              <w:right w:w="20" w:type="dxa"/>
            </w:tcMar>
            <w:vAlign w:val="bottom"/>
          </w:tcPr>
          <w:p w14:paraId="27E076AC" w14:textId="77777777" w:rsidR="00A85061" w:rsidRDefault="00F04891">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27E076AD" w14:textId="77777777" w:rsidR="00A85061" w:rsidRDefault="00F04891">
            <w:pPr>
              <w:jc w:val="right"/>
              <w:textAlignment w:val="bottom"/>
            </w:pPr>
            <w:r>
              <w:rPr>
                <w:rFonts w:ascii="sans-serif" w:eastAsia="sans-serif" w:hAnsi="sans-serif" w:cs="sans-serif"/>
                <w:color w:val="000000"/>
                <w:sz w:val="20"/>
                <w:szCs w:val="20"/>
              </w:rPr>
              <w:t>778 </w:t>
            </w:r>
          </w:p>
        </w:tc>
        <w:tc>
          <w:tcPr>
            <w:tcW w:w="0" w:type="auto"/>
            <w:shd w:val="clear" w:color="auto" w:fill="E2EFD9"/>
            <w:tcMar>
              <w:top w:w="40" w:type="dxa"/>
              <w:left w:w="0" w:type="dxa"/>
              <w:bottom w:w="40" w:type="dxa"/>
              <w:right w:w="20" w:type="dxa"/>
            </w:tcMar>
            <w:vAlign w:val="bottom"/>
          </w:tcPr>
          <w:p w14:paraId="27E076A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A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B0" w14:textId="77777777" w:rsidR="00A85061" w:rsidRDefault="00F04891">
            <w:pPr>
              <w:jc w:val="right"/>
              <w:textAlignment w:val="bottom"/>
            </w:pPr>
            <w:r>
              <w:rPr>
                <w:rFonts w:ascii="sans-serif" w:eastAsia="sans-serif" w:hAnsi="sans-serif" w:cs="sans-serif"/>
                <w:color w:val="000000"/>
                <w:sz w:val="20"/>
                <w:szCs w:val="20"/>
              </w:rPr>
              <w:t>806 </w:t>
            </w:r>
          </w:p>
        </w:tc>
        <w:tc>
          <w:tcPr>
            <w:tcW w:w="0" w:type="auto"/>
            <w:shd w:val="clear" w:color="auto" w:fill="E2EFD9"/>
            <w:tcMar>
              <w:top w:w="40" w:type="dxa"/>
              <w:left w:w="0" w:type="dxa"/>
              <w:bottom w:w="40" w:type="dxa"/>
              <w:right w:w="20" w:type="dxa"/>
            </w:tcMar>
            <w:vAlign w:val="bottom"/>
          </w:tcPr>
          <w:p w14:paraId="27E076B1" w14:textId="77777777" w:rsidR="00A85061" w:rsidRDefault="00A85061">
            <w:pPr>
              <w:jc w:val="right"/>
              <w:rPr>
                <w:rFonts w:ascii="宋体"/>
              </w:rPr>
            </w:pPr>
          </w:p>
        </w:tc>
      </w:tr>
      <w:tr w:rsidR="00A85061" w14:paraId="27E076B9" w14:textId="77777777">
        <w:trPr>
          <w:jc w:val="center"/>
        </w:trPr>
        <w:tc>
          <w:tcPr>
            <w:tcW w:w="0" w:type="auto"/>
            <w:gridSpan w:val="3"/>
            <w:shd w:val="clear" w:color="auto" w:fill="FFFFFF"/>
            <w:tcMar>
              <w:top w:w="40" w:type="dxa"/>
              <w:left w:w="20" w:type="dxa"/>
              <w:bottom w:w="40" w:type="dxa"/>
              <w:right w:w="20" w:type="dxa"/>
            </w:tcMar>
            <w:vAlign w:val="bottom"/>
          </w:tcPr>
          <w:p w14:paraId="27E076B3" w14:textId="77777777" w:rsidR="00A85061" w:rsidRDefault="00F04891">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27E076B4" w14:textId="77777777" w:rsidR="00A85061" w:rsidRDefault="00F04891">
            <w:pPr>
              <w:jc w:val="right"/>
              <w:textAlignment w:val="bottom"/>
            </w:pPr>
            <w:r>
              <w:rPr>
                <w:rFonts w:ascii="sans-serif" w:eastAsia="sans-serif" w:hAnsi="sans-serif" w:cs="sans-serif"/>
                <w:color w:val="000000"/>
                <w:sz w:val="20"/>
                <w:szCs w:val="20"/>
              </w:rPr>
              <w:t>2,090 </w:t>
            </w:r>
          </w:p>
        </w:tc>
        <w:tc>
          <w:tcPr>
            <w:tcW w:w="0" w:type="auto"/>
            <w:shd w:val="clear" w:color="auto" w:fill="FFFFFF"/>
            <w:tcMar>
              <w:top w:w="40" w:type="dxa"/>
              <w:left w:w="0" w:type="dxa"/>
              <w:bottom w:w="40" w:type="dxa"/>
              <w:right w:w="20" w:type="dxa"/>
            </w:tcMar>
            <w:vAlign w:val="bottom"/>
          </w:tcPr>
          <w:p w14:paraId="27E076B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B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B7" w14:textId="77777777" w:rsidR="00A85061" w:rsidRDefault="00F04891">
            <w:pPr>
              <w:jc w:val="right"/>
              <w:textAlignment w:val="bottom"/>
            </w:pPr>
            <w:r>
              <w:rPr>
                <w:rFonts w:ascii="sans-serif" w:eastAsia="sans-serif" w:hAnsi="sans-serif" w:cs="sans-serif"/>
                <w:color w:val="000000"/>
                <w:sz w:val="20"/>
                <w:szCs w:val="20"/>
              </w:rPr>
              <w:t>2,144 </w:t>
            </w:r>
          </w:p>
        </w:tc>
        <w:tc>
          <w:tcPr>
            <w:tcW w:w="0" w:type="auto"/>
            <w:shd w:val="clear" w:color="auto" w:fill="FFFFFF"/>
            <w:tcMar>
              <w:top w:w="40" w:type="dxa"/>
              <w:left w:w="0" w:type="dxa"/>
              <w:bottom w:w="40" w:type="dxa"/>
              <w:right w:w="20" w:type="dxa"/>
            </w:tcMar>
            <w:vAlign w:val="bottom"/>
          </w:tcPr>
          <w:p w14:paraId="27E076B8" w14:textId="77777777" w:rsidR="00A85061" w:rsidRDefault="00A85061">
            <w:pPr>
              <w:jc w:val="right"/>
              <w:rPr>
                <w:rFonts w:ascii="宋体"/>
              </w:rPr>
            </w:pPr>
          </w:p>
        </w:tc>
      </w:tr>
      <w:tr w:rsidR="00A85061" w14:paraId="27E076C2" w14:textId="77777777">
        <w:trPr>
          <w:jc w:val="center"/>
        </w:trPr>
        <w:tc>
          <w:tcPr>
            <w:tcW w:w="0" w:type="auto"/>
            <w:gridSpan w:val="3"/>
            <w:shd w:val="clear" w:color="auto" w:fill="E2EFD9"/>
            <w:tcMar>
              <w:top w:w="40" w:type="dxa"/>
              <w:left w:w="20" w:type="dxa"/>
              <w:bottom w:w="40" w:type="dxa"/>
              <w:right w:w="20" w:type="dxa"/>
            </w:tcMar>
            <w:vAlign w:val="bottom"/>
          </w:tcPr>
          <w:p w14:paraId="27E076BA" w14:textId="77777777" w:rsidR="00A85061" w:rsidRDefault="00F04891">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27E076BB"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6BC" w14:textId="77777777" w:rsidR="00A85061" w:rsidRDefault="00F04891">
            <w:pPr>
              <w:jc w:val="right"/>
              <w:textAlignment w:val="bottom"/>
            </w:pPr>
            <w:r>
              <w:rPr>
                <w:rFonts w:ascii="sans-serif" w:eastAsia="sans-serif" w:hAnsi="sans-serif" w:cs="sans-serif"/>
                <w:color w:val="000000"/>
                <w:sz w:val="20"/>
                <w:szCs w:val="20"/>
              </w:rPr>
              <w:t>30,796 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6B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BE"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6BF"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6C0" w14:textId="77777777" w:rsidR="00A85061" w:rsidRDefault="00F04891">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6C1" w14:textId="77777777" w:rsidR="00A85061" w:rsidRDefault="00A85061">
            <w:pPr>
              <w:jc w:val="right"/>
              <w:rPr>
                <w:rFonts w:ascii="宋体"/>
              </w:rPr>
            </w:pPr>
          </w:p>
        </w:tc>
      </w:tr>
      <w:tr w:rsidR="00A85061" w14:paraId="27E076C7" w14:textId="77777777">
        <w:trPr>
          <w:trHeight w:val="300"/>
          <w:jc w:val="center"/>
        </w:trPr>
        <w:tc>
          <w:tcPr>
            <w:tcW w:w="0" w:type="auto"/>
            <w:gridSpan w:val="3"/>
            <w:shd w:val="clear" w:color="auto" w:fill="FFFFFF"/>
            <w:tcMar>
              <w:top w:w="0" w:type="dxa"/>
              <w:left w:w="20" w:type="dxa"/>
              <w:bottom w:w="0" w:type="dxa"/>
              <w:right w:w="20" w:type="dxa"/>
            </w:tcMar>
            <w:vAlign w:val="bottom"/>
          </w:tcPr>
          <w:p w14:paraId="27E076C3"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6C4"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6C5" w14:textId="77777777" w:rsidR="00A85061" w:rsidRDefault="00A8506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27E076C6" w14:textId="77777777" w:rsidR="00A85061" w:rsidRDefault="00A85061">
            <w:pPr>
              <w:rPr>
                <w:rFonts w:ascii="宋体"/>
              </w:rPr>
            </w:pPr>
          </w:p>
        </w:tc>
      </w:tr>
      <w:tr w:rsidR="00A85061" w14:paraId="27E076CC" w14:textId="77777777">
        <w:trPr>
          <w:jc w:val="center"/>
        </w:trPr>
        <w:tc>
          <w:tcPr>
            <w:tcW w:w="0" w:type="auto"/>
            <w:gridSpan w:val="3"/>
            <w:shd w:val="clear" w:color="auto" w:fill="E2EFD9"/>
            <w:tcMar>
              <w:top w:w="40" w:type="dxa"/>
              <w:left w:w="20" w:type="dxa"/>
              <w:bottom w:w="40" w:type="dxa"/>
              <w:right w:w="20" w:type="dxa"/>
            </w:tcMar>
            <w:vAlign w:val="bottom"/>
          </w:tcPr>
          <w:p w14:paraId="27E076C8" w14:textId="77777777" w:rsidR="00A85061" w:rsidRDefault="00F04891">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27E076C9"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76CA"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76CB" w14:textId="77777777" w:rsidR="00A85061" w:rsidRDefault="00F04891">
            <w:pPr>
              <w:textAlignment w:val="bottom"/>
            </w:pPr>
            <w:r>
              <w:rPr>
                <w:rFonts w:ascii="sans-serif" w:eastAsia="sans-serif" w:hAnsi="sans-serif" w:cs="sans-serif"/>
                <w:color w:val="000000"/>
                <w:sz w:val="20"/>
                <w:szCs w:val="20"/>
              </w:rPr>
              <w:t> </w:t>
            </w:r>
          </w:p>
        </w:tc>
      </w:tr>
      <w:tr w:rsidR="00A85061" w14:paraId="27E076D1" w14:textId="77777777">
        <w:trPr>
          <w:jc w:val="center"/>
        </w:trPr>
        <w:tc>
          <w:tcPr>
            <w:tcW w:w="0" w:type="auto"/>
            <w:gridSpan w:val="3"/>
            <w:shd w:val="clear" w:color="auto" w:fill="FFFFFF"/>
            <w:tcMar>
              <w:top w:w="40" w:type="dxa"/>
              <w:left w:w="20" w:type="dxa"/>
              <w:bottom w:w="40" w:type="dxa"/>
              <w:right w:w="20" w:type="dxa"/>
            </w:tcMar>
            <w:vAlign w:val="bottom"/>
          </w:tcPr>
          <w:p w14:paraId="27E076CD" w14:textId="77777777" w:rsidR="00A85061" w:rsidRDefault="00F04891">
            <w:pPr>
              <w:textAlignment w:val="bottom"/>
            </w:pPr>
            <w:r>
              <w:rPr>
                <w:rFonts w:ascii="sans-serif" w:eastAsia="sans-serif" w:hAnsi="sans-serif" w:cs="sans-serif"/>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27E076CE"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27E076CF"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6D0" w14:textId="77777777" w:rsidR="00A85061" w:rsidRDefault="00F04891">
            <w:pPr>
              <w:textAlignment w:val="bottom"/>
            </w:pPr>
            <w:r>
              <w:rPr>
                <w:rFonts w:ascii="sans-serif" w:eastAsia="sans-serif" w:hAnsi="sans-serif" w:cs="sans-serif"/>
                <w:color w:val="000000"/>
                <w:sz w:val="20"/>
                <w:szCs w:val="20"/>
              </w:rPr>
              <w:t> </w:t>
            </w:r>
          </w:p>
        </w:tc>
      </w:tr>
      <w:tr w:rsidR="00A85061" w14:paraId="27E076DA" w14:textId="77777777">
        <w:trPr>
          <w:jc w:val="center"/>
        </w:trPr>
        <w:tc>
          <w:tcPr>
            <w:tcW w:w="0" w:type="auto"/>
            <w:gridSpan w:val="3"/>
            <w:shd w:val="clear" w:color="auto" w:fill="E2EFD9"/>
            <w:tcMar>
              <w:top w:w="40" w:type="dxa"/>
              <w:left w:w="245" w:type="dxa"/>
              <w:bottom w:w="40" w:type="dxa"/>
              <w:right w:w="20" w:type="dxa"/>
            </w:tcMar>
            <w:vAlign w:val="bottom"/>
          </w:tcPr>
          <w:p w14:paraId="27E076D2" w14:textId="77777777" w:rsidR="00A85061" w:rsidRDefault="00F04891">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27E076D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6D4" w14:textId="77777777" w:rsidR="00A85061" w:rsidRDefault="00F04891">
            <w:pPr>
              <w:jc w:val="right"/>
              <w:textAlignment w:val="bottom"/>
            </w:pPr>
            <w:r>
              <w:rPr>
                <w:rFonts w:ascii="sans-serif" w:eastAsia="sans-serif" w:hAnsi="sans-serif" w:cs="sans-serif"/>
                <w:color w:val="000000"/>
                <w:sz w:val="20"/>
                <w:szCs w:val="20"/>
              </w:rPr>
              <w:t>1,218 </w:t>
            </w:r>
          </w:p>
        </w:tc>
        <w:tc>
          <w:tcPr>
            <w:tcW w:w="0" w:type="auto"/>
            <w:shd w:val="clear" w:color="auto" w:fill="E2EFD9"/>
            <w:tcMar>
              <w:top w:w="40" w:type="dxa"/>
              <w:left w:w="0" w:type="dxa"/>
              <w:bottom w:w="40" w:type="dxa"/>
              <w:right w:w="20" w:type="dxa"/>
            </w:tcMar>
            <w:vAlign w:val="bottom"/>
          </w:tcPr>
          <w:p w14:paraId="27E076D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D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6D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6D8" w14:textId="77777777" w:rsidR="00A85061" w:rsidRDefault="00F04891">
            <w:pPr>
              <w:jc w:val="right"/>
              <w:textAlignment w:val="bottom"/>
            </w:pPr>
            <w:r>
              <w:rPr>
                <w:rFonts w:ascii="sans-serif" w:eastAsia="sans-serif" w:hAnsi="sans-serif" w:cs="sans-serif"/>
                <w:color w:val="000000"/>
                <w:sz w:val="20"/>
                <w:szCs w:val="20"/>
              </w:rPr>
              <w:t>1,201 </w:t>
            </w:r>
          </w:p>
        </w:tc>
        <w:tc>
          <w:tcPr>
            <w:tcW w:w="0" w:type="auto"/>
            <w:shd w:val="clear" w:color="auto" w:fill="E2EFD9"/>
            <w:tcMar>
              <w:top w:w="40" w:type="dxa"/>
              <w:left w:w="0" w:type="dxa"/>
              <w:bottom w:w="40" w:type="dxa"/>
              <w:right w:w="20" w:type="dxa"/>
            </w:tcMar>
            <w:vAlign w:val="bottom"/>
          </w:tcPr>
          <w:p w14:paraId="27E076D9" w14:textId="77777777" w:rsidR="00A85061" w:rsidRDefault="00A85061">
            <w:pPr>
              <w:jc w:val="right"/>
              <w:rPr>
                <w:rFonts w:ascii="宋体"/>
              </w:rPr>
            </w:pPr>
          </w:p>
        </w:tc>
      </w:tr>
      <w:tr w:rsidR="00A85061" w14:paraId="27E076E1" w14:textId="77777777">
        <w:trPr>
          <w:jc w:val="center"/>
        </w:trPr>
        <w:tc>
          <w:tcPr>
            <w:tcW w:w="0" w:type="auto"/>
            <w:gridSpan w:val="3"/>
            <w:shd w:val="clear" w:color="auto" w:fill="FFFFFF"/>
            <w:tcMar>
              <w:top w:w="40" w:type="dxa"/>
              <w:left w:w="245" w:type="dxa"/>
              <w:bottom w:w="40" w:type="dxa"/>
              <w:right w:w="20" w:type="dxa"/>
            </w:tcMar>
            <w:vAlign w:val="bottom"/>
          </w:tcPr>
          <w:p w14:paraId="27E076DB" w14:textId="77777777" w:rsidR="00A85061" w:rsidRDefault="00F04891">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27E076DC" w14:textId="77777777" w:rsidR="00A85061" w:rsidRDefault="00F04891">
            <w:pPr>
              <w:jc w:val="right"/>
              <w:textAlignment w:val="bottom"/>
            </w:pPr>
            <w:r>
              <w:rPr>
                <w:rFonts w:ascii="sans-serif" w:eastAsia="sans-serif" w:hAnsi="sans-serif" w:cs="sans-serif"/>
                <w:color w:val="000000"/>
                <w:sz w:val="20"/>
                <w:szCs w:val="20"/>
              </w:rPr>
              <w:t>1,787 </w:t>
            </w:r>
          </w:p>
        </w:tc>
        <w:tc>
          <w:tcPr>
            <w:tcW w:w="0" w:type="auto"/>
            <w:shd w:val="clear" w:color="auto" w:fill="FFFFFF"/>
            <w:tcMar>
              <w:top w:w="40" w:type="dxa"/>
              <w:left w:w="0" w:type="dxa"/>
              <w:bottom w:w="40" w:type="dxa"/>
              <w:right w:w="20" w:type="dxa"/>
            </w:tcMar>
            <w:vAlign w:val="bottom"/>
          </w:tcPr>
          <w:p w14:paraId="27E076D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D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DF" w14:textId="77777777" w:rsidR="00A85061" w:rsidRDefault="00F04891">
            <w:pPr>
              <w:jc w:val="right"/>
              <w:textAlignment w:val="bottom"/>
            </w:pPr>
            <w:r>
              <w:rPr>
                <w:rFonts w:ascii="sans-serif" w:eastAsia="sans-serif" w:hAnsi="sans-serif" w:cs="sans-serif"/>
                <w:color w:val="000000"/>
                <w:sz w:val="20"/>
                <w:szCs w:val="20"/>
              </w:rPr>
              <w:t>1,725 </w:t>
            </w:r>
          </w:p>
        </w:tc>
        <w:tc>
          <w:tcPr>
            <w:tcW w:w="0" w:type="auto"/>
            <w:shd w:val="clear" w:color="auto" w:fill="FFFFFF"/>
            <w:tcMar>
              <w:top w:w="40" w:type="dxa"/>
              <w:left w:w="0" w:type="dxa"/>
              <w:bottom w:w="40" w:type="dxa"/>
              <w:right w:w="20" w:type="dxa"/>
            </w:tcMar>
            <w:vAlign w:val="bottom"/>
          </w:tcPr>
          <w:p w14:paraId="27E076E0" w14:textId="77777777" w:rsidR="00A85061" w:rsidRDefault="00A85061">
            <w:pPr>
              <w:jc w:val="right"/>
              <w:rPr>
                <w:rFonts w:ascii="宋体"/>
              </w:rPr>
            </w:pPr>
          </w:p>
        </w:tc>
      </w:tr>
      <w:tr w:rsidR="00A85061" w14:paraId="27E076E8" w14:textId="77777777">
        <w:trPr>
          <w:jc w:val="center"/>
        </w:trPr>
        <w:tc>
          <w:tcPr>
            <w:tcW w:w="0" w:type="auto"/>
            <w:gridSpan w:val="3"/>
            <w:shd w:val="clear" w:color="auto" w:fill="E2EFD9"/>
            <w:tcMar>
              <w:top w:w="40" w:type="dxa"/>
              <w:left w:w="245" w:type="dxa"/>
              <w:bottom w:w="40" w:type="dxa"/>
              <w:right w:w="20" w:type="dxa"/>
            </w:tcMar>
            <w:vAlign w:val="bottom"/>
          </w:tcPr>
          <w:p w14:paraId="27E076E2" w14:textId="77777777" w:rsidR="00A85061" w:rsidRDefault="00F04891">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27E076E3" w14:textId="77777777" w:rsidR="00A85061" w:rsidRDefault="00F04891">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27E076E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E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E6" w14:textId="77777777" w:rsidR="00A85061" w:rsidRDefault="00F04891">
            <w:pPr>
              <w:jc w:val="right"/>
              <w:textAlignment w:val="bottom"/>
            </w:pPr>
            <w:r>
              <w:rPr>
                <w:rFonts w:ascii="sans-serif" w:eastAsia="sans-serif" w:hAnsi="sans-serif" w:cs="sans-serif"/>
                <w:color w:val="000000"/>
                <w:sz w:val="20"/>
                <w:szCs w:val="20"/>
              </w:rPr>
              <w:t>999 </w:t>
            </w:r>
          </w:p>
        </w:tc>
        <w:tc>
          <w:tcPr>
            <w:tcW w:w="0" w:type="auto"/>
            <w:shd w:val="clear" w:color="auto" w:fill="E2EFD9"/>
            <w:tcMar>
              <w:top w:w="40" w:type="dxa"/>
              <w:left w:w="0" w:type="dxa"/>
              <w:bottom w:w="40" w:type="dxa"/>
              <w:right w:w="20" w:type="dxa"/>
            </w:tcMar>
            <w:vAlign w:val="bottom"/>
          </w:tcPr>
          <w:p w14:paraId="27E076E7" w14:textId="77777777" w:rsidR="00A85061" w:rsidRDefault="00A85061">
            <w:pPr>
              <w:jc w:val="right"/>
              <w:rPr>
                <w:rFonts w:ascii="宋体"/>
              </w:rPr>
            </w:pPr>
          </w:p>
        </w:tc>
      </w:tr>
      <w:tr w:rsidR="00A85061" w14:paraId="27E076EF" w14:textId="77777777">
        <w:trPr>
          <w:jc w:val="center"/>
        </w:trPr>
        <w:tc>
          <w:tcPr>
            <w:tcW w:w="0" w:type="auto"/>
            <w:gridSpan w:val="3"/>
            <w:shd w:val="clear" w:color="auto" w:fill="FFFFFF"/>
            <w:tcMar>
              <w:top w:w="40" w:type="dxa"/>
              <w:left w:w="20" w:type="dxa"/>
              <w:bottom w:w="40" w:type="dxa"/>
              <w:right w:w="20" w:type="dxa"/>
            </w:tcMar>
            <w:vAlign w:val="bottom"/>
          </w:tcPr>
          <w:p w14:paraId="27E076E9" w14:textId="77777777" w:rsidR="00A85061" w:rsidRDefault="00F04891">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EA" w14:textId="77777777" w:rsidR="00A85061" w:rsidRDefault="00F04891">
            <w:pPr>
              <w:jc w:val="right"/>
              <w:textAlignment w:val="bottom"/>
            </w:pPr>
            <w:r>
              <w:rPr>
                <w:rFonts w:ascii="sans-serif" w:eastAsia="sans-serif" w:hAnsi="sans-serif" w:cs="sans-serif"/>
                <w:color w:val="000000"/>
                <w:sz w:val="20"/>
                <w:szCs w:val="20"/>
              </w:rPr>
              <w:t>4,004 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E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EC"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6ED" w14:textId="77777777" w:rsidR="00A85061" w:rsidRDefault="00F04891">
            <w:pPr>
              <w:jc w:val="right"/>
              <w:textAlignment w:val="bottom"/>
            </w:pPr>
            <w:r>
              <w:rPr>
                <w:rFonts w:ascii="sans-serif" w:eastAsia="sans-serif" w:hAnsi="sans-serif" w:cs="sans-serif"/>
                <w:color w:val="000000"/>
                <w:sz w:val="20"/>
                <w:szCs w:val="20"/>
              </w:rPr>
              <w:t>3,925 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6EE" w14:textId="77777777" w:rsidR="00A85061" w:rsidRDefault="00A85061">
            <w:pPr>
              <w:jc w:val="right"/>
              <w:rPr>
                <w:rFonts w:ascii="宋体"/>
              </w:rPr>
            </w:pPr>
          </w:p>
        </w:tc>
      </w:tr>
      <w:tr w:rsidR="00A85061" w14:paraId="27E076F6" w14:textId="77777777">
        <w:trPr>
          <w:jc w:val="center"/>
        </w:trPr>
        <w:tc>
          <w:tcPr>
            <w:tcW w:w="0" w:type="auto"/>
            <w:gridSpan w:val="3"/>
            <w:shd w:val="clear" w:color="auto" w:fill="E2EFD9"/>
            <w:tcMar>
              <w:top w:w="40" w:type="dxa"/>
              <w:left w:w="20" w:type="dxa"/>
              <w:bottom w:w="40" w:type="dxa"/>
              <w:right w:w="20" w:type="dxa"/>
            </w:tcMar>
            <w:vAlign w:val="bottom"/>
          </w:tcPr>
          <w:p w14:paraId="27E076F0" w14:textId="77777777" w:rsidR="00A85061" w:rsidRDefault="00F04891">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27E076F1" w14:textId="77777777" w:rsidR="00A85061" w:rsidRDefault="00F04891">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27E076F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6F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6F4" w14:textId="77777777" w:rsidR="00A85061" w:rsidRDefault="00F04891">
            <w:pPr>
              <w:jc w:val="right"/>
              <w:textAlignment w:val="bottom"/>
            </w:pPr>
            <w:r>
              <w:rPr>
                <w:rFonts w:ascii="sans-serif" w:eastAsia="sans-serif" w:hAnsi="sans-serif" w:cs="sans-serif"/>
                <w:color w:val="000000"/>
                <w:sz w:val="20"/>
                <w:szCs w:val="20"/>
              </w:rPr>
              <w:t>5,964 </w:t>
            </w:r>
          </w:p>
        </w:tc>
        <w:tc>
          <w:tcPr>
            <w:tcW w:w="0" w:type="auto"/>
            <w:shd w:val="clear" w:color="auto" w:fill="E2EFD9"/>
            <w:tcMar>
              <w:top w:w="40" w:type="dxa"/>
              <w:left w:w="0" w:type="dxa"/>
              <w:bottom w:w="40" w:type="dxa"/>
              <w:right w:w="20" w:type="dxa"/>
            </w:tcMar>
            <w:vAlign w:val="bottom"/>
          </w:tcPr>
          <w:p w14:paraId="27E076F5" w14:textId="77777777" w:rsidR="00A85061" w:rsidRDefault="00A85061">
            <w:pPr>
              <w:jc w:val="right"/>
              <w:rPr>
                <w:rFonts w:ascii="宋体"/>
              </w:rPr>
            </w:pPr>
          </w:p>
        </w:tc>
      </w:tr>
      <w:tr w:rsidR="00A85061" w14:paraId="27E076FD" w14:textId="77777777">
        <w:trPr>
          <w:jc w:val="center"/>
        </w:trPr>
        <w:tc>
          <w:tcPr>
            <w:tcW w:w="0" w:type="auto"/>
            <w:gridSpan w:val="3"/>
            <w:shd w:val="clear" w:color="auto" w:fill="FFFFFF"/>
            <w:tcMar>
              <w:top w:w="40" w:type="dxa"/>
              <w:left w:w="20" w:type="dxa"/>
              <w:bottom w:w="40" w:type="dxa"/>
              <w:right w:w="20" w:type="dxa"/>
            </w:tcMar>
            <w:vAlign w:val="bottom"/>
          </w:tcPr>
          <w:p w14:paraId="27E076F7" w14:textId="77777777" w:rsidR="00A85061" w:rsidRDefault="00F04891">
            <w:pPr>
              <w:textAlignment w:val="bottom"/>
            </w:pPr>
            <w:r>
              <w:rPr>
                <w:rFonts w:ascii="sans-serif" w:eastAsia="sans-serif" w:hAnsi="sans-serif" w:cs="sans-serif"/>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27E076F8" w14:textId="77777777" w:rsidR="00A85061" w:rsidRDefault="00F04891">
            <w:pPr>
              <w:jc w:val="right"/>
              <w:textAlignment w:val="bottom"/>
            </w:pPr>
            <w:r>
              <w:rPr>
                <w:rFonts w:ascii="sans-serif" w:eastAsia="sans-serif" w:hAnsi="sans-serif" w:cs="sans-serif"/>
                <w:color w:val="000000"/>
                <w:sz w:val="20"/>
                <w:szCs w:val="20"/>
              </w:rPr>
              <w:t>640 </w:t>
            </w:r>
          </w:p>
        </w:tc>
        <w:tc>
          <w:tcPr>
            <w:tcW w:w="0" w:type="auto"/>
            <w:shd w:val="clear" w:color="auto" w:fill="FFFFFF"/>
            <w:tcMar>
              <w:top w:w="40" w:type="dxa"/>
              <w:left w:w="0" w:type="dxa"/>
              <w:bottom w:w="40" w:type="dxa"/>
              <w:right w:w="20" w:type="dxa"/>
            </w:tcMar>
            <w:vAlign w:val="bottom"/>
          </w:tcPr>
          <w:p w14:paraId="27E076F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6F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6FB" w14:textId="77777777" w:rsidR="00A85061" w:rsidRDefault="00F04891">
            <w:pPr>
              <w:jc w:val="right"/>
              <w:textAlignment w:val="bottom"/>
            </w:pPr>
            <w:r>
              <w:rPr>
                <w:rFonts w:ascii="sans-serif" w:eastAsia="sans-serif" w:hAnsi="sans-serif" w:cs="sans-serif"/>
                <w:color w:val="000000"/>
                <w:sz w:val="20"/>
                <w:szCs w:val="20"/>
              </w:rPr>
              <w:t>634 </w:t>
            </w:r>
          </w:p>
        </w:tc>
        <w:tc>
          <w:tcPr>
            <w:tcW w:w="0" w:type="auto"/>
            <w:shd w:val="clear" w:color="auto" w:fill="FFFFFF"/>
            <w:tcMar>
              <w:top w:w="40" w:type="dxa"/>
              <w:left w:w="0" w:type="dxa"/>
              <w:bottom w:w="40" w:type="dxa"/>
              <w:right w:w="20" w:type="dxa"/>
            </w:tcMar>
            <w:vAlign w:val="bottom"/>
          </w:tcPr>
          <w:p w14:paraId="27E076FC" w14:textId="77777777" w:rsidR="00A85061" w:rsidRDefault="00A85061">
            <w:pPr>
              <w:jc w:val="right"/>
              <w:rPr>
                <w:rFonts w:ascii="宋体"/>
              </w:rPr>
            </w:pPr>
          </w:p>
        </w:tc>
      </w:tr>
      <w:tr w:rsidR="00A85061" w14:paraId="27E07704" w14:textId="77777777">
        <w:trPr>
          <w:jc w:val="center"/>
        </w:trPr>
        <w:tc>
          <w:tcPr>
            <w:tcW w:w="0" w:type="auto"/>
            <w:gridSpan w:val="3"/>
            <w:shd w:val="clear" w:color="auto" w:fill="E2EFD9"/>
            <w:tcMar>
              <w:top w:w="40" w:type="dxa"/>
              <w:left w:w="20" w:type="dxa"/>
              <w:bottom w:w="40" w:type="dxa"/>
              <w:right w:w="20" w:type="dxa"/>
            </w:tcMar>
            <w:vAlign w:val="bottom"/>
          </w:tcPr>
          <w:p w14:paraId="27E076FE" w14:textId="77777777" w:rsidR="00A85061" w:rsidRDefault="00F04891">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27E076FF" w14:textId="77777777" w:rsidR="00A85061" w:rsidRDefault="00F04891">
            <w:pPr>
              <w:jc w:val="right"/>
              <w:textAlignment w:val="bottom"/>
            </w:pPr>
            <w:r>
              <w:rPr>
                <w:rFonts w:ascii="sans-serif" w:eastAsia="sans-serif" w:hAnsi="sans-serif" w:cs="sans-serif"/>
                <w:color w:val="000000"/>
                <w:sz w:val="20"/>
                <w:szCs w:val="20"/>
              </w:rPr>
              <w:t>1,414 </w:t>
            </w:r>
          </w:p>
        </w:tc>
        <w:tc>
          <w:tcPr>
            <w:tcW w:w="0" w:type="auto"/>
            <w:shd w:val="clear" w:color="auto" w:fill="E2EFD9"/>
            <w:tcMar>
              <w:top w:w="40" w:type="dxa"/>
              <w:left w:w="0" w:type="dxa"/>
              <w:bottom w:w="40" w:type="dxa"/>
              <w:right w:w="20" w:type="dxa"/>
            </w:tcMar>
            <w:vAlign w:val="bottom"/>
          </w:tcPr>
          <w:p w14:paraId="27E0770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0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02" w14:textId="77777777" w:rsidR="00A85061" w:rsidRDefault="00F04891">
            <w:pPr>
              <w:jc w:val="right"/>
              <w:textAlignment w:val="bottom"/>
            </w:pPr>
            <w:r>
              <w:rPr>
                <w:rFonts w:ascii="sans-serif" w:eastAsia="sans-serif" w:hAnsi="sans-serif" w:cs="sans-serif"/>
                <w:color w:val="000000"/>
                <w:sz w:val="20"/>
                <w:szCs w:val="20"/>
              </w:rPr>
              <w:t>1,375 </w:t>
            </w:r>
          </w:p>
        </w:tc>
        <w:tc>
          <w:tcPr>
            <w:tcW w:w="0" w:type="auto"/>
            <w:shd w:val="clear" w:color="auto" w:fill="E2EFD9"/>
            <w:tcMar>
              <w:top w:w="40" w:type="dxa"/>
              <w:left w:w="0" w:type="dxa"/>
              <w:bottom w:w="40" w:type="dxa"/>
              <w:right w:w="20" w:type="dxa"/>
            </w:tcMar>
            <w:vAlign w:val="bottom"/>
          </w:tcPr>
          <w:p w14:paraId="27E07703" w14:textId="77777777" w:rsidR="00A85061" w:rsidRDefault="00A85061">
            <w:pPr>
              <w:jc w:val="right"/>
              <w:rPr>
                <w:rFonts w:ascii="宋体"/>
              </w:rPr>
            </w:pPr>
          </w:p>
        </w:tc>
      </w:tr>
      <w:tr w:rsidR="00A85061" w14:paraId="27E0770B" w14:textId="77777777">
        <w:trPr>
          <w:jc w:val="center"/>
        </w:trPr>
        <w:tc>
          <w:tcPr>
            <w:tcW w:w="0" w:type="auto"/>
            <w:gridSpan w:val="3"/>
            <w:shd w:val="clear" w:color="auto" w:fill="FFFFFF"/>
            <w:tcMar>
              <w:top w:w="40" w:type="dxa"/>
              <w:left w:w="20" w:type="dxa"/>
              <w:bottom w:w="40" w:type="dxa"/>
              <w:right w:w="20" w:type="dxa"/>
            </w:tcMar>
            <w:vAlign w:val="bottom"/>
          </w:tcPr>
          <w:p w14:paraId="27E07705" w14:textId="77777777" w:rsidR="00A85061" w:rsidRDefault="00F04891">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706" w14:textId="77777777" w:rsidR="00A85061" w:rsidRDefault="00F04891">
            <w:pPr>
              <w:jc w:val="right"/>
              <w:textAlignment w:val="bottom"/>
            </w:pPr>
            <w:r>
              <w:rPr>
                <w:rFonts w:ascii="sans-serif" w:eastAsia="sans-serif" w:hAnsi="sans-serif" w:cs="sans-serif"/>
                <w:color w:val="000000"/>
                <w:sz w:val="20"/>
                <w:szCs w:val="20"/>
              </w:rPr>
              <w:t>12,022 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70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08"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709" w14:textId="77777777" w:rsidR="00A85061" w:rsidRDefault="00F04891">
            <w:pPr>
              <w:jc w:val="right"/>
              <w:textAlignment w:val="bottom"/>
            </w:pPr>
            <w:r>
              <w:rPr>
                <w:rFonts w:ascii="sans-serif" w:eastAsia="sans-serif" w:hAnsi="sans-serif" w:cs="sans-serif"/>
                <w:color w:val="000000"/>
                <w:sz w:val="20"/>
                <w:szCs w:val="20"/>
              </w:rPr>
              <w:t>11,898 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70A" w14:textId="77777777" w:rsidR="00A85061" w:rsidRDefault="00A85061">
            <w:pPr>
              <w:jc w:val="right"/>
              <w:rPr>
                <w:rFonts w:ascii="宋体"/>
              </w:rPr>
            </w:pPr>
          </w:p>
        </w:tc>
      </w:tr>
      <w:tr w:rsidR="00A85061" w14:paraId="27E07710" w14:textId="77777777">
        <w:trPr>
          <w:jc w:val="center"/>
        </w:trPr>
        <w:tc>
          <w:tcPr>
            <w:tcW w:w="0" w:type="auto"/>
            <w:gridSpan w:val="3"/>
            <w:shd w:val="clear" w:color="auto" w:fill="E2EFD9"/>
            <w:tcMar>
              <w:top w:w="40" w:type="dxa"/>
              <w:left w:w="20" w:type="dxa"/>
              <w:bottom w:w="40" w:type="dxa"/>
              <w:right w:w="20" w:type="dxa"/>
            </w:tcMar>
            <w:vAlign w:val="bottom"/>
          </w:tcPr>
          <w:p w14:paraId="27E0770C" w14:textId="77777777" w:rsidR="00A85061" w:rsidRDefault="00F04891">
            <w:pPr>
              <w:spacing w:before="240" w:after="120"/>
              <w:jc w:val="both"/>
              <w:textAlignment w:val="bottom"/>
            </w:pPr>
            <w:r>
              <w:rPr>
                <w:rFonts w:ascii="sans-serif" w:eastAsia="sans-serif" w:hAnsi="sans-serif" w:cs="sans-serif"/>
                <w:color w:val="000000"/>
                <w:sz w:val="20"/>
                <w:szCs w:val="20"/>
              </w:rPr>
              <w:t xml:space="preserve">Commitments and contingencies - see </w:t>
            </w:r>
            <w:r>
              <w:rPr>
                <w:rFonts w:ascii="sans-serif" w:eastAsia="sans-serif" w:hAnsi="sans-serif" w:cs="sans-serif"/>
                <w:color w:val="000000"/>
                <w:sz w:val="20"/>
                <w:szCs w:val="20"/>
              </w:rPr>
              <w:t>Note 13</w:t>
            </w:r>
          </w:p>
        </w:tc>
        <w:tc>
          <w:tcPr>
            <w:tcW w:w="0" w:type="auto"/>
            <w:gridSpan w:val="3"/>
            <w:shd w:val="clear" w:color="auto" w:fill="E2EFD9"/>
            <w:tcMar>
              <w:top w:w="0" w:type="dxa"/>
              <w:left w:w="20" w:type="dxa"/>
              <w:bottom w:w="0" w:type="dxa"/>
              <w:right w:w="20" w:type="dxa"/>
            </w:tcMar>
            <w:vAlign w:val="bottom"/>
          </w:tcPr>
          <w:p w14:paraId="27E0770D"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70E"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70F" w14:textId="77777777" w:rsidR="00A85061" w:rsidRDefault="00A85061">
            <w:pPr>
              <w:rPr>
                <w:rFonts w:ascii="宋体"/>
              </w:rPr>
            </w:pPr>
          </w:p>
        </w:tc>
      </w:tr>
      <w:tr w:rsidR="00A85061" w14:paraId="27E07715" w14:textId="77777777">
        <w:trPr>
          <w:jc w:val="center"/>
          <w:hidden/>
        </w:trPr>
        <w:tc>
          <w:tcPr>
            <w:tcW w:w="0" w:type="auto"/>
            <w:gridSpan w:val="3"/>
            <w:shd w:val="clear" w:color="auto" w:fill="auto"/>
            <w:vAlign w:val="bottom"/>
          </w:tcPr>
          <w:p w14:paraId="27E07711" w14:textId="77777777" w:rsidR="00A85061" w:rsidRDefault="00A85061">
            <w:pPr>
              <w:rPr>
                <w:rFonts w:ascii="宋体"/>
                <w:vanish/>
              </w:rPr>
            </w:pPr>
          </w:p>
        </w:tc>
        <w:tc>
          <w:tcPr>
            <w:tcW w:w="0" w:type="auto"/>
            <w:gridSpan w:val="3"/>
            <w:shd w:val="clear" w:color="auto" w:fill="auto"/>
            <w:vAlign w:val="bottom"/>
          </w:tcPr>
          <w:p w14:paraId="27E07712" w14:textId="77777777" w:rsidR="00A85061" w:rsidRDefault="00A85061">
            <w:pPr>
              <w:rPr>
                <w:rFonts w:ascii="宋体"/>
                <w:vanish/>
              </w:rPr>
            </w:pPr>
          </w:p>
        </w:tc>
        <w:tc>
          <w:tcPr>
            <w:tcW w:w="0" w:type="auto"/>
            <w:gridSpan w:val="3"/>
            <w:shd w:val="clear" w:color="auto" w:fill="auto"/>
            <w:vAlign w:val="bottom"/>
          </w:tcPr>
          <w:p w14:paraId="27E07713" w14:textId="77777777" w:rsidR="00A85061" w:rsidRDefault="00A85061">
            <w:pPr>
              <w:rPr>
                <w:rFonts w:ascii="宋体"/>
                <w:vanish/>
              </w:rPr>
            </w:pPr>
          </w:p>
        </w:tc>
        <w:tc>
          <w:tcPr>
            <w:tcW w:w="0" w:type="auto"/>
            <w:gridSpan w:val="3"/>
            <w:shd w:val="clear" w:color="auto" w:fill="auto"/>
            <w:vAlign w:val="bottom"/>
          </w:tcPr>
          <w:p w14:paraId="27E07714" w14:textId="77777777" w:rsidR="00A85061" w:rsidRDefault="00A85061">
            <w:pPr>
              <w:rPr>
                <w:rFonts w:ascii="宋体"/>
                <w:vanish/>
              </w:rPr>
            </w:pPr>
          </w:p>
        </w:tc>
      </w:tr>
      <w:tr w:rsidR="00A85061" w14:paraId="27E0771A" w14:textId="77777777">
        <w:trPr>
          <w:jc w:val="center"/>
        </w:trPr>
        <w:tc>
          <w:tcPr>
            <w:tcW w:w="0" w:type="auto"/>
            <w:gridSpan w:val="3"/>
            <w:shd w:val="clear" w:color="auto" w:fill="FFFFFF"/>
            <w:tcMar>
              <w:top w:w="40" w:type="dxa"/>
              <w:left w:w="20" w:type="dxa"/>
              <w:bottom w:w="40" w:type="dxa"/>
              <w:right w:w="20" w:type="dxa"/>
            </w:tcMar>
            <w:vAlign w:val="bottom"/>
          </w:tcPr>
          <w:p w14:paraId="27E07716" w14:textId="77777777" w:rsidR="00A85061" w:rsidRDefault="00F04891">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27E0771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27E07718"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719" w14:textId="77777777" w:rsidR="00A85061" w:rsidRDefault="00F04891">
            <w:pPr>
              <w:textAlignment w:val="bottom"/>
            </w:pPr>
            <w:r>
              <w:rPr>
                <w:rFonts w:ascii="sans-serif" w:eastAsia="sans-serif" w:hAnsi="sans-serif" w:cs="sans-serif"/>
                <w:color w:val="000000"/>
                <w:sz w:val="20"/>
                <w:szCs w:val="20"/>
              </w:rPr>
              <w:t> </w:t>
            </w:r>
          </w:p>
        </w:tc>
      </w:tr>
      <w:tr w:rsidR="00A85061" w14:paraId="27E07721" w14:textId="77777777">
        <w:trPr>
          <w:jc w:val="center"/>
        </w:trPr>
        <w:tc>
          <w:tcPr>
            <w:tcW w:w="0" w:type="auto"/>
            <w:gridSpan w:val="3"/>
            <w:shd w:val="clear" w:color="auto" w:fill="E2EFD9"/>
            <w:tcMar>
              <w:top w:w="40" w:type="dxa"/>
              <w:left w:w="245" w:type="dxa"/>
              <w:bottom w:w="40" w:type="dxa"/>
              <w:right w:w="20" w:type="dxa"/>
            </w:tcMar>
            <w:vAlign w:val="bottom"/>
          </w:tcPr>
          <w:p w14:paraId="27E0771B" w14:textId="77777777" w:rsidR="00A85061" w:rsidRDefault="00F04891">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27E0771C"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71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1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1F"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720" w14:textId="77777777" w:rsidR="00A85061" w:rsidRDefault="00A85061">
            <w:pPr>
              <w:jc w:val="right"/>
              <w:rPr>
                <w:rFonts w:ascii="宋体"/>
              </w:rPr>
            </w:pPr>
          </w:p>
        </w:tc>
      </w:tr>
      <w:tr w:rsidR="00A85061" w14:paraId="27E07728" w14:textId="77777777">
        <w:trPr>
          <w:jc w:val="center"/>
        </w:trPr>
        <w:tc>
          <w:tcPr>
            <w:tcW w:w="0" w:type="auto"/>
            <w:gridSpan w:val="3"/>
            <w:shd w:val="clear" w:color="auto" w:fill="FFFFFF"/>
            <w:tcMar>
              <w:top w:w="40" w:type="dxa"/>
              <w:left w:w="245" w:type="dxa"/>
              <w:bottom w:w="40" w:type="dxa"/>
              <w:right w:w="20" w:type="dxa"/>
            </w:tcMar>
            <w:vAlign w:val="bottom"/>
          </w:tcPr>
          <w:p w14:paraId="27E07722" w14:textId="77777777" w:rsidR="00A85061" w:rsidRDefault="00F04891">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27E07723"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27E0772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2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26"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27E07727" w14:textId="77777777" w:rsidR="00A85061" w:rsidRDefault="00A85061">
            <w:pPr>
              <w:jc w:val="right"/>
              <w:rPr>
                <w:rFonts w:ascii="宋体"/>
              </w:rPr>
            </w:pPr>
          </w:p>
        </w:tc>
      </w:tr>
      <w:tr w:rsidR="00A85061" w14:paraId="27E0772F" w14:textId="77777777">
        <w:trPr>
          <w:jc w:val="center"/>
        </w:trPr>
        <w:tc>
          <w:tcPr>
            <w:tcW w:w="0" w:type="auto"/>
            <w:gridSpan w:val="3"/>
            <w:shd w:val="clear" w:color="auto" w:fill="E2EFD9"/>
            <w:tcMar>
              <w:top w:w="40" w:type="dxa"/>
              <w:left w:w="245" w:type="dxa"/>
              <w:bottom w:w="40" w:type="dxa"/>
              <w:right w:w="20" w:type="dxa"/>
            </w:tcMar>
            <w:vAlign w:val="bottom"/>
          </w:tcPr>
          <w:p w14:paraId="27E07729" w14:textId="77777777" w:rsidR="00A85061" w:rsidRDefault="00F04891">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27E0772A" w14:textId="77777777" w:rsidR="00A85061" w:rsidRDefault="00F04891">
            <w:pPr>
              <w:jc w:val="right"/>
              <w:textAlignment w:val="bottom"/>
            </w:pPr>
            <w:r>
              <w:rPr>
                <w:rFonts w:ascii="sans-serif" w:eastAsia="sans-serif" w:hAnsi="sans-serif" w:cs="sans-serif"/>
                <w:color w:val="000000"/>
                <w:sz w:val="20"/>
                <w:szCs w:val="20"/>
              </w:rPr>
              <w:t>9,280 </w:t>
            </w:r>
          </w:p>
        </w:tc>
        <w:tc>
          <w:tcPr>
            <w:tcW w:w="0" w:type="auto"/>
            <w:shd w:val="clear" w:color="auto" w:fill="E2EFD9"/>
            <w:tcMar>
              <w:top w:w="40" w:type="dxa"/>
              <w:left w:w="0" w:type="dxa"/>
              <w:bottom w:w="40" w:type="dxa"/>
              <w:right w:w="20" w:type="dxa"/>
            </w:tcMar>
            <w:vAlign w:val="bottom"/>
          </w:tcPr>
          <w:p w14:paraId="27E0772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2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2D" w14:textId="77777777" w:rsidR="00A85061" w:rsidRDefault="00F04891">
            <w:pPr>
              <w:jc w:val="right"/>
              <w:textAlignment w:val="bottom"/>
            </w:pPr>
            <w:r>
              <w:rPr>
                <w:rFonts w:ascii="sans-serif" w:eastAsia="sans-serif" w:hAnsi="sans-serif" w:cs="sans-serif"/>
                <w:color w:val="000000"/>
                <w:sz w:val="20"/>
                <w:szCs w:val="20"/>
              </w:rPr>
              <w:t>8,721 </w:t>
            </w:r>
          </w:p>
        </w:tc>
        <w:tc>
          <w:tcPr>
            <w:tcW w:w="0" w:type="auto"/>
            <w:shd w:val="clear" w:color="auto" w:fill="E2EFD9"/>
            <w:tcMar>
              <w:top w:w="40" w:type="dxa"/>
              <w:left w:w="0" w:type="dxa"/>
              <w:bottom w:w="40" w:type="dxa"/>
              <w:right w:w="20" w:type="dxa"/>
            </w:tcMar>
            <w:vAlign w:val="bottom"/>
          </w:tcPr>
          <w:p w14:paraId="27E0772E" w14:textId="77777777" w:rsidR="00A85061" w:rsidRDefault="00A85061">
            <w:pPr>
              <w:jc w:val="right"/>
              <w:rPr>
                <w:rFonts w:ascii="宋体"/>
              </w:rPr>
            </w:pPr>
          </w:p>
        </w:tc>
      </w:tr>
      <w:tr w:rsidR="00A85061" w14:paraId="27E07736" w14:textId="77777777">
        <w:trPr>
          <w:jc w:val="center"/>
        </w:trPr>
        <w:tc>
          <w:tcPr>
            <w:tcW w:w="0" w:type="auto"/>
            <w:gridSpan w:val="3"/>
            <w:shd w:val="clear" w:color="auto" w:fill="FFFFFF"/>
            <w:tcMar>
              <w:top w:w="40" w:type="dxa"/>
              <w:left w:w="245" w:type="dxa"/>
              <w:bottom w:w="40" w:type="dxa"/>
              <w:right w:w="20" w:type="dxa"/>
            </w:tcMar>
            <w:vAlign w:val="bottom"/>
          </w:tcPr>
          <w:p w14:paraId="27E07730" w14:textId="77777777" w:rsidR="00A85061" w:rsidRDefault="00F04891">
            <w:pPr>
              <w:textAlignment w:val="bottom"/>
            </w:pPr>
            <w:r>
              <w:rPr>
                <w:rFonts w:ascii="sans-serif" w:eastAsia="sans-serif" w:hAnsi="sans-serif" w:cs="sans-serif"/>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27E07731" w14:textId="77777777" w:rsidR="00A85061" w:rsidRDefault="00F04891">
            <w:pPr>
              <w:jc w:val="right"/>
              <w:textAlignment w:val="bottom"/>
            </w:pPr>
            <w:r>
              <w:rPr>
                <w:rFonts w:ascii="sans-serif" w:eastAsia="sans-serif" w:hAnsi="sans-serif" w:cs="sans-serif"/>
                <w:color w:val="000000"/>
                <w:sz w:val="20"/>
                <w:szCs w:val="20"/>
              </w:rPr>
              <w:t>(11,242)</w:t>
            </w:r>
          </w:p>
        </w:tc>
        <w:tc>
          <w:tcPr>
            <w:tcW w:w="0" w:type="auto"/>
            <w:shd w:val="clear" w:color="auto" w:fill="FFFFFF"/>
            <w:tcMar>
              <w:top w:w="40" w:type="dxa"/>
              <w:left w:w="0" w:type="dxa"/>
              <w:bottom w:w="40" w:type="dxa"/>
              <w:right w:w="20" w:type="dxa"/>
            </w:tcMar>
            <w:vAlign w:val="bottom"/>
          </w:tcPr>
          <w:p w14:paraId="27E0773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33"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34" w14:textId="77777777" w:rsidR="00A85061" w:rsidRDefault="00F04891">
            <w:pPr>
              <w:jc w:val="right"/>
              <w:textAlignment w:val="bottom"/>
            </w:pPr>
            <w:r>
              <w:rPr>
                <w:rFonts w:ascii="sans-serif" w:eastAsia="sans-serif" w:hAnsi="sans-serif" w:cs="sans-serif"/>
                <w:color w:val="000000"/>
                <w:sz w:val="20"/>
                <w:szCs w:val="20"/>
              </w:rPr>
              <w:t>(10,756)</w:t>
            </w:r>
          </w:p>
        </w:tc>
        <w:tc>
          <w:tcPr>
            <w:tcW w:w="0" w:type="auto"/>
            <w:shd w:val="clear" w:color="auto" w:fill="FFFFFF"/>
            <w:tcMar>
              <w:top w:w="40" w:type="dxa"/>
              <w:left w:w="0" w:type="dxa"/>
              <w:bottom w:w="40" w:type="dxa"/>
              <w:right w:w="20" w:type="dxa"/>
            </w:tcMar>
            <w:vAlign w:val="bottom"/>
          </w:tcPr>
          <w:p w14:paraId="27E07735" w14:textId="77777777" w:rsidR="00A85061" w:rsidRDefault="00A85061">
            <w:pPr>
              <w:jc w:val="right"/>
              <w:rPr>
                <w:rFonts w:ascii="宋体"/>
              </w:rPr>
            </w:pPr>
          </w:p>
        </w:tc>
      </w:tr>
      <w:tr w:rsidR="00A85061" w14:paraId="27E0773D" w14:textId="77777777">
        <w:trPr>
          <w:jc w:val="center"/>
        </w:trPr>
        <w:tc>
          <w:tcPr>
            <w:tcW w:w="0" w:type="auto"/>
            <w:gridSpan w:val="3"/>
            <w:shd w:val="clear" w:color="auto" w:fill="E2EFD9"/>
            <w:tcMar>
              <w:top w:w="40" w:type="dxa"/>
              <w:left w:w="245" w:type="dxa"/>
              <w:bottom w:w="40" w:type="dxa"/>
              <w:right w:w="20" w:type="dxa"/>
            </w:tcMar>
            <w:vAlign w:val="bottom"/>
          </w:tcPr>
          <w:p w14:paraId="27E07737" w14:textId="77777777" w:rsidR="00A85061" w:rsidRDefault="00F04891">
            <w:pPr>
              <w:textAlignment w:val="bottom"/>
            </w:pPr>
            <w:r>
              <w:rPr>
                <w:rFonts w:ascii="sans-serif" w:eastAsia="sans-serif" w:hAnsi="sans-serif" w:cs="sans-serif"/>
                <w:color w:val="000000"/>
                <w:sz w:val="20"/>
                <w:szCs w:val="20"/>
              </w:rPr>
              <w:t>Accumulated other comprehensive income</w:t>
            </w:r>
          </w:p>
        </w:tc>
        <w:tc>
          <w:tcPr>
            <w:tcW w:w="0" w:type="auto"/>
            <w:gridSpan w:val="2"/>
            <w:shd w:val="clear" w:color="auto" w:fill="E2EFD9"/>
            <w:tcMar>
              <w:top w:w="40" w:type="dxa"/>
              <w:left w:w="20" w:type="dxa"/>
              <w:bottom w:w="40" w:type="dxa"/>
              <w:right w:w="0" w:type="dxa"/>
            </w:tcMar>
            <w:vAlign w:val="bottom"/>
          </w:tcPr>
          <w:p w14:paraId="27E07738" w14:textId="77777777" w:rsidR="00A85061" w:rsidRDefault="00F04891">
            <w:pPr>
              <w:jc w:val="right"/>
              <w:textAlignment w:val="bottom"/>
            </w:pPr>
            <w:r>
              <w:rPr>
                <w:rFonts w:ascii="sans-serif" w:eastAsia="sans-serif" w:hAnsi="sans-serif" w:cs="sans-serif"/>
                <w:color w:val="000000"/>
                <w:sz w:val="20"/>
                <w:szCs w:val="20"/>
              </w:rPr>
              <w:t>14 </w:t>
            </w:r>
          </w:p>
        </w:tc>
        <w:tc>
          <w:tcPr>
            <w:tcW w:w="0" w:type="auto"/>
            <w:shd w:val="clear" w:color="auto" w:fill="E2EFD9"/>
            <w:tcMar>
              <w:top w:w="40" w:type="dxa"/>
              <w:left w:w="0" w:type="dxa"/>
              <w:bottom w:w="40" w:type="dxa"/>
              <w:right w:w="20" w:type="dxa"/>
            </w:tcMar>
            <w:vAlign w:val="bottom"/>
          </w:tcPr>
          <w:p w14:paraId="27E0773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3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3B" w14:textId="77777777" w:rsidR="00A85061" w:rsidRDefault="00F04891">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27E0773C" w14:textId="77777777" w:rsidR="00A85061" w:rsidRDefault="00A85061">
            <w:pPr>
              <w:jc w:val="right"/>
              <w:rPr>
                <w:rFonts w:ascii="宋体"/>
              </w:rPr>
            </w:pPr>
          </w:p>
        </w:tc>
      </w:tr>
      <w:tr w:rsidR="00A85061" w14:paraId="27E07744" w14:textId="77777777">
        <w:trPr>
          <w:jc w:val="center"/>
        </w:trPr>
        <w:tc>
          <w:tcPr>
            <w:tcW w:w="0" w:type="auto"/>
            <w:gridSpan w:val="3"/>
            <w:shd w:val="clear" w:color="auto" w:fill="FFFFFF"/>
            <w:tcMar>
              <w:top w:w="40" w:type="dxa"/>
              <w:left w:w="245" w:type="dxa"/>
              <w:bottom w:w="40" w:type="dxa"/>
              <w:right w:w="20" w:type="dxa"/>
            </w:tcMar>
            <w:vAlign w:val="bottom"/>
          </w:tcPr>
          <w:p w14:paraId="27E0773E" w14:textId="77777777" w:rsidR="00A85061" w:rsidRDefault="00F04891">
            <w:pPr>
              <w:textAlignment w:val="bottom"/>
            </w:pPr>
            <w:r>
              <w:rPr>
                <w:rFonts w:ascii="sans-serif" w:eastAsia="sans-serif" w:hAnsi="sans-serif" w:cs="sans-serif"/>
                <w:color w:val="000000"/>
                <w:sz w:val="20"/>
                <w:szCs w:val="20"/>
              </w:rPr>
              <w:t xml:space="preserve">Retained </w:t>
            </w:r>
            <w:r>
              <w:rPr>
                <w:rFonts w:ascii="sans-serif" w:eastAsia="sans-serif" w:hAnsi="sans-serif" w:cs="sans-serif"/>
                <w:color w:val="000000"/>
                <w:sz w:val="20"/>
                <w:szCs w:val="20"/>
              </w:rPr>
              <w:t>earnings</w:t>
            </w:r>
          </w:p>
        </w:tc>
        <w:tc>
          <w:tcPr>
            <w:tcW w:w="0" w:type="auto"/>
            <w:gridSpan w:val="2"/>
            <w:shd w:val="clear" w:color="auto" w:fill="FFFFFF"/>
            <w:tcMar>
              <w:top w:w="40" w:type="dxa"/>
              <w:left w:w="20" w:type="dxa"/>
              <w:bottom w:w="40" w:type="dxa"/>
              <w:right w:w="0" w:type="dxa"/>
            </w:tcMar>
            <w:vAlign w:val="bottom"/>
          </w:tcPr>
          <w:p w14:paraId="27E0773F" w14:textId="77777777" w:rsidR="00A85061" w:rsidRDefault="00F04891">
            <w:pPr>
              <w:jc w:val="right"/>
              <w:textAlignment w:val="bottom"/>
            </w:pPr>
            <w:r>
              <w:rPr>
                <w:rFonts w:ascii="sans-serif" w:eastAsia="sans-serif" w:hAnsi="sans-serif" w:cs="sans-serif"/>
                <w:color w:val="000000"/>
                <w:sz w:val="20"/>
                <w:szCs w:val="20"/>
              </w:rPr>
              <w:t>20,721 </w:t>
            </w:r>
          </w:p>
        </w:tc>
        <w:tc>
          <w:tcPr>
            <w:tcW w:w="0" w:type="auto"/>
            <w:shd w:val="clear" w:color="auto" w:fill="FFFFFF"/>
            <w:tcMar>
              <w:top w:w="40" w:type="dxa"/>
              <w:left w:w="0" w:type="dxa"/>
              <w:bottom w:w="40" w:type="dxa"/>
              <w:right w:w="20" w:type="dxa"/>
            </w:tcMar>
            <w:vAlign w:val="bottom"/>
          </w:tcPr>
          <w:p w14:paraId="27E0774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4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42" w14:textId="77777777" w:rsidR="00A85061" w:rsidRDefault="00F04891">
            <w:pPr>
              <w:jc w:val="right"/>
              <w:textAlignment w:val="bottom"/>
            </w:pPr>
            <w:r>
              <w:rPr>
                <w:rFonts w:ascii="sans-serif" w:eastAsia="sans-serif" w:hAnsi="sans-serif" w:cs="sans-serif"/>
                <w:color w:val="000000"/>
                <w:sz w:val="20"/>
                <w:szCs w:val="20"/>
              </w:rPr>
              <w:t>18,908 </w:t>
            </w:r>
          </w:p>
        </w:tc>
        <w:tc>
          <w:tcPr>
            <w:tcW w:w="0" w:type="auto"/>
            <w:shd w:val="clear" w:color="auto" w:fill="FFFFFF"/>
            <w:tcMar>
              <w:top w:w="40" w:type="dxa"/>
              <w:left w:w="0" w:type="dxa"/>
              <w:bottom w:w="40" w:type="dxa"/>
              <w:right w:w="20" w:type="dxa"/>
            </w:tcMar>
            <w:vAlign w:val="bottom"/>
          </w:tcPr>
          <w:p w14:paraId="27E07743" w14:textId="77777777" w:rsidR="00A85061" w:rsidRDefault="00A85061">
            <w:pPr>
              <w:jc w:val="right"/>
              <w:rPr>
                <w:rFonts w:ascii="宋体"/>
              </w:rPr>
            </w:pPr>
          </w:p>
        </w:tc>
      </w:tr>
      <w:tr w:rsidR="00A85061" w14:paraId="27E0774B" w14:textId="77777777">
        <w:trPr>
          <w:jc w:val="center"/>
        </w:trPr>
        <w:tc>
          <w:tcPr>
            <w:tcW w:w="0" w:type="auto"/>
            <w:gridSpan w:val="3"/>
            <w:shd w:val="clear" w:color="auto" w:fill="E2EFD9"/>
            <w:tcMar>
              <w:top w:w="40" w:type="dxa"/>
              <w:left w:w="20" w:type="dxa"/>
              <w:bottom w:w="40" w:type="dxa"/>
              <w:right w:w="20" w:type="dxa"/>
            </w:tcMar>
            <w:vAlign w:val="bottom"/>
          </w:tcPr>
          <w:p w14:paraId="27E07745" w14:textId="77777777" w:rsidR="00A85061" w:rsidRDefault="00F04891">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746" w14:textId="77777777" w:rsidR="00A85061" w:rsidRDefault="00F04891">
            <w:pPr>
              <w:jc w:val="right"/>
              <w:textAlignment w:val="bottom"/>
            </w:pPr>
            <w:r>
              <w:rPr>
                <w:rFonts w:ascii="sans-serif" w:eastAsia="sans-serif" w:hAnsi="sans-serif" w:cs="sans-serif"/>
                <w:color w:val="000000"/>
                <w:sz w:val="20"/>
                <w:szCs w:val="20"/>
              </w:rPr>
              <w:t>18,774 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4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48"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749" w14:textId="77777777" w:rsidR="00A85061" w:rsidRDefault="00F04891">
            <w:pPr>
              <w:jc w:val="right"/>
              <w:textAlignment w:val="bottom"/>
            </w:pPr>
            <w:r>
              <w:rPr>
                <w:rFonts w:ascii="sans-serif" w:eastAsia="sans-serif" w:hAnsi="sans-serif" w:cs="sans-serif"/>
                <w:color w:val="000000"/>
                <w:sz w:val="20"/>
                <w:szCs w:val="20"/>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4A" w14:textId="77777777" w:rsidR="00A85061" w:rsidRDefault="00A85061">
            <w:pPr>
              <w:jc w:val="right"/>
              <w:rPr>
                <w:rFonts w:ascii="宋体"/>
              </w:rPr>
            </w:pPr>
          </w:p>
        </w:tc>
      </w:tr>
      <w:tr w:rsidR="00A85061" w14:paraId="27E07754" w14:textId="77777777">
        <w:trPr>
          <w:jc w:val="center"/>
        </w:trPr>
        <w:tc>
          <w:tcPr>
            <w:tcW w:w="0" w:type="auto"/>
            <w:gridSpan w:val="3"/>
            <w:shd w:val="clear" w:color="auto" w:fill="FFFFFF"/>
            <w:tcMar>
              <w:top w:w="40" w:type="dxa"/>
              <w:left w:w="20" w:type="dxa"/>
              <w:bottom w:w="40" w:type="dxa"/>
              <w:right w:w="20" w:type="dxa"/>
            </w:tcMar>
            <w:vAlign w:val="bottom"/>
          </w:tcPr>
          <w:p w14:paraId="27E0774C" w14:textId="77777777" w:rsidR="00A85061" w:rsidRDefault="00F04891">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74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74E" w14:textId="77777777" w:rsidR="00A85061" w:rsidRDefault="00F04891">
            <w:pPr>
              <w:jc w:val="right"/>
              <w:textAlignment w:val="bottom"/>
            </w:pPr>
            <w:r>
              <w:rPr>
                <w:rFonts w:ascii="sans-serif" w:eastAsia="sans-serif" w:hAnsi="sans-serif" w:cs="sans-serif"/>
                <w:color w:val="000000"/>
                <w:sz w:val="20"/>
                <w:szCs w:val="20"/>
              </w:rPr>
              <w:t>30,796 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74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50"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75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752" w14:textId="77777777" w:rsidR="00A85061" w:rsidRDefault="00F04891">
            <w:pPr>
              <w:jc w:val="right"/>
              <w:textAlignment w:val="bottom"/>
            </w:pPr>
            <w:r>
              <w:rPr>
                <w:rFonts w:ascii="sans-serif" w:eastAsia="sans-serif" w:hAnsi="sans-serif" w:cs="sans-serif"/>
                <w:color w:val="000000"/>
                <w:sz w:val="20"/>
                <w:szCs w:val="20"/>
              </w:rPr>
              <w:t>28,791 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753" w14:textId="77777777" w:rsidR="00A85061" w:rsidRDefault="00A85061">
            <w:pPr>
              <w:jc w:val="right"/>
              <w:rPr>
                <w:rFonts w:ascii="宋体"/>
              </w:rPr>
            </w:pPr>
          </w:p>
        </w:tc>
      </w:tr>
    </w:tbl>
    <w:p w14:paraId="27E07755" w14:textId="77777777" w:rsidR="00A85061" w:rsidRDefault="00F04891">
      <w:pPr>
        <w:spacing w:after="180"/>
        <w:jc w:val="center"/>
      </w:pPr>
      <w:r>
        <w:rPr>
          <w:rFonts w:ascii="sans-serif" w:eastAsia="sans-serif" w:hAnsi="sans-serif" w:cs="sans-serif"/>
          <w:color w:val="000000"/>
          <w:sz w:val="20"/>
          <w:szCs w:val="20"/>
        </w:rPr>
        <w:t>See accompanying Notes to Condensed Consolidated Financial Statements.</w:t>
      </w:r>
    </w:p>
    <w:p w14:paraId="27E07756" w14:textId="77777777" w:rsidR="00A85061" w:rsidRDefault="00A85061">
      <w:pPr>
        <w:spacing w:after="180"/>
        <w:jc w:val="center"/>
      </w:pPr>
    </w:p>
    <w:p w14:paraId="27E07757" w14:textId="77777777" w:rsidR="00A85061" w:rsidRDefault="00F04891">
      <w:pPr>
        <w:spacing w:after="180"/>
        <w:jc w:val="center"/>
      </w:pPr>
      <w:r>
        <w:rPr>
          <w:rFonts w:ascii="sans-serif" w:eastAsia="sans-serif" w:hAnsi="sans-serif" w:cs="sans-serif"/>
          <w:color w:val="000000"/>
          <w:sz w:val="20"/>
          <w:szCs w:val="20"/>
        </w:rPr>
        <w:t>5</w:t>
      </w:r>
    </w:p>
    <w:p w14:paraId="27E07758" w14:textId="77777777" w:rsidR="00A85061" w:rsidRDefault="00F04891">
      <w:r>
        <w:pict w14:anchorId="27E08EF6">
          <v:rect id="_x0000_i1029" style="width:415.3pt;height:1.5pt" o:hralign="center" o:hrstd="t" o:hr="t" fillcolor="#a0a0a0" stroked="f"/>
        </w:pict>
      </w:r>
    </w:p>
    <w:p w14:paraId="27E07759" w14:textId="77777777" w:rsidR="00A85061" w:rsidRDefault="00A85061">
      <w:pPr>
        <w:spacing w:after="180"/>
        <w:jc w:val="both"/>
      </w:pPr>
    </w:p>
    <w:p w14:paraId="27E0775A" w14:textId="77777777" w:rsidR="00A85061" w:rsidRDefault="00F04891">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27E0775B" w14:textId="77777777" w:rsidR="00A85061" w:rsidRDefault="00F04891">
      <w:pPr>
        <w:jc w:val="center"/>
      </w:pPr>
      <w:r>
        <w:rPr>
          <w:rFonts w:ascii="sans-serif" w:eastAsia="sans-serif" w:hAnsi="sans-serif" w:cs="sans-serif"/>
          <w:b/>
          <w:bCs/>
          <w:color w:val="000000"/>
          <w:sz w:val="20"/>
          <w:szCs w:val="20"/>
        </w:rPr>
        <w:t>CONDENSED CONSOLIDATED STATEMENTS OF SHAREHOLDERS’ EQUITY</w:t>
      </w:r>
    </w:p>
    <w:p w14:paraId="27E0775C" w14:textId="77777777" w:rsidR="00A85061" w:rsidRDefault="00F04891">
      <w:pPr>
        <w:jc w:val="center"/>
      </w:pPr>
      <w:r>
        <w:rPr>
          <w:rFonts w:ascii="sans-serif" w:eastAsia="sans-serif" w:hAnsi="sans-serif" w:cs="sans-serif"/>
          <w:b/>
          <w:bCs/>
          <w:color w:val="000000"/>
          <w:sz w:val="20"/>
          <w:szCs w:val="20"/>
        </w:rPr>
        <w:t>FOR THE THREE MONTHS ENDED MAY 2, 2021 AND APRIL 26, 2020</w:t>
      </w:r>
    </w:p>
    <w:p w14:paraId="27E0775D" w14:textId="77777777" w:rsidR="00A85061" w:rsidRDefault="00F04891">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A85061" w14:paraId="27E07788" w14:textId="77777777">
        <w:trPr>
          <w:jc w:val="center"/>
        </w:trPr>
        <w:tc>
          <w:tcPr>
            <w:tcW w:w="50" w:type="pct"/>
            <w:shd w:val="clear" w:color="auto" w:fill="auto"/>
            <w:vAlign w:val="bottom"/>
          </w:tcPr>
          <w:p w14:paraId="27E0775E" w14:textId="77777777" w:rsidR="00A85061" w:rsidRDefault="00A85061">
            <w:pPr>
              <w:rPr>
                <w:rFonts w:ascii="宋体"/>
              </w:rPr>
            </w:pPr>
          </w:p>
        </w:tc>
        <w:tc>
          <w:tcPr>
            <w:tcW w:w="1883" w:type="pct"/>
            <w:shd w:val="clear" w:color="auto" w:fill="auto"/>
            <w:vAlign w:val="bottom"/>
          </w:tcPr>
          <w:p w14:paraId="27E0775F" w14:textId="77777777" w:rsidR="00A85061" w:rsidRDefault="00A85061">
            <w:pPr>
              <w:rPr>
                <w:rFonts w:ascii="宋体"/>
              </w:rPr>
            </w:pPr>
          </w:p>
        </w:tc>
        <w:tc>
          <w:tcPr>
            <w:tcW w:w="5" w:type="pct"/>
            <w:shd w:val="clear" w:color="auto" w:fill="auto"/>
            <w:vAlign w:val="bottom"/>
          </w:tcPr>
          <w:p w14:paraId="27E07760" w14:textId="77777777" w:rsidR="00A85061" w:rsidRDefault="00A85061">
            <w:pPr>
              <w:rPr>
                <w:rFonts w:ascii="宋体"/>
              </w:rPr>
            </w:pPr>
          </w:p>
        </w:tc>
        <w:tc>
          <w:tcPr>
            <w:tcW w:w="50" w:type="pct"/>
            <w:shd w:val="clear" w:color="auto" w:fill="auto"/>
            <w:vAlign w:val="bottom"/>
          </w:tcPr>
          <w:p w14:paraId="27E07761" w14:textId="77777777" w:rsidR="00A85061" w:rsidRDefault="00A85061">
            <w:pPr>
              <w:rPr>
                <w:rFonts w:ascii="宋体"/>
              </w:rPr>
            </w:pPr>
          </w:p>
        </w:tc>
        <w:tc>
          <w:tcPr>
            <w:tcW w:w="268" w:type="pct"/>
            <w:shd w:val="clear" w:color="auto" w:fill="auto"/>
            <w:vAlign w:val="bottom"/>
          </w:tcPr>
          <w:p w14:paraId="27E07762" w14:textId="77777777" w:rsidR="00A85061" w:rsidRDefault="00A85061">
            <w:pPr>
              <w:rPr>
                <w:rFonts w:ascii="宋体"/>
              </w:rPr>
            </w:pPr>
          </w:p>
        </w:tc>
        <w:tc>
          <w:tcPr>
            <w:tcW w:w="5" w:type="pct"/>
            <w:shd w:val="clear" w:color="auto" w:fill="auto"/>
            <w:vAlign w:val="bottom"/>
          </w:tcPr>
          <w:p w14:paraId="27E07763" w14:textId="77777777" w:rsidR="00A85061" w:rsidRDefault="00A85061">
            <w:pPr>
              <w:rPr>
                <w:rFonts w:ascii="宋体"/>
              </w:rPr>
            </w:pPr>
          </w:p>
        </w:tc>
        <w:tc>
          <w:tcPr>
            <w:tcW w:w="5" w:type="pct"/>
            <w:shd w:val="clear" w:color="auto" w:fill="auto"/>
            <w:vAlign w:val="bottom"/>
          </w:tcPr>
          <w:p w14:paraId="27E07764" w14:textId="77777777" w:rsidR="00A85061" w:rsidRDefault="00A85061">
            <w:pPr>
              <w:rPr>
                <w:rFonts w:ascii="宋体"/>
              </w:rPr>
            </w:pPr>
          </w:p>
        </w:tc>
        <w:tc>
          <w:tcPr>
            <w:tcW w:w="26" w:type="pct"/>
            <w:shd w:val="clear" w:color="auto" w:fill="auto"/>
            <w:vAlign w:val="bottom"/>
          </w:tcPr>
          <w:p w14:paraId="27E07765" w14:textId="77777777" w:rsidR="00A85061" w:rsidRDefault="00A85061">
            <w:pPr>
              <w:rPr>
                <w:rFonts w:ascii="宋体"/>
              </w:rPr>
            </w:pPr>
          </w:p>
        </w:tc>
        <w:tc>
          <w:tcPr>
            <w:tcW w:w="5" w:type="pct"/>
            <w:shd w:val="clear" w:color="auto" w:fill="auto"/>
            <w:vAlign w:val="bottom"/>
          </w:tcPr>
          <w:p w14:paraId="27E07766" w14:textId="77777777" w:rsidR="00A85061" w:rsidRDefault="00A85061">
            <w:pPr>
              <w:rPr>
                <w:rFonts w:ascii="宋体"/>
              </w:rPr>
            </w:pPr>
          </w:p>
        </w:tc>
        <w:tc>
          <w:tcPr>
            <w:tcW w:w="50" w:type="pct"/>
            <w:shd w:val="clear" w:color="auto" w:fill="auto"/>
            <w:vAlign w:val="bottom"/>
          </w:tcPr>
          <w:p w14:paraId="27E07767" w14:textId="77777777" w:rsidR="00A85061" w:rsidRDefault="00A85061">
            <w:pPr>
              <w:rPr>
                <w:rFonts w:ascii="宋体"/>
              </w:rPr>
            </w:pPr>
          </w:p>
        </w:tc>
        <w:tc>
          <w:tcPr>
            <w:tcW w:w="260" w:type="pct"/>
            <w:shd w:val="clear" w:color="auto" w:fill="auto"/>
            <w:vAlign w:val="bottom"/>
          </w:tcPr>
          <w:p w14:paraId="27E07768" w14:textId="77777777" w:rsidR="00A85061" w:rsidRDefault="00A85061">
            <w:pPr>
              <w:rPr>
                <w:rFonts w:ascii="宋体"/>
              </w:rPr>
            </w:pPr>
          </w:p>
        </w:tc>
        <w:tc>
          <w:tcPr>
            <w:tcW w:w="5" w:type="pct"/>
            <w:shd w:val="clear" w:color="auto" w:fill="auto"/>
            <w:vAlign w:val="bottom"/>
          </w:tcPr>
          <w:p w14:paraId="27E07769" w14:textId="77777777" w:rsidR="00A85061" w:rsidRDefault="00A85061">
            <w:pPr>
              <w:rPr>
                <w:rFonts w:ascii="宋体"/>
              </w:rPr>
            </w:pPr>
          </w:p>
        </w:tc>
        <w:tc>
          <w:tcPr>
            <w:tcW w:w="5" w:type="pct"/>
            <w:shd w:val="clear" w:color="auto" w:fill="auto"/>
            <w:vAlign w:val="bottom"/>
          </w:tcPr>
          <w:p w14:paraId="27E0776A" w14:textId="77777777" w:rsidR="00A85061" w:rsidRDefault="00A85061">
            <w:pPr>
              <w:rPr>
                <w:rFonts w:ascii="宋体"/>
              </w:rPr>
            </w:pPr>
          </w:p>
        </w:tc>
        <w:tc>
          <w:tcPr>
            <w:tcW w:w="26" w:type="pct"/>
            <w:shd w:val="clear" w:color="auto" w:fill="auto"/>
            <w:vAlign w:val="bottom"/>
          </w:tcPr>
          <w:p w14:paraId="27E0776B" w14:textId="77777777" w:rsidR="00A85061" w:rsidRDefault="00A85061">
            <w:pPr>
              <w:rPr>
                <w:rFonts w:ascii="宋体"/>
              </w:rPr>
            </w:pPr>
          </w:p>
        </w:tc>
        <w:tc>
          <w:tcPr>
            <w:tcW w:w="5" w:type="pct"/>
            <w:shd w:val="clear" w:color="auto" w:fill="auto"/>
            <w:vAlign w:val="bottom"/>
          </w:tcPr>
          <w:p w14:paraId="27E0776C" w14:textId="77777777" w:rsidR="00A85061" w:rsidRDefault="00A85061">
            <w:pPr>
              <w:rPr>
                <w:rFonts w:ascii="宋体"/>
              </w:rPr>
            </w:pPr>
          </w:p>
        </w:tc>
        <w:tc>
          <w:tcPr>
            <w:tcW w:w="50" w:type="pct"/>
            <w:shd w:val="clear" w:color="auto" w:fill="auto"/>
            <w:vAlign w:val="bottom"/>
          </w:tcPr>
          <w:p w14:paraId="27E0776D" w14:textId="77777777" w:rsidR="00A85061" w:rsidRDefault="00A85061">
            <w:pPr>
              <w:rPr>
                <w:rFonts w:ascii="宋体"/>
              </w:rPr>
            </w:pPr>
          </w:p>
        </w:tc>
        <w:tc>
          <w:tcPr>
            <w:tcW w:w="334" w:type="pct"/>
            <w:shd w:val="clear" w:color="auto" w:fill="auto"/>
            <w:vAlign w:val="bottom"/>
          </w:tcPr>
          <w:p w14:paraId="27E0776E" w14:textId="77777777" w:rsidR="00A85061" w:rsidRDefault="00A85061">
            <w:pPr>
              <w:rPr>
                <w:rFonts w:ascii="宋体"/>
              </w:rPr>
            </w:pPr>
          </w:p>
        </w:tc>
        <w:tc>
          <w:tcPr>
            <w:tcW w:w="5" w:type="pct"/>
            <w:shd w:val="clear" w:color="auto" w:fill="auto"/>
            <w:vAlign w:val="bottom"/>
          </w:tcPr>
          <w:p w14:paraId="27E0776F" w14:textId="77777777" w:rsidR="00A85061" w:rsidRDefault="00A85061">
            <w:pPr>
              <w:rPr>
                <w:rFonts w:ascii="宋体"/>
              </w:rPr>
            </w:pPr>
          </w:p>
        </w:tc>
        <w:tc>
          <w:tcPr>
            <w:tcW w:w="5" w:type="pct"/>
            <w:shd w:val="clear" w:color="auto" w:fill="auto"/>
            <w:vAlign w:val="bottom"/>
          </w:tcPr>
          <w:p w14:paraId="27E07770" w14:textId="77777777" w:rsidR="00A85061" w:rsidRDefault="00A85061">
            <w:pPr>
              <w:rPr>
                <w:rFonts w:ascii="宋体"/>
              </w:rPr>
            </w:pPr>
          </w:p>
        </w:tc>
        <w:tc>
          <w:tcPr>
            <w:tcW w:w="26" w:type="pct"/>
            <w:shd w:val="clear" w:color="auto" w:fill="auto"/>
            <w:vAlign w:val="bottom"/>
          </w:tcPr>
          <w:p w14:paraId="27E07771" w14:textId="77777777" w:rsidR="00A85061" w:rsidRDefault="00A85061">
            <w:pPr>
              <w:rPr>
                <w:rFonts w:ascii="宋体"/>
              </w:rPr>
            </w:pPr>
          </w:p>
        </w:tc>
        <w:tc>
          <w:tcPr>
            <w:tcW w:w="5" w:type="pct"/>
            <w:shd w:val="clear" w:color="auto" w:fill="auto"/>
            <w:vAlign w:val="bottom"/>
          </w:tcPr>
          <w:p w14:paraId="27E07772" w14:textId="77777777" w:rsidR="00A85061" w:rsidRDefault="00A85061">
            <w:pPr>
              <w:rPr>
                <w:rFonts w:ascii="宋体"/>
              </w:rPr>
            </w:pPr>
          </w:p>
        </w:tc>
        <w:tc>
          <w:tcPr>
            <w:tcW w:w="50" w:type="pct"/>
            <w:shd w:val="clear" w:color="auto" w:fill="auto"/>
            <w:vAlign w:val="bottom"/>
          </w:tcPr>
          <w:p w14:paraId="27E07773" w14:textId="77777777" w:rsidR="00A85061" w:rsidRDefault="00A85061">
            <w:pPr>
              <w:rPr>
                <w:rFonts w:ascii="宋体"/>
              </w:rPr>
            </w:pPr>
          </w:p>
        </w:tc>
        <w:tc>
          <w:tcPr>
            <w:tcW w:w="304" w:type="pct"/>
            <w:shd w:val="clear" w:color="auto" w:fill="auto"/>
            <w:vAlign w:val="bottom"/>
          </w:tcPr>
          <w:p w14:paraId="27E07774" w14:textId="77777777" w:rsidR="00A85061" w:rsidRDefault="00A85061">
            <w:pPr>
              <w:rPr>
                <w:rFonts w:ascii="宋体"/>
              </w:rPr>
            </w:pPr>
          </w:p>
        </w:tc>
        <w:tc>
          <w:tcPr>
            <w:tcW w:w="5" w:type="pct"/>
            <w:shd w:val="clear" w:color="auto" w:fill="auto"/>
            <w:vAlign w:val="bottom"/>
          </w:tcPr>
          <w:p w14:paraId="27E07775" w14:textId="77777777" w:rsidR="00A85061" w:rsidRDefault="00A85061">
            <w:pPr>
              <w:rPr>
                <w:rFonts w:ascii="宋体"/>
              </w:rPr>
            </w:pPr>
          </w:p>
        </w:tc>
        <w:tc>
          <w:tcPr>
            <w:tcW w:w="5" w:type="pct"/>
            <w:shd w:val="clear" w:color="auto" w:fill="auto"/>
            <w:vAlign w:val="bottom"/>
          </w:tcPr>
          <w:p w14:paraId="27E07776" w14:textId="77777777" w:rsidR="00A85061" w:rsidRDefault="00A85061">
            <w:pPr>
              <w:rPr>
                <w:rFonts w:ascii="宋体"/>
              </w:rPr>
            </w:pPr>
          </w:p>
        </w:tc>
        <w:tc>
          <w:tcPr>
            <w:tcW w:w="26" w:type="pct"/>
            <w:shd w:val="clear" w:color="auto" w:fill="auto"/>
            <w:vAlign w:val="bottom"/>
          </w:tcPr>
          <w:p w14:paraId="27E07777" w14:textId="77777777" w:rsidR="00A85061" w:rsidRDefault="00A85061">
            <w:pPr>
              <w:rPr>
                <w:rFonts w:ascii="宋体"/>
              </w:rPr>
            </w:pPr>
          </w:p>
        </w:tc>
        <w:tc>
          <w:tcPr>
            <w:tcW w:w="5" w:type="pct"/>
            <w:shd w:val="clear" w:color="auto" w:fill="auto"/>
            <w:vAlign w:val="bottom"/>
          </w:tcPr>
          <w:p w14:paraId="27E07778" w14:textId="77777777" w:rsidR="00A85061" w:rsidRDefault="00A85061">
            <w:pPr>
              <w:rPr>
                <w:rFonts w:ascii="宋体"/>
              </w:rPr>
            </w:pPr>
          </w:p>
        </w:tc>
        <w:tc>
          <w:tcPr>
            <w:tcW w:w="50" w:type="pct"/>
            <w:shd w:val="clear" w:color="auto" w:fill="auto"/>
            <w:vAlign w:val="bottom"/>
          </w:tcPr>
          <w:p w14:paraId="27E07779" w14:textId="77777777" w:rsidR="00A85061" w:rsidRDefault="00A85061">
            <w:pPr>
              <w:rPr>
                <w:rFonts w:ascii="宋体"/>
              </w:rPr>
            </w:pPr>
          </w:p>
        </w:tc>
        <w:tc>
          <w:tcPr>
            <w:tcW w:w="525" w:type="pct"/>
            <w:shd w:val="clear" w:color="auto" w:fill="auto"/>
            <w:vAlign w:val="bottom"/>
          </w:tcPr>
          <w:p w14:paraId="27E0777A" w14:textId="77777777" w:rsidR="00A85061" w:rsidRDefault="00A85061">
            <w:pPr>
              <w:rPr>
                <w:rFonts w:ascii="宋体"/>
              </w:rPr>
            </w:pPr>
          </w:p>
        </w:tc>
        <w:tc>
          <w:tcPr>
            <w:tcW w:w="5" w:type="pct"/>
            <w:shd w:val="clear" w:color="auto" w:fill="auto"/>
            <w:vAlign w:val="bottom"/>
          </w:tcPr>
          <w:p w14:paraId="27E0777B" w14:textId="77777777" w:rsidR="00A85061" w:rsidRDefault="00A85061">
            <w:pPr>
              <w:rPr>
                <w:rFonts w:ascii="宋体"/>
              </w:rPr>
            </w:pPr>
          </w:p>
        </w:tc>
        <w:tc>
          <w:tcPr>
            <w:tcW w:w="5" w:type="pct"/>
            <w:shd w:val="clear" w:color="auto" w:fill="auto"/>
            <w:vAlign w:val="bottom"/>
          </w:tcPr>
          <w:p w14:paraId="27E0777C" w14:textId="77777777" w:rsidR="00A85061" w:rsidRDefault="00A85061">
            <w:pPr>
              <w:rPr>
                <w:rFonts w:ascii="宋体"/>
              </w:rPr>
            </w:pPr>
          </w:p>
        </w:tc>
        <w:tc>
          <w:tcPr>
            <w:tcW w:w="26" w:type="pct"/>
            <w:shd w:val="clear" w:color="auto" w:fill="auto"/>
            <w:vAlign w:val="bottom"/>
          </w:tcPr>
          <w:p w14:paraId="27E0777D" w14:textId="77777777" w:rsidR="00A85061" w:rsidRDefault="00A85061">
            <w:pPr>
              <w:rPr>
                <w:rFonts w:ascii="宋体"/>
              </w:rPr>
            </w:pPr>
          </w:p>
        </w:tc>
        <w:tc>
          <w:tcPr>
            <w:tcW w:w="5" w:type="pct"/>
            <w:shd w:val="clear" w:color="auto" w:fill="auto"/>
            <w:vAlign w:val="bottom"/>
          </w:tcPr>
          <w:p w14:paraId="27E0777E" w14:textId="77777777" w:rsidR="00A85061" w:rsidRDefault="00A85061">
            <w:pPr>
              <w:rPr>
                <w:rFonts w:ascii="宋体"/>
              </w:rPr>
            </w:pPr>
          </w:p>
        </w:tc>
        <w:tc>
          <w:tcPr>
            <w:tcW w:w="50" w:type="pct"/>
            <w:shd w:val="clear" w:color="auto" w:fill="auto"/>
            <w:vAlign w:val="bottom"/>
          </w:tcPr>
          <w:p w14:paraId="27E0777F" w14:textId="77777777" w:rsidR="00A85061" w:rsidRDefault="00A85061">
            <w:pPr>
              <w:rPr>
                <w:rFonts w:ascii="宋体"/>
              </w:rPr>
            </w:pPr>
          </w:p>
        </w:tc>
        <w:tc>
          <w:tcPr>
            <w:tcW w:w="297" w:type="pct"/>
            <w:shd w:val="clear" w:color="auto" w:fill="auto"/>
            <w:vAlign w:val="bottom"/>
          </w:tcPr>
          <w:p w14:paraId="27E07780" w14:textId="77777777" w:rsidR="00A85061" w:rsidRDefault="00A85061">
            <w:pPr>
              <w:rPr>
                <w:rFonts w:ascii="宋体"/>
              </w:rPr>
            </w:pPr>
          </w:p>
        </w:tc>
        <w:tc>
          <w:tcPr>
            <w:tcW w:w="5" w:type="pct"/>
            <w:shd w:val="clear" w:color="auto" w:fill="auto"/>
            <w:vAlign w:val="bottom"/>
          </w:tcPr>
          <w:p w14:paraId="27E07781" w14:textId="77777777" w:rsidR="00A85061" w:rsidRDefault="00A85061">
            <w:pPr>
              <w:rPr>
                <w:rFonts w:ascii="宋体"/>
              </w:rPr>
            </w:pPr>
          </w:p>
        </w:tc>
        <w:tc>
          <w:tcPr>
            <w:tcW w:w="5" w:type="pct"/>
            <w:shd w:val="clear" w:color="auto" w:fill="auto"/>
            <w:vAlign w:val="bottom"/>
          </w:tcPr>
          <w:p w14:paraId="27E07782" w14:textId="77777777" w:rsidR="00A85061" w:rsidRDefault="00A85061">
            <w:pPr>
              <w:rPr>
                <w:rFonts w:ascii="宋体"/>
              </w:rPr>
            </w:pPr>
          </w:p>
        </w:tc>
        <w:tc>
          <w:tcPr>
            <w:tcW w:w="26" w:type="pct"/>
            <w:shd w:val="clear" w:color="auto" w:fill="auto"/>
            <w:vAlign w:val="bottom"/>
          </w:tcPr>
          <w:p w14:paraId="27E07783" w14:textId="77777777" w:rsidR="00A85061" w:rsidRDefault="00A85061">
            <w:pPr>
              <w:rPr>
                <w:rFonts w:ascii="宋体"/>
              </w:rPr>
            </w:pPr>
          </w:p>
        </w:tc>
        <w:tc>
          <w:tcPr>
            <w:tcW w:w="5" w:type="pct"/>
            <w:shd w:val="clear" w:color="auto" w:fill="auto"/>
            <w:vAlign w:val="bottom"/>
          </w:tcPr>
          <w:p w14:paraId="27E07784" w14:textId="77777777" w:rsidR="00A85061" w:rsidRDefault="00A85061">
            <w:pPr>
              <w:rPr>
                <w:rFonts w:ascii="宋体"/>
              </w:rPr>
            </w:pPr>
          </w:p>
        </w:tc>
        <w:tc>
          <w:tcPr>
            <w:tcW w:w="50" w:type="pct"/>
            <w:shd w:val="clear" w:color="auto" w:fill="auto"/>
            <w:vAlign w:val="bottom"/>
          </w:tcPr>
          <w:p w14:paraId="27E07785" w14:textId="77777777" w:rsidR="00A85061" w:rsidRDefault="00A85061">
            <w:pPr>
              <w:rPr>
                <w:rFonts w:ascii="宋体"/>
              </w:rPr>
            </w:pPr>
          </w:p>
        </w:tc>
        <w:tc>
          <w:tcPr>
            <w:tcW w:w="466" w:type="pct"/>
            <w:shd w:val="clear" w:color="auto" w:fill="auto"/>
            <w:vAlign w:val="bottom"/>
          </w:tcPr>
          <w:p w14:paraId="27E07786" w14:textId="77777777" w:rsidR="00A85061" w:rsidRDefault="00A85061">
            <w:pPr>
              <w:rPr>
                <w:rFonts w:ascii="宋体"/>
              </w:rPr>
            </w:pPr>
          </w:p>
        </w:tc>
        <w:tc>
          <w:tcPr>
            <w:tcW w:w="5" w:type="pct"/>
            <w:shd w:val="clear" w:color="auto" w:fill="auto"/>
            <w:vAlign w:val="bottom"/>
          </w:tcPr>
          <w:p w14:paraId="27E07787" w14:textId="77777777" w:rsidR="00A85061" w:rsidRDefault="00A85061">
            <w:pPr>
              <w:rPr>
                <w:rFonts w:ascii="宋体"/>
              </w:rPr>
            </w:pPr>
          </w:p>
        </w:tc>
      </w:tr>
      <w:tr w:rsidR="00A85061" w14:paraId="27E07796" w14:textId="77777777">
        <w:trPr>
          <w:trHeight w:val="420"/>
          <w:jc w:val="center"/>
        </w:trPr>
        <w:tc>
          <w:tcPr>
            <w:tcW w:w="0" w:type="auto"/>
            <w:gridSpan w:val="3"/>
            <w:shd w:val="clear" w:color="auto" w:fill="auto"/>
            <w:tcMar>
              <w:top w:w="0" w:type="dxa"/>
              <w:left w:w="20" w:type="dxa"/>
              <w:bottom w:w="0" w:type="dxa"/>
              <w:right w:w="20" w:type="dxa"/>
            </w:tcMar>
            <w:vAlign w:val="bottom"/>
          </w:tcPr>
          <w:p w14:paraId="27E07789"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78A" w14:textId="77777777" w:rsidR="00A85061" w:rsidRDefault="00F04891">
            <w:pPr>
              <w:jc w:val="center"/>
              <w:textAlignment w:val="bottom"/>
            </w:pPr>
            <w:r>
              <w:rPr>
                <w:rFonts w:ascii="sans-serif" w:eastAsia="sans-serif" w:hAnsi="sans-serif" w:cs="sans-serif"/>
                <w:b/>
                <w:bCs/>
                <w:color w:val="000000"/>
                <w:sz w:val="15"/>
                <w:szCs w:val="15"/>
              </w:rPr>
              <w:t>Common Stock</w:t>
            </w:r>
          </w:p>
          <w:p w14:paraId="27E0778B" w14:textId="77777777" w:rsidR="00A85061" w:rsidRDefault="00F04891">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27E0778C" w14:textId="77777777" w:rsidR="00A85061" w:rsidRDefault="00A8506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7E0778D" w14:textId="77777777" w:rsidR="00A85061" w:rsidRDefault="00F04891">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27E0778E" w14:textId="77777777" w:rsidR="00A85061" w:rsidRDefault="00A8506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7E0778F" w14:textId="77777777" w:rsidR="00A85061" w:rsidRDefault="00F04891">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27E07790" w14:textId="77777777" w:rsidR="00A85061" w:rsidRDefault="00A8506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7E07791" w14:textId="77777777" w:rsidR="00A85061" w:rsidRDefault="00F04891">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27E07792" w14:textId="77777777" w:rsidR="00A85061" w:rsidRDefault="00A8506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7E07793" w14:textId="77777777" w:rsidR="00A85061" w:rsidRDefault="00F04891">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27E07794" w14:textId="77777777" w:rsidR="00A85061" w:rsidRDefault="00A8506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27E07795" w14:textId="77777777" w:rsidR="00A85061" w:rsidRDefault="00F04891">
            <w:pPr>
              <w:jc w:val="center"/>
              <w:textAlignment w:val="bottom"/>
            </w:pPr>
            <w:r>
              <w:rPr>
                <w:rFonts w:ascii="sans-serif" w:eastAsia="sans-serif" w:hAnsi="sans-serif" w:cs="sans-serif"/>
                <w:b/>
                <w:bCs/>
                <w:color w:val="000000"/>
                <w:sz w:val="15"/>
                <w:szCs w:val="15"/>
              </w:rPr>
              <w:t>Total Shareholders' Equity</w:t>
            </w:r>
          </w:p>
        </w:tc>
      </w:tr>
      <w:tr w:rsidR="00A85061" w14:paraId="27E077A5" w14:textId="77777777">
        <w:trPr>
          <w:trHeight w:val="240"/>
          <w:jc w:val="center"/>
        </w:trPr>
        <w:tc>
          <w:tcPr>
            <w:tcW w:w="0" w:type="auto"/>
            <w:gridSpan w:val="3"/>
            <w:shd w:val="clear" w:color="auto" w:fill="auto"/>
            <w:tcMar>
              <w:top w:w="40" w:type="dxa"/>
              <w:left w:w="20" w:type="dxa"/>
              <w:bottom w:w="40" w:type="dxa"/>
              <w:right w:w="20" w:type="dxa"/>
            </w:tcMar>
            <w:vAlign w:val="bottom"/>
          </w:tcPr>
          <w:p w14:paraId="27E07797" w14:textId="77777777" w:rsidR="00A85061" w:rsidRDefault="00F04891">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27E07798" w14:textId="77777777" w:rsidR="00A85061" w:rsidRDefault="00F04891">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27E0779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79A" w14:textId="77777777" w:rsidR="00A85061" w:rsidRDefault="00F04891">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27E0779B" w14:textId="77777777" w:rsidR="00A85061" w:rsidRDefault="00A85061">
            <w:pPr>
              <w:rPr>
                <w:rFonts w:ascii="宋体"/>
              </w:rPr>
            </w:pPr>
          </w:p>
        </w:tc>
        <w:tc>
          <w:tcPr>
            <w:tcW w:w="0" w:type="auto"/>
            <w:gridSpan w:val="3"/>
            <w:vMerge/>
            <w:shd w:val="clear" w:color="auto" w:fill="auto"/>
            <w:tcMar>
              <w:top w:w="40" w:type="dxa"/>
              <w:left w:w="20" w:type="dxa"/>
              <w:bottom w:w="40" w:type="dxa"/>
              <w:right w:w="20" w:type="dxa"/>
            </w:tcMar>
            <w:vAlign w:val="bottom"/>
          </w:tcPr>
          <w:p w14:paraId="27E0779C"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79D" w14:textId="77777777" w:rsidR="00A85061" w:rsidRDefault="00A85061">
            <w:pPr>
              <w:rPr>
                <w:rFonts w:ascii="宋体"/>
              </w:rPr>
            </w:pPr>
          </w:p>
        </w:tc>
        <w:tc>
          <w:tcPr>
            <w:tcW w:w="0" w:type="auto"/>
            <w:gridSpan w:val="3"/>
            <w:vMerge/>
            <w:shd w:val="clear" w:color="auto" w:fill="auto"/>
            <w:tcMar>
              <w:top w:w="40" w:type="dxa"/>
              <w:left w:w="20" w:type="dxa"/>
              <w:bottom w:w="40" w:type="dxa"/>
              <w:right w:w="20" w:type="dxa"/>
            </w:tcMar>
            <w:vAlign w:val="bottom"/>
          </w:tcPr>
          <w:p w14:paraId="27E0779E"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79F" w14:textId="77777777" w:rsidR="00A85061" w:rsidRDefault="00A85061">
            <w:pPr>
              <w:rPr>
                <w:rFonts w:ascii="宋体"/>
              </w:rPr>
            </w:pPr>
          </w:p>
        </w:tc>
        <w:tc>
          <w:tcPr>
            <w:tcW w:w="0" w:type="auto"/>
            <w:gridSpan w:val="3"/>
            <w:vMerge/>
            <w:shd w:val="clear" w:color="auto" w:fill="auto"/>
            <w:tcMar>
              <w:top w:w="40" w:type="dxa"/>
              <w:left w:w="20" w:type="dxa"/>
              <w:bottom w:w="40" w:type="dxa"/>
              <w:right w:w="20" w:type="dxa"/>
            </w:tcMar>
            <w:vAlign w:val="bottom"/>
          </w:tcPr>
          <w:p w14:paraId="27E077A0"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7A1" w14:textId="77777777" w:rsidR="00A85061" w:rsidRDefault="00A85061">
            <w:pPr>
              <w:rPr>
                <w:rFonts w:ascii="宋体"/>
              </w:rPr>
            </w:pPr>
          </w:p>
        </w:tc>
        <w:tc>
          <w:tcPr>
            <w:tcW w:w="0" w:type="auto"/>
            <w:gridSpan w:val="3"/>
            <w:vMerge/>
            <w:shd w:val="clear" w:color="auto" w:fill="auto"/>
            <w:tcMar>
              <w:top w:w="40" w:type="dxa"/>
              <w:left w:w="20" w:type="dxa"/>
              <w:bottom w:w="40" w:type="dxa"/>
              <w:right w:w="20" w:type="dxa"/>
            </w:tcMar>
            <w:vAlign w:val="bottom"/>
          </w:tcPr>
          <w:p w14:paraId="27E077A2"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7A3" w14:textId="77777777" w:rsidR="00A85061" w:rsidRDefault="00A85061">
            <w:pPr>
              <w:rPr>
                <w:rFonts w:ascii="宋体"/>
              </w:rPr>
            </w:pPr>
          </w:p>
        </w:tc>
        <w:tc>
          <w:tcPr>
            <w:tcW w:w="0" w:type="auto"/>
            <w:gridSpan w:val="3"/>
            <w:vMerge/>
            <w:shd w:val="clear" w:color="auto" w:fill="auto"/>
            <w:tcMar>
              <w:top w:w="40" w:type="dxa"/>
              <w:left w:w="20" w:type="dxa"/>
              <w:bottom w:w="40" w:type="dxa"/>
              <w:right w:w="20" w:type="dxa"/>
            </w:tcMar>
            <w:vAlign w:val="bottom"/>
          </w:tcPr>
          <w:p w14:paraId="27E077A4" w14:textId="77777777" w:rsidR="00A85061" w:rsidRDefault="00A85061">
            <w:pPr>
              <w:jc w:val="center"/>
              <w:rPr>
                <w:rFonts w:ascii="宋体"/>
              </w:rPr>
            </w:pPr>
          </w:p>
        </w:tc>
      </w:tr>
      <w:tr w:rsidR="00A85061" w14:paraId="27E077C1" w14:textId="77777777">
        <w:trPr>
          <w:jc w:val="center"/>
        </w:trPr>
        <w:tc>
          <w:tcPr>
            <w:tcW w:w="0" w:type="auto"/>
            <w:gridSpan w:val="3"/>
            <w:shd w:val="clear" w:color="auto" w:fill="E2EFD9"/>
            <w:tcMar>
              <w:top w:w="40" w:type="dxa"/>
              <w:left w:w="20" w:type="dxa"/>
              <w:bottom w:w="40" w:type="dxa"/>
              <w:right w:w="20" w:type="dxa"/>
            </w:tcMar>
            <w:vAlign w:val="bottom"/>
          </w:tcPr>
          <w:p w14:paraId="27E077A6" w14:textId="77777777" w:rsidR="00A85061" w:rsidRDefault="00F04891">
            <w:pPr>
              <w:textAlignment w:val="bottom"/>
            </w:pPr>
            <w:r>
              <w:rPr>
                <w:rFonts w:ascii="sans-serif" w:eastAsia="sans-serif" w:hAnsi="sans-serif" w:cs="sans-serif"/>
                <w:color w:val="000000"/>
                <w:sz w:val="15"/>
                <w:szCs w:val="15"/>
              </w:rPr>
              <w:t>Balances, January 31, 2021</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77A7" w14:textId="77777777" w:rsidR="00A85061" w:rsidRDefault="00F04891">
            <w:pPr>
              <w:jc w:val="right"/>
              <w:textAlignment w:val="bottom"/>
            </w:pPr>
            <w:r>
              <w:rPr>
                <w:rFonts w:ascii="sans-serif" w:eastAsia="sans-serif" w:hAnsi="sans-serif" w:cs="sans-serif"/>
                <w:color w:val="000000"/>
                <w:sz w:val="15"/>
                <w:szCs w:val="15"/>
              </w:rPr>
              <w:t>620 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A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A9"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AA"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AB" w14:textId="77777777" w:rsidR="00A85061" w:rsidRDefault="00F04891">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A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AD"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AE"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AF" w14:textId="77777777" w:rsidR="00A85061" w:rsidRDefault="00F04891">
            <w:pPr>
              <w:jc w:val="right"/>
              <w:textAlignment w:val="bottom"/>
            </w:pPr>
            <w:r>
              <w:rPr>
                <w:rFonts w:ascii="sans-serif" w:eastAsia="sans-serif" w:hAnsi="sans-serif" w:cs="sans-serif"/>
                <w:color w:val="000000"/>
                <w:sz w:val="15"/>
                <w:szCs w:val="15"/>
              </w:rPr>
              <w:t>8,721 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B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B1"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B2"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B3" w14:textId="77777777" w:rsidR="00A85061" w:rsidRDefault="00F04891">
            <w:pPr>
              <w:jc w:val="right"/>
              <w:textAlignment w:val="bottom"/>
            </w:pPr>
            <w:r>
              <w:rPr>
                <w:rFonts w:ascii="sans-serif" w:eastAsia="sans-serif" w:hAnsi="sans-serif" w:cs="sans-serif"/>
                <w:color w:val="000000"/>
                <w:sz w:val="15"/>
                <w:szCs w:val="15"/>
              </w:rPr>
              <w:t>(10,756)</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B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B5"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B6"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B7" w14:textId="77777777" w:rsidR="00A85061" w:rsidRDefault="00F04891">
            <w:pPr>
              <w:jc w:val="right"/>
              <w:textAlignment w:val="bottom"/>
            </w:pPr>
            <w:r>
              <w:rPr>
                <w:rFonts w:ascii="sans-serif" w:eastAsia="sans-serif" w:hAnsi="sans-serif" w:cs="sans-serif"/>
                <w:color w:val="000000"/>
                <w:sz w:val="15"/>
                <w:szCs w:val="15"/>
              </w:rPr>
              <w:t>19 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B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B9"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BA"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BB" w14:textId="77777777" w:rsidR="00A85061" w:rsidRDefault="00F04891">
            <w:pPr>
              <w:jc w:val="right"/>
              <w:textAlignment w:val="bottom"/>
            </w:pPr>
            <w:r>
              <w:rPr>
                <w:rFonts w:ascii="sans-serif" w:eastAsia="sans-serif" w:hAnsi="sans-serif" w:cs="sans-serif"/>
                <w:color w:val="000000"/>
                <w:sz w:val="15"/>
                <w:szCs w:val="15"/>
              </w:rPr>
              <w:t>18,908 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B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BD" w14:textId="77777777" w:rsidR="00A85061" w:rsidRDefault="00A85061">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27E077BE"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27E077BF" w14:textId="77777777" w:rsidR="00A85061" w:rsidRDefault="00F04891">
            <w:pPr>
              <w:jc w:val="right"/>
              <w:textAlignment w:val="bottom"/>
            </w:pPr>
            <w:r>
              <w:rPr>
                <w:rFonts w:ascii="sans-serif" w:eastAsia="sans-serif" w:hAnsi="sans-serif" w:cs="sans-serif"/>
                <w:color w:val="000000"/>
                <w:sz w:val="15"/>
                <w:szCs w:val="15"/>
              </w:rPr>
              <w:t>16,893 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77C0" w14:textId="77777777" w:rsidR="00A85061" w:rsidRDefault="00A85061">
            <w:pPr>
              <w:jc w:val="right"/>
              <w:rPr>
                <w:rFonts w:ascii="宋体"/>
              </w:rPr>
            </w:pPr>
          </w:p>
        </w:tc>
      </w:tr>
      <w:tr w:rsidR="00A85061" w14:paraId="27E077D7" w14:textId="77777777">
        <w:trPr>
          <w:jc w:val="center"/>
        </w:trPr>
        <w:tc>
          <w:tcPr>
            <w:tcW w:w="0" w:type="auto"/>
            <w:gridSpan w:val="3"/>
            <w:shd w:val="clear" w:color="auto" w:fill="FFFFFF"/>
            <w:tcMar>
              <w:top w:w="40" w:type="dxa"/>
              <w:left w:w="20" w:type="dxa"/>
              <w:bottom w:w="40" w:type="dxa"/>
              <w:right w:w="20" w:type="dxa"/>
            </w:tcMar>
            <w:vAlign w:val="bottom"/>
          </w:tcPr>
          <w:p w14:paraId="27E077C2" w14:textId="77777777" w:rsidR="00A85061" w:rsidRDefault="00F04891">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27E077C3"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C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C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C6"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C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C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C9"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C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C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CC"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C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C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CF"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D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D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D2" w14:textId="77777777" w:rsidR="00A85061" w:rsidRDefault="00F04891">
            <w:pPr>
              <w:jc w:val="right"/>
              <w:textAlignment w:val="bottom"/>
            </w:pPr>
            <w:r>
              <w:rPr>
                <w:rFonts w:ascii="sans-serif" w:eastAsia="sans-serif" w:hAnsi="sans-serif" w:cs="sans-serif"/>
                <w:color w:val="000000"/>
                <w:sz w:val="15"/>
                <w:szCs w:val="15"/>
              </w:rPr>
              <w:t>1,912 </w:t>
            </w:r>
          </w:p>
        </w:tc>
        <w:tc>
          <w:tcPr>
            <w:tcW w:w="0" w:type="auto"/>
            <w:shd w:val="clear" w:color="auto" w:fill="FFFFFF"/>
            <w:tcMar>
              <w:top w:w="40" w:type="dxa"/>
              <w:left w:w="0" w:type="dxa"/>
              <w:bottom w:w="40" w:type="dxa"/>
              <w:right w:w="20" w:type="dxa"/>
            </w:tcMar>
            <w:vAlign w:val="bottom"/>
          </w:tcPr>
          <w:p w14:paraId="27E077D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D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D5" w14:textId="77777777" w:rsidR="00A85061" w:rsidRDefault="00F04891">
            <w:pPr>
              <w:jc w:val="right"/>
              <w:textAlignment w:val="bottom"/>
            </w:pPr>
            <w:r>
              <w:rPr>
                <w:rFonts w:ascii="sans-serif" w:eastAsia="sans-serif" w:hAnsi="sans-serif" w:cs="sans-serif"/>
                <w:color w:val="000000"/>
                <w:sz w:val="15"/>
                <w:szCs w:val="15"/>
              </w:rPr>
              <w:t>1,912 </w:t>
            </w:r>
          </w:p>
        </w:tc>
        <w:tc>
          <w:tcPr>
            <w:tcW w:w="0" w:type="auto"/>
            <w:shd w:val="clear" w:color="auto" w:fill="FFFFFF"/>
            <w:tcMar>
              <w:top w:w="40" w:type="dxa"/>
              <w:left w:w="0" w:type="dxa"/>
              <w:bottom w:w="40" w:type="dxa"/>
              <w:right w:w="20" w:type="dxa"/>
            </w:tcMar>
            <w:vAlign w:val="bottom"/>
          </w:tcPr>
          <w:p w14:paraId="27E077D6" w14:textId="77777777" w:rsidR="00A85061" w:rsidRDefault="00A85061">
            <w:pPr>
              <w:jc w:val="right"/>
              <w:rPr>
                <w:rFonts w:ascii="宋体"/>
              </w:rPr>
            </w:pPr>
          </w:p>
        </w:tc>
      </w:tr>
      <w:tr w:rsidR="00A85061" w14:paraId="27E077ED" w14:textId="77777777">
        <w:trPr>
          <w:jc w:val="center"/>
        </w:trPr>
        <w:tc>
          <w:tcPr>
            <w:tcW w:w="0" w:type="auto"/>
            <w:gridSpan w:val="3"/>
            <w:shd w:val="clear" w:color="auto" w:fill="E2EFD9"/>
            <w:tcMar>
              <w:top w:w="40" w:type="dxa"/>
              <w:left w:w="20" w:type="dxa"/>
              <w:bottom w:w="40" w:type="dxa"/>
              <w:right w:w="20" w:type="dxa"/>
            </w:tcMar>
            <w:vAlign w:val="bottom"/>
          </w:tcPr>
          <w:p w14:paraId="27E077D8" w14:textId="77777777" w:rsidR="00A85061" w:rsidRDefault="00F04891">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27E077D9"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7D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D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DC"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7D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D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DF"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7E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E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E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7E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E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E5" w14:textId="77777777" w:rsidR="00A85061" w:rsidRDefault="00F04891">
            <w:pPr>
              <w:jc w:val="right"/>
              <w:textAlignment w:val="bottom"/>
            </w:pPr>
            <w:r>
              <w:rPr>
                <w:rFonts w:ascii="sans-serif" w:eastAsia="sans-serif" w:hAnsi="sans-serif" w:cs="sans-serif"/>
                <w:color w:val="000000"/>
                <w:sz w:val="15"/>
                <w:szCs w:val="15"/>
              </w:rPr>
              <w:t>(5)</w:t>
            </w:r>
          </w:p>
        </w:tc>
        <w:tc>
          <w:tcPr>
            <w:tcW w:w="0" w:type="auto"/>
            <w:shd w:val="clear" w:color="auto" w:fill="E2EFD9"/>
            <w:tcMar>
              <w:top w:w="40" w:type="dxa"/>
              <w:left w:w="0" w:type="dxa"/>
              <w:bottom w:w="40" w:type="dxa"/>
              <w:right w:w="20" w:type="dxa"/>
            </w:tcMar>
            <w:vAlign w:val="bottom"/>
          </w:tcPr>
          <w:p w14:paraId="27E077E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E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E8"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7E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7E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7EB" w14:textId="77777777" w:rsidR="00A85061" w:rsidRDefault="00F04891">
            <w:pPr>
              <w:jc w:val="right"/>
              <w:textAlignment w:val="bottom"/>
            </w:pPr>
            <w:r>
              <w:rPr>
                <w:rFonts w:ascii="sans-serif" w:eastAsia="sans-serif" w:hAnsi="sans-serif" w:cs="sans-serif"/>
                <w:color w:val="000000"/>
                <w:sz w:val="15"/>
                <w:szCs w:val="15"/>
              </w:rPr>
              <w:t>(5)</w:t>
            </w:r>
          </w:p>
        </w:tc>
        <w:tc>
          <w:tcPr>
            <w:tcW w:w="0" w:type="auto"/>
            <w:shd w:val="clear" w:color="auto" w:fill="E2EFD9"/>
            <w:tcMar>
              <w:top w:w="40" w:type="dxa"/>
              <w:left w:w="0" w:type="dxa"/>
              <w:bottom w:w="40" w:type="dxa"/>
              <w:right w:w="20" w:type="dxa"/>
            </w:tcMar>
            <w:vAlign w:val="bottom"/>
          </w:tcPr>
          <w:p w14:paraId="27E077EC" w14:textId="77777777" w:rsidR="00A85061" w:rsidRDefault="00A85061">
            <w:pPr>
              <w:jc w:val="right"/>
              <w:rPr>
                <w:rFonts w:ascii="宋体"/>
              </w:rPr>
            </w:pPr>
          </w:p>
        </w:tc>
      </w:tr>
      <w:tr w:rsidR="00A85061" w14:paraId="27E07803" w14:textId="77777777">
        <w:trPr>
          <w:jc w:val="center"/>
        </w:trPr>
        <w:tc>
          <w:tcPr>
            <w:tcW w:w="0" w:type="auto"/>
            <w:gridSpan w:val="3"/>
            <w:shd w:val="clear" w:color="auto" w:fill="FFFFFF"/>
            <w:tcMar>
              <w:top w:w="40" w:type="dxa"/>
              <w:left w:w="20" w:type="dxa"/>
              <w:bottom w:w="40" w:type="dxa"/>
              <w:right w:w="20" w:type="dxa"/>
            </w:tcMar>
            <w:vAlign w:val="bottom"/>
          </w:tcPr>
          <w:p w14:paraId="27E077EE" w14:textId="77777777" w:rsidR="00A85061" w:rsidRDefault="00F04891">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27E077EF" w14:textId="77777777" w:rsidR="00A85061" w:rsidRDefault="00F04891">
            <w:pPr>
              <w:jc w:val="right"/>
              <w:textAlignment w:val="bottom"/>
            </w:pPr>
            <w:r>
              <w:rPr>
                <w:rFonts w:ascii="sans-serif" w:eastAsia="sans-serif" w:hAnsi="sans-serif" w:cs="sans-serif"/>
                <w:color w:val="000000"/>
                <w:sz w:val="15"/>
                <w:szCs w:val="15"/>
              </w:rPr>
              <w:t>4 </w:t>
            </w:r>
          </w:p>
        </w:tc>
        <w:tc>
          <w:tcPr>
            <w:tcW w:w="0" w:type="auto"/>
            <w:shd w:val="clear" w:color="auto" w:fill="FFFFFF"/>
            <w:tcMar>
              <w:top w:w="40" w:type="dxa"/>
              <w:left w:w="0" w:type="dxa"/>
              <w:bottom w:w="40" w:type="dxa"/>
              <w:right w:w="20" w:type="dxa"/>
            </w:tcMar>
            <w:vAlign w:val="bottom"/>
          </w:tcPr>
          <w:p w14:paraId="27E077F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F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F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F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F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F5" w14:textId="77777777" w:rsidR="00A85061" w:rsidRDefault="00F04891">
            <w:pPr>
              <w:jc w:val="right"/>
              <w:textAlignment w:val="bottom"/>
            </w:pPr>
            <w:r>
              <w:rPr>
                <w:rFonts w:ascii="sans-serif" w:eastAsia="sans-serif" w:hAnsi="sans-serif" w:cs="sans-serif"/>
                <w:color w:val="000000"/>
                <w:sz w:val="15"/>
                <w:szCs w:val="15"/>
              </w:rPr>
              <w:t>126 </w:t>
            </w:r>
          </w:p>
        </w:tc>
        <w:tc>
          <w:tcPr>
            <w:tcW w:w="0" w:type="auto"/>
            <w:shd w:val="clear" w:color="auto" w:fill="FFFFFF"/>
            <w:tcMar>
              <w:top w:w="40" w:type="dxa"/>
              <w:left w:w="0" w:type="dxa"/>
              <w:bottom w:w="40" w:type="dxa"/>
              <w:right w:w="20" w:type="dxa"/>
            </w:tcMar>
            <w:vAlign w:val="bottom"/>
          </w:tcPr>
          <w:p w14:paraId="27E077F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F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F8"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F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F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FB"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F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7F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7FE"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7F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0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01" w14:textId="77777777" w:rsidR="00A85061" w:rsidRDefault="00F04891">
            <w:pPr>
              <w:jc w:val="right"/>
              <w:textAlignment w:val="bottom"/>
            </w:pPr>
            <w:r>
              <w:rPr>
                <w:rFonts w:ascii="sans-serif" w:eastAsia="sans-serif" w:hAnsi="sans-serif" w:cs="sans-serif"/>
                <w:color w:val="000000"/>
                <w:sz w:val="15"/>
                <w:szCs w:val="15"/>
              </w:rPr>
              <w:t>126 </w:t>
            </w:r>
          </w:p>
        </w:tc>
        <w:tc>
          <w:tcPr>
            <w:tcW w:w="0" w:type="auto"/>
            <w:shd w:val="clear" w:color="auto" w:fill="FFFFFF"/>
            <w:tcMar>
              <w:top w:w="40" w:type="dxa"/>
              <w:left w:w="0" w:type="dxa"/>
              <w:bottom w:w="40" w:type="dxa"/>
              <w:right w:w="20" w:type="dxa"/>
            </w:tcMar>
            <w:vAlign w:val="bottom"/>
          </w:tcPr>
          <w:p w14:paraId="27E07802" w14:textId="77777777" w:rsidR="00A85061" w:rsidRDefault="00A85061">
            <w:pPr>
              <w:jc w:val="right"/>
              <w:rPr>
                <w:rFonts w:ascii="宋体"/>
              </w:rPr>
            </w:pPr>
          </w:p>
        </w:tc>
      </w:tr>
      <w:tr w:rsidR="00A85061" w14:paraId="27E07819" w14:textId="77777777">
        <w:trPr>
          <w:jc w:val="center"/>
        </w:trPr>
        <w:tc>
          <w:tcPr>
            <w:tcW w:w="0" w:type="auto"/>
            <w:gridSpan w:val="3"/>
            <w:shd w:val="clear" w:color="auto" w:fill="E2EFD9"/>
            <w:tcMar>
              <w:top w:w="40" w:type="dxa"/>
              <w:left w:w="20" w:type="dxa"/>
              <w:bottom w:w="40" w:type="dxa"/>
              <w:right w:w="20" w:type="dxa"/>
            </w:tcMar>
            <w:vAlign w:val="bottom"/>
          </w:tcPr>
          <w:p w14:paraId="27E07804" w14:textId="77777777" w:rsidR="00A85061" w:rsidRDefault="00F04891">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27E07805" w14:textId="77777777" w:rsidR="00A85061" w:rsidRDefault="00F04891">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left w:w="0" w:type="dxa"/>
              <w:bottom w:w="40" w:type="dxa"/>
              <w:right w:w="20" w:type="dxa"/>
            </w:tcMar>
            <w:vAlign w:val="bottom"/>
          </w:tcPr>
          <w:p w14:paraId="27E0780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0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08"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0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0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0B"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0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0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0E" w14:textId="77777777" w:rsidR="00A85061" w:rsidRDefault="00F04891">
            <w:pPr>
              <w:jc w:val="right"/>
              <w:textAlignment w:val="bottom"/>
            </w:pPr>
            <w:r>
              <w:rPr>
                <w:rFonts w:ascii="sans-serif" w:eastAsia="sans-serif" w:hAnsi="sans-serif" w:cs="sans-serif"/>
                <w:color w:val="000000"/>
                <w:sz w:val="15"/>
                <w:szCs w:val="15"/>
              </w:rPr>
              <w:t>(486)</w:t>
            </w:r>
          </w:p>
        </w:tc>
        <w:tc>
          <w:tcPr>
            <w:tcW w:w="0" w:type="auto"/>
            <w:shd w:val="clear" w:color="auto" w:fill="E2EFD9"/>
            <w:tcMar>
              <w:top w:w="40" w:type="dxa"/>
              <w:left w:w="0" w:type="dxa"/>
              <w:bottom w:w="40" w:type="dxa"/>
              <w:right w:w="20" w:type="dxa"/>
            </w:tcMar>
            <w:vAlign w:val="bottom"/>
          </w:tcPr>
          <w:p w14:paraId="27E0780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1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11"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1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1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14"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1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1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17" w14:textId="77777777" w:rsidR="00A85061" w:rsidRDefault="00F04891">
            <w:pPr>
              <w:jc w:val="right"/>
              <w:textAlignment w:val="bottom"/>
            </w:pPr>
            <w:r>
              <w:rPr>
                <w:rFonts w:ascii="sans-serif" w:eastAsia="sans-serif" w:hAnsi="sans-serif" w:cs="sans-serif"/>
                <w:color w:val="000000"/>
                <w:sz w:val="15"/>
                <w:szCs w:val="15"/>
              </w:rPr>
              <w:t>(486)</w:t>
            </w:r>
          </w:p>
        </w:tc>
        <w:tc>
          <w:tcPr>
            <w:tcW w:w="0" w:type="auto"/>
            <w:shd w:val="clear" w:color="auto" w:fill="E2EFD9"/>
            <w:tcMar>
              <w:top w:w="40" w:type="dxa"/>
              <w:left w:w="0" w:type="dxa"/>
              <w:bottom w:w="40" w:type="dxa"/>
              <w:right w:w="20" w:type="dxa"/>
            </w:tcMar>
            <w:vAlign w:val="bottom"/>
          </w:tcPr>
          <w:p w14:paraId="27E07818" w14:textId="77777777" w:rsidR="00A85061" w:rsidRDefault="00A85061">
            <w:pPr>
              <w:jc w:val="right"/>
              <w:rPr>
                <w:rFonts w:ascii="宋体"/>
              </w:rPr>
            </w:pPr>
          </w:p>
        </w:tc>
      </w:tr>
      <w:tr w:rsidR="00A85061" w14:paraId="27E07828" w14:textId="77777777">
        <w:trPr>
          <w:jc w:val="center"/>
          <w:hidden/>
        </w:trPr>
        <w:tc>
          <w:tcPr>
            <w:tcW w:w="0" w:type="auto"/>
            <w:gridSpan w:val="3"/>
            <w:shd w:val="clear" w:color="auto" w:fill="auto"/>
            <w:vAlign w:val="bottom"/>
          </w:tcPr>
          <w:p w14:paraId="27E0781A" w14:textId="77777777" w:rsidR="00A85061" w:rsidRDefault="00A85061">
            <w:pPr>
              <w:rPr>
                <w:rFonts w:ascii="宋体"/>
                <w:vanish/>
              </w:rPr>
            </w:pPr>
          </w:p>
        </w:tc>
        <w:tc>
          <w:tcPr>
            <w:tcW w:w="0" w:type="auto"/>
            <w:gridSpan w:val="3"/>
            <w:shd w:val="clear" w:color="auto" w:fill="auto"/>
            <w:vAlign w:val="bottom"/>
          </w:tcPr>
          <w:p w14:paraId="27E0781B" w14:textId="77777777" w:rsidR="00A85061" w:rsidRDefault="00A85061">
            <w:pPr>
              <w:rPr>
                <w:rFonts w:ascii="宋体"/>
                <w:vanish/>
              </w:rPr>
            </w:pPr>
          </w:p>
        </w:tc>
        <w:tc>
          <w:tcPr>
            <w:tcW w:w="0" w:type="auto"/>
            <w:gridSpan w:val="3"/>
            <w:shd w:val="clear" w:color="auto" w:fill="auto"/>
            <w:vAlign w:val="bottom"/>
          </w:tcPr>
          <w:p w14:paraId="27E0781C" w14:textId="77777777" w:rsidR="00A85061" w:rsidRDefault="00A85061">
            <w:pPr>
              <w:rPr>
                <w:rFonts w:ascii="宋体"/>
                <w:vanish/>
              </w:rPr>
            </w:pPr>
          </w:p>
        </w:tc>
        <w:tc>
          <w:tcPr>
            <w:tcW w:w="0" w:type="auto"/>
            <w:gridSpan w:val="3"/>
            <w:shd w:val="clear" w:color="auto" w:fill="auto"/>
            <w:vAlign w:val="bottom"/>
          </w:tcPr>
          <w:p w14:paraId="27E0781D" w14:textId="77777777" w:rsidR="00A85061" w:rsidRDefault="00A85061">
            <w:pPr>
              <w:rPr>
                <w:rFonts w:ascii="宋体"/>
                <w:vanish/>
              </w:rPr>
            </w:pPr>
          </w:p>
        </w:tc>
        <w:tc>
          <w:tcPr>
            <w:tcW w:w="0" w:type="auto"/>
            <w:gridSpan w:val="3"/>
            <w:shd w:val="clear" w:color="auto" w:fill="auto"/>
            <w:vAlign w:val="bottom"/>
          </w:tcPr>
          <w:p w14:paraId="27E0781E" w14:textId="77777777" w:rsidR="00A85061" w:rsidRDefault="00A85061">
            <w:pPr>
              <w:rPr>
                <w:rFonts w:ascii="宋体"/>
                <w:vanish/>
              </w:rPr>
            </w:pPr>
          </w:p>
        </w:tc>
        <w:tc>
          <w:tcPr>
            <w:tcW w:w="0" w:type="auto"/>
            <w:gridSpan w:val="3"/>
            <w:shd w:val="clear" w:color="auto" w:fill="auto"/>
            <w:vAlign w:val="bottom"/>
          </w:tcPr>
          <w:p w14:paraId="27E0781F" w14:textId="77777777" w:rsidR="00A85061" w:rsidRDefault="00A85061">
            <w:pPr>
              <w:rPr>
                <w:rFonts w:ascii="宋体"/>
                <w:vanish/>
              </w:rPr>
            </w:pPr>
          </w:p>
        </w:tc>
        <w:tc>
          <w:tcPr>
            <w:tcW w:w="0" w:type="auto"/>
            <w:gridSpan w:val="3"/>
            <w:shd w:val="clear" w:color="auto" w:fill="auto"/>
            <w:vAlign w:val="bottom"/>
          </w:tcPr>
          <w:p w14:paraId="27E07820" w14:textId="77777777" w:rsidR="00A85061" w:rsidRDefault="00A85061">
            <w:pPr>
              <w:rPr>
                <w:rFonts w:ascii="宋体"/>
                <w:vanish/>
              </w:rPr>
            </w:pPr>
          </w:p>
        </w:tc>
        <w:tc>
          <w:tcPr>
            <w:tcW w:w="0" w:type="auto"/>
            <w:gridSpan w:val="3"/>
            <w:shd w:val="clear" w:color="auto" w:fill="auto"/>
            <w:vAlign w:val="bottom"/>
          </w:tcPr>
          <w:p w14:paraId="27E07821" w14:textId="77777777" w:rsidR="00A85061" w:rsidRDefault="00A85061">
            <w:pPr>
              <w:rPr>
                <w:rFonts w:ascii="宋体"/>
                <w:vanish/>
              </w:rPr>
            </w:pPr>
          </w:p>
        </w:tc>
        <w:tc>
          <w:tcPr>
            <w:tcW w:w="0" w:type="auto"/>
            <w:gridSpan w:val="3"/>
            <w:shd w:val="clear" w:color="auto" w:fill="auto"/>
            <w:vAlign w:val="bottom"/>
          </w:tcPr>
          <w:p w14:paraId="27E07822" w14:textId="77777777" w:rsidR="00A85061" w:rsidRDefault="00A85061">
            <w:pPr>
              <w:rPr>
                <w:rFonts w:ascii="宋体"/>
                <w:vanish/>
              </w:rPr>
            </w:pPr>
          </w:p>
        </w:tc>
        <w:tc>
          <w:tcPr>
            <w:tcW w:w="0" w:type="auto"/>
            <w:gridSpan w:val="3"/>
            <w:shd w:val="clear" w:color="auto" w:fill="auto"/>
            <w:vAlign w:val="bottom"/>
          </w:tcPr>
          <w:p w14:paraId="27E07823" w14:textId="77777777" w:rsidR="00A85061" w:rsidRDefault="00A85061">
            <w:pPr>
              <w:rPr>
                <w:rFonts w:ascii="宋体"/>
                <w:vanish/>
              </w:rPr>
            </w:pPr>
          </w:p>
        </w:tc>
        <w:tc>
          <w:tcPr>
            <w:tcW w:w="0" w:type="auto"/>
            <w:gridSpan w:val="3"/>
            <w:shd w:val="clear" w:color="auto" w:fill="auto"/>
            <w:vAlign w:val="bottom"/>
          </w:tcPr>
          <w:p w14:paraId="27E07824" w14:textId="77777777" w:rsidR="00A85061" w:rsidRDefault="00A85061">
            <w:pPr>
              <w:rPr>
                <w:rFonts w:ascii="宋体"/>
                <w:vanish/>
              </w:rPr>
            </w:pPr>
          </w:p>
        </w:tc>
        <w:tc>
          <w:tcPr>
            <w:tcW w:w="0" w:type="auto"/>
            <w:gridSpan w:val="3"/>
            <w:shd w:val="clear" w:color="auto" w:fill="auto"/>
            <w:vAlign w:val="bottom"/>
          </w:tcPr>
          <w:p w14:paraId="27E07825" w14:textId="77777777" w:rsidR="00A85061" w:rsidRDefault="00A85061">
            <w:pPr>
              <w:rPr>
                <w:rFonts w:ascii="宋体"/>
                <w:vanish/>
              </w:rPr>
            </w:pPr>
          </w:p>
        </w:tc>
        <w:tc>
          <w:tcPr>
            <w:tcW w:w="0" w:type="auto"/>
            <w:gridSpan w:val="3"/>
            <w:shd w:val="clear" w:color="auto" w:fill="auto"/>
            <w:vAlign w:val="bottom"/>
          </w:tcPr>
          <w:p w14:paraId="27E07826" w14:textId="77777777" w:rsidR="00A85061" w:rsidRDefault="00A85061">
            <w:pPr>
              <w:rPr>
                <w:rFonts w:ascii="宋体"/>
                <w:vanish/>
              </w:rPr>
            </w:pPr>
          </w:p>
        </w:tc>
        <w:tc>
          <w:tcPr>
            <w:tcW w:w="0" w:type="auto"/>
            <w:gridSpan w:val="3"/>
            <w:shd w:val="clear" w:color="auto" w:fill="auto"/>
            <w:vAlign w:val="bottom"/>
          </w:tcPr>
          <w:p w14:paraId="27E07827" w14:textId="77777777" w:rsidR="00A85061" w:rsidRDefault="00A85061">
            <w:pPr>
              <w:rPr>
                <w:rFonts w:ascii="宋体"/>
                <w:vanish/>
              </w:rPr>
            </w:pPr>
          </w:p>
        </w:tc>
      </w:tr>
      <w:tr w:rsidR="00A85061" w14:paraId="27E0783E" w14:textId="77777777">
        <w:trPr>
          <w:jc w:val="center"/>
        </w:trPr>
        <w:tc>
          <w:tcPr>
            <w:tcW w:w="0" w:type="auto"/>
            <w:gridSpan w:val="3"/>
            <w:shd w:val="clear" w:color="auto" w:fill="FFFFFF"/>
            <w:tcMar>
              <w:top w:w="40" w:type="dxa"/>
              <w:left w:w="20" w:type="dxa"/>
              <w:bottom w:w="40" w:type="dxa"/>
              <w:right w:w="20" w:type="dxa"/>
            </w:tcMar>
            <w:vAlign w:val="bottom"/>
          </w:tcPr>
          <w:p w14:paraId="27E07829" w14:textId="77777777" w:rsidR="00A85061" w:rsidRDefault="00F04891">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($0.16 per common share)</w:t>
            </w:r>
          </w:p>
        </w:tc>
        <w:tc>
          <w:tcPr>
            <w:tcW w:w="0" w:type="auto"/>
            <w:gridSpan w:val="2"/>
            <w:shd w:val="clear" w:color="auto" w:fill="FFFFFF"/>
            <w:tcMar>
              <w:top w:w="40" w:type="dxa"/>
              <w:left w:w="20" w:type="dxa"/>
              <w:bottom w:w="40" w:type="dxa"/>
              <w:right w:w="0" w:type="dxa"/>
            </w:tcMar>
            <w:vAlign w:val="bottom"/>
          </w:tcPr>
          <w:p w14:paraId="27E0782A"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2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2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2D"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2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2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30"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3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3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33"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3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3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36"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3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3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39" w14:textId="77777777" w:rsidR="00A85061" w:rsidRDefault="00F04891">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27E0783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3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3C" w14:textId="77777777" w:rsidR="00A85061" w:rsidRDefault="00F04891">
            <w:pPr>
              <w:jc w:val="right"/>
              <w:textAlignment w:val="bottom"/>
            </w:pPr>
            <w:r>
              <w:rPr>
                <w:rFonts w:ascii="sans-serif" w:eastAsia="sans-serif" w:hAnsi="sans-serif" w:cs="sans-serif"/>
                <w:color w:val="000000"/>
                <w:sz w:val="15"/>
                <w:szCs w:val="15"/>
              </w:rPr>
              <w:t>(99)</w:t>
            </w:r>
          </w:p>
        </w:tc>
        <w:tc>
          <w:tcPr>
            <w:tcW w:w="0" w:type="auto"/>
            <w:shd w:val="clear" w:color="auto" w:fill="FFFFFF"/>
            <w:tcMar>
              <w:top w:w="40" w:type="dxa"/>
              <w:left w:w="0" w:type="dxa"/>
              <w:bottom w:w="40" w:type="dxa"/>
              <w:right w:w="20" w:type="dxa"/>
            </w:tcMar>
            <w:vAlign w:val="bottom"/>
          </w:tcPr>
          <w:p w14:paraId="27E0783D" w14:textId="77777777" w:rsidR="00A85061" w:rsidRDefault="00A85061">
            <w:pPr>
              <w:jc w:val="right"/>
              <w:rPr>
                <w:rFonts w:ascii="宋体"/>
              </w:rPr>
            </w:pPr>
          </w:p>
        </w:tc>
      </w:tr>
      <w:tr w:rsidR="00A85061" w14:paraId="27E0784D" w14:textId="77777777">
        <w:trPr>
          <w:jc w:val="center"/>
          <w:hidden/>
        </w:trPr>
        <w:tc>
          <w:tcPr>
            <w:tcW w:w="0" w:type="auto"/>
            <w:gridSpan w:val="3"/>
            <w:shd w:val="clear" w:color="auto" w:fill="auto"/>
            <w:vAlign w:val="bottom"/>
          </w:tcPr>
          <w:p w14:paraId="27E0783F" w14:textId="77777777" w:rsidR="00A85061" w:rsidRDefault="00A85061">
            <w:pPr>
              <w:rPr>
                <w:rFonts w:ascii="宋体"/>
                <w:vanish/>
              </w:rPr>
            </w:pPr>
          </w:p>
        </w:tc>
        <w:tc>
          <w:tcPr>
            <w:tcW w:w="0" w:type="auto"/>
            <w:gridSpan w:val="3"/>
            <w:shd w:val="clear" w:color="auto" w:fill="auto"/>
            <w:vAlign w:val="bottom"/>
          </w:tcPr>
          <w:p w14:paraId="27E07840" w14:textId="77777777" w:rsidR="00A85061" w:rsidRDefault="00A85061">
            <w:pPr>
              <w:rPr>
                <w:rFonts w:ascii="宋体"/>
                <w:vanish/>
              </w:rPr>
            </w:pPr>
          </w:p>
        </w:tc>
        <w:tc>
          <w:tcPr>
            <w:tcW w:w="0" w:type="auto"/>
            <w:gridSpan w:val="3"/>
            <w:shd w:val="clear" w:color="auto" w:fill="auto"/>
            <w:vAlign w:val="bottom"/>
          </w:tcPr>
          <w:p w14:paraId="27E07841" w14:textId="77777777" w:rsidR="00A85061" w:rsidRDefault="00A85061">
            <w:pPr>
              <w:rPr>
                <w:rFonts w:ascii="宋体"/>
                <w:vanish/>
              </w:rPr>
            </w:pPr>
          </w:p>
        </w:tc>
        <w:tc>
          <w:tcPr>
            <w:tcW w:w="0" w:type="auto"/>
            <w:gridSpan w:val="3"/>
            <w:shd w:val="clear" w:color="auto" w:fill="auto"/>
            <w:vAlign w:val="bottom"/>
          </w:tcPr>
          <w:p w14:paraId="27E07842" w14:textId="77777777" w:rsidR="00A85061" w:rsidRDefault="00A85061">
            <w:pPr>
              <w:rPr>
                <w:rFonts w:ascii="宋体"/>
                <w:vanish/>
              </w:rPr>
            </w:pPr>
          </w:p>
        </w:tc>
        <w:tc>
          <w:tcPr>
            <w:tcW w:w="0" w:type="auto"/>
            <w:gridSpan w:val="3"/>
            <w:shd w:val="clear" w:color="auto" w:fill="auto"/>
            <w:vAlign w:val="bottom"/>
          </w:tcPr>
          <w:p w14:paraId="27E07843" w14:textId="77777777" w:rsidR="00A85061" w:rsidRDefault="00A85061">
            <w:pPr>
              <w:rPr>
                <w:rFonts w:ascii="宋体"/>
                <w:vanish/>
              </w:rPr>
            </w:pPr>
          </w:p>
        </w:tc>
        <w:tc>
          <w:tcPr>
            <w:tcW w:w="0" w:type="auto"/>
            <w:gridSpan w:val="3"/>
            <w:shd w:val="clear" w:color="auto" w:fill="auto"/>
            <w:vAlign w:val="bottom"/>
          </w:tcPr>
          <w:p w14:paraId="27E07844" w14:textId="77777777" w:rsidR="00A85061" w:rsidRDefault="00A85061">
            <w:pPr>
              <w:rPr>
                <w:rFonts w:ascii="宋体"/>
                <w:vanish/>
              </w:rPr>
            </w:pPr>
          </w:p>
        </w:tc>
        <w:tc>
          <w:tcPr>
            <w:tcW w:w="0" w:type="auto"/>
            <w:gridSpan w:val="3"/>
            <w:shd w:val="clear" w:color="auto" w:fill="auto"/>
            <w:vAlign w:val="bottom"/>
          </w:tcPr>
          <w:p w14:paraId="27E07845" w14:textId="77777777" w:rsidR="00A85061" w:rsidRDefault="00A85061">
            <w:pPr>
              <w:rPr>
                <w:rFonts w:ascii="宋体"/>
                <w:vanish/>
              </w:rPr>
            </w:pPr>
          </w:p>
        </w:tc>
        <w:tc>
          <w:tcPr>
            <w:tcW w:w="0" w:type="auto"/>
            <w:gridSpan w:val="3"/>
            <w:shd w:val="clear" w:color="auto" w:fill="auto"/>
            <w:vAlign w:val="bottom"/>
          </w:tcPr>
          <w:p w14:paraId="27E07846" w14:textId="77777777" w:rsidR="00A85061" w:rsidRDefault="00A85061">
            <w:pPr>
              <w:rPr>
                <w:rFonts w:ascii="宋体"/>
                <w:vanish/>
              </w:rPr>
            </w:pPr>
          </w:p>
        </w:tc>
        <w:tc>
          <w:tcPr>
            <w:tcW w:w="0" w:type="auto"/>
            <w:gridSpan w:val="3"/>
            <w:shd w:val="clear" w:color="auto" w:fill="auto"/>
            <w:vAlign w:val="bottom"/>
          </w:tcPr>
          <w:p w14:paraId="27E07847" w14:textId="77777777" w:rsidR="00A85061" w:rsidRDefault="00A85061">
            <w:pPr>
              <w:rPr>
                <w:rFonts w:ascii="宋体"/>
                <w:vanish/>
              </w:rPr>
            </w:pPr>
          </w:p>
        </w:tc>
        <w:tc>
          <w:tcPr>
            <w:tcW w:w="0" w:type="auto"/>
            <w:gridSpan w:val="3"/>
            <w:shd w:val="clear" w:color="auto" w:fill="auto"/>
            <w:vAlign w:val="bottom"/>
          </w:tcPr>
          <w:p w14:paraId="27E07848" w14:textId="77777777" w:rsidR="00A85061" w:rsidRDefault="00A85061">
            <w:pPr>
              <w:rPr>
                <w:rFonts w:ascii="宋体"/>
                <w:vanish/>
              </w:rPr>
            </w:pPr>
          </w:p>
        </w:tc>
        <w:tc>
          <w:tcPr>
            <w:tcW w:w="0" w:type="auto"/>
            <w:gridSpan w:val="3"/>
            <w:shd w:val="clear" w:color="auto" w:fill="auto"/>
            <w:vAlign w:val="bottom"/>
          </w:tcPr>
          <w:p w14:paraId="27E07849" w14:textId="77777777" w:rsidR="00A85061" w:rsidRDefault="00A85061">
            <w:pPr>
              <w:rPr>
                <w:rFonts w:ascii="宋体"/>
                <w:vanish/>
              </w:rPr>
            </w:pPr>
          </w:p>
        </w:tc>
        <w:tc>
          <w:tcPr>
            <w:tcW w:w="0" w:type="auto"/>
            <w:gridSpan w:val="3"/>
            <w:shd w:val="clear" w:color="auto" w:fill="auto"/>
            <w:vAlign w:val="bottom"/>
          </w:tcPr>
          <w:p w14:paraId="27E0784A" w14:textId="77777777" w:rsidR="00A85061" w:rsidRDefault="00A85061">
            <w:pPr>
              <w:rPr>
                <w:rFonts w:ascii="宋体"/>
                <w:vanish/>
              </w:rPr>
            </w:pPr>
          </w:p>
        </w:tc>
        <w:tc>
          <w:tcPr>
            <w:tcW w:w="0" w:type="auto"/>
            <w:gridSpan w:val="3"/>
            <w:shd w:val="clear" w:color="auto" w:fill="auto"/>
            <w:vAlign w:val="bottom"/>
          </w:tcPr>
          <w:p w14:paraId="27E0784B" w14:textId="77777777" w:rsidR="00A85061" w:rsidRDefault="00A85061">
            <w:pPr>
              <w:rPr>
                <w:rFonts w:ascii="宋体"/>
                <w:vanish/>
              </w:rPr>
            </w:pPr>
          </w:p>
        </w:tc>
        <w:tc>
          <w:tcPr>
            <w:tcW w:w="0" w:type="auto"/>
            <w:gridSpan w:val="3"/>
            <w:shd w:val="clear" w:color="auto" w:fill="auto"/>
            <w:vAlign w:val="bottom"/>
          </w:tcPr>
          <w:p w14:paraId="27E0784C" w14:textId="77777777" w:rsidR="00A85061" w:rsidRDefault="00A85061">
            <w:pPr>
              <w:rPr>
                <w:rFonts w:ascii="宋体"/>
                <w:vanish/>
              </w:rPr>
            </w:pPr>
          </w:p>
        </w:tc>
      </w:tr>
      <w:tr w:rsidR="00A85061" w14:paraId="27E07863" w14:textId="77777777">
        <w:trPr>
          <w:jc w:val="center"/>
        </w:trPr>
        <w:tc>
          <w:tcPr>
            <w:tcW w:w="0" w:type="auto"/>
            <w:gridSpan w:val="3"/>
            <w:shd w:val="clear" w:color="auto" w:fill="E2EFD9"/>
            <w:tcMar>
              <w:top w:w="40" w:type="dxa"/>
              <w:left w:w="20" w:type="dxa"/>
              <w:bottom w:w="40" w:type="dxa"/>
              <w:right w:w="20" w:type="dxa"/>
            </w:tcMar>
            <w:vAlign w:val="bottom"/>
          </w:tcPr>
          <w:p w14:paraId="27E0784E" w14:textId="77777777" w:rsidR="00A85061" w:rsidRDefault="00F04891">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27E0784F"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5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5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5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5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5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55" w14:textId="77777777" w:rsidR="00A85061" w:rsidRDefault="00F04891">
            <w:pPr>
              <w:jc w:val="right"/>
              <w:textAlignment w:val="bottom"/>
            </w:pPr>
            <w:r>
              <w:rPr>
                <w:rFonts w:ascii="sans-serif" w:eastAsia="sans-serif" w:hAnsi="sans-serif" w:cs="sans-serif"/>
                <w:color w:val="000000"/>
                <w:sz w:val="15"/>
                <w:szCs w:val="15"/>
              </w:rPr>
              <w:t>433 </w:t>
            </w:r>
          </w:p>
        </w:tc>
        <w:tc>
          <w:tcPr>
            <w:tcW w:w="0" w:type="auto"/>
            <w:shd w:val="clear" w:color="auto" w:fill="E2EFD9"/>
            <w:tcMar>
              <w:top w:w="40" w:type="dxa"/>
              <w:left w:w="0" w:type="dxa"/>
              <w:bottom w:w="40" w:type="dxa"/>
              <w:right w:w="20" w:type="dxa"/>
            </w:tcMar>
            <w:vAlign w:val="bottom"/>
          </w:tcPr>
          <w:p w14:paraId="27E0785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5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58"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5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5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5B"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5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5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5E"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5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6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61" w14:textId="77777777" w:rsidR="00A85061" w:rsidRDefault="00F04891">
            <w:pPr>
              <w:jc w:val="right"/>
              <w:textAlignment w:val="bottom"/>
            </w:pPr>
            <w:r>
              <w:rPr>
                <w:rFonts w:ascii="sans-serif" w:eastAsia="sans-serif" w:hAnsi="sans-serif" w:cs="sans-serif"/>
                <w:color w:val="000000"/>
                <w:sz w:val="15"/>
                <w:szCs w:val="15"/>
              </w:rPr>
              <w:t>433 </w:t>
            </w:r>
          </w:p>
        </w:tc>
        <w:tc>
          <w:tcPr>
            <w:tcW w:w="0" w:type="auto"/>
            <w:shd w:val="clear" w:color="auto" w:fill="E2EFD9"/>
            <w:tcMar>
              <w:top w:w="40" w:type="dxa"/>
              <w:left w:w="0" w:type="dxa"/>
              <w:bottom w:w="40" w:type="dxa"/>
              <w:right w:w="20" w:type="dxa"/>
            </w:tcMar>
            <w:vAlign w:val="bottom"/>
          </w:tcPr>
          <w:p w14:paraId="27E07862" w14:textId="77777777" w:rsidR="00A85061" w:rsidRDefault="00A85061">
            <w:pPr>
              <w:jc w:val="right"/>
              <w:rPr>
                <w:rFonts w:ascii="宋体"/>
              </w:rPr>
            </w:pPr>
          </w:p>
        </w:tc>
      </w:tr>
      <w:tr w:rsidR="00A85061" w14:paraId="27E0787F" w14:textId="77777777">
        <w:trPr>
          <w:jc w:val="center"/>
        </w:trPr>
        <w:tc>
          <w:tcPr>
            <w:tcW w:w="0" w:type="auto"/>
            <w:gridSpan w:val="3"/>
            <w:shd w:val="clear" w:color="auto" w:fill="FFFFFF"/>
            <w:tcMar>
              <w:top w:w="40" w:type="dxa"/>
              <w:left w:w="20" w:type="dxa"/>
              <w:bottom w:w="40" w:type="dxa"/>
              <w:right w:w="20" w:type="dxa"/>
            </w:tcMar>
            <w:vAlign w:val="bottom"/>
          </w:tcPr>
          <w:p w14:paraId="27E07864" w14:textId="77777777" w:rsidR="00A85061" w:rsidRDefault="00F04891">
            <w:pPr>
              <w:textAlignment w:val="bottom"/>
            </w:pPr>
            <w:r>
              <w:rPr>
                <w:rFonts w:ascii="sans-serif" w:eastAsia="sans-serif" w:hAnsi="sans-serif" w:cs="sans-serif"/>
                <w:color w:val="000000"/>
                <w:sz w:val="15"/>
                <w:szCs w:val="15"/>
              </w:rPr>
              <w:t>Balances, May 2, 2021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865" w14:textId="77777777" w:rsidR="00A85061" w:rsidRDefault="00F04891">
            <w:pPr>
              <w:jc w:val="right"/>
              <w:textAlignment w:val="bottom"/>
            </w:pPr>
            <w:r>
              <w:rPr>
                <w:rFonts w:ascii="sans-serif" w:eastAsia="sans-serif" w:hAnsi="sans-serif" w:cs="sans-serif"/>
                <w:color w:val="000000"/>
                <w:sz w:val="15"/>
                <w:szCs w:val="15"/>
              </w:rPr>
              <w:t>623</w:t>
            </w:r>
            <w:r>
              <w:rPr>
                <w:rFonts w:ascii="sans-serif" w:eastAsia="sans-serif" w:hAnsi="sans-serif" w:cs="sans-serif"/>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6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67"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68"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69" w14:textId="77777777" w:rsidR="00A85061" w:rsidRDefault="00F04891">
            <w:pPr>
              <w:jc w:val="right"/>
              <w:textAlignment w:val="bottom"/>
            </w:pPr>
            <w:r>
              <w:rPr>
                <w:rFonts w:ascii="sans-serif" w:eastAsia="sans-serif" w:hAnsi="sans-serif" w:cs="sans-serif"/>
                <w:color w:val="000000"/>
                <w:sz w:val="15"/>
                <w:szCs w:val="15"/>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6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6B"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6C"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6D" w14:textId="77777777" w:rsidR="00A85061" w:rsidRDefault="00F04891">
            <w:pPr>
              <w:jc w:val="right"/>
              <w:textAlignment w:val="bottom"/>
            </w:pPr>
            <w:r>
              <w:rPr>
                <w:rFonts w:ascii="sans-serif" w:eastAsia="sans-serif" w:hAnsi="sans-serif" w:cs="sans-serif"/>
                <w:color w:val="000000"/>
                <w:sz w:val="15"/>
                <w:szCs w:val="15"/>
              </w:rPr>
              <w:t>9,280 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6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6F"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70"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71" w14:textId="77777777" w:rsidR="00A85061" w:rsidRDefault="00F04891">
            <w:pPr>
              <w:jc w:val="right"/>
              <w:textAlignment w:val="bottom"/>
            </w:pPr>
            <w:r>
              <w:rPr>
                <w:rFonts w:ascii="sans-serif" w:eastAsia="sans-serif" w:hAnsi="sans-serif" w:cs="sans-serif"/>
                <w:color w:val="000000"/>
                <w:sz w:val="15"/>
                <w:szCs w:val="15"/>
              </w:rPr>
              <w:t>(11,242)</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7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73"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74"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75" w14:textId="77777777" w:rsidR="00A85061" w:rsidRDefault="00F04891">
            <w:pPr>
              <w:jc w:val="right"/>
              <w:textAlignment w:val="bottom"/>
            </w:pPr>
            <w:r>
              <w:rPr>
                <w:rFonts w:ascii="sans-serif" w:eastAsia="sans-serif" w:hAnsi="sans-serif" w:cs="sans-serif"/>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7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77"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78"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79" w14:textId="77777777" w:rsidR="00A85061" w:rsidRDefault="00F04891">
            <w:pPr>
              <w:jc w:val="right"/>
              <w:textAlignment w:val="bottom"/>
            </w:pPr>
            <w:r>
              <w:rPr>
                <w:rFonts w:ascii="sans-serif" w:eastAsia="sans-serif" w:hAnsi="sans-serif" w:cs="sans-serif"/>
                <w:color w:val="000000"/>
                <w:sz w:val="15"/>
                <w:szCs w:val="15"/>
              </w:rPr>
              <w:t>20,721 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7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7B" w14:textId="77777777" w:rsidR="00A85061" w:rsidRDefault="00A8506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27E0787C"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27E0787D" w14:textId="77777777" w:rsidR="00A85061" w:rsidRDefault="00F04891">
            <w:pPr>
              <w:jc w:val="right"/>
              <w:textAlignment w:val="bottom"/>
            </w:pPr>
            <w:r>
              <w:rPr>
                <w:rFonts w:ascii="sans-serif" w:eastAsia="sans-serif" w:hAnsi="sans-serif" w:cs="sans-serif"/>
                <w:color w:val="000000"/>
                <w:sz w:val="15"/>
                <w:szCs w:val="15"/>
              </w:rPr>
              <w:t>18,774 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87E" w14:textId="77777777" w:rsidR="00A85061" w:rsidRDefault="00A85061">
            <w:pPr>
              <w:jc w:val="right"/>
              <w:rPr>
                <w:rFonts w:ascii="宋体"/>
              </w:rPr>
            </w:pPr>
          </w:p>
        </w:tc>
      </w:tr>
      <w:tr w:rsidR="00A85061" w14:paraId="27E0789B" w14:textId="77777777">
        <w:trPr>
          <w:jc w:val="center"/>
        </w:trPr>
        <w:tc>
          <w:tcPr>
            <w:tcW w:w="0" w:type="auto"/>
            <w:gridSpan w:val="3"/>
            <w:shd w:val="clear" w:color="auto" w:fill="E2EFD9"/>
            <w:tcMar>
              <w:top w:w="40" w:type="dxa"/>
              <w:left w:w="20" w:type="dxa"/>
              <w:bottom w:w="40" w:type="dxa"/>
              <w:right w:w="20" w:type="dxa"/>
            </w:tcMar>
            <w:vAlign w:val="bottom"/>
          </w:tcPr>
          <w:p w14:paraId="27E07880" w14:textId="77777777" w:rsidR="00A85061" w:rsidRDefault="00F04891">
            <w:pPr>
              <w:textAlignment w:val="bottom"/>
            </w:pPr>
            <w:r>
              <w:rPr>
                <w:rFonts w:ascii="sans-serif" w:eastAsia="sans-serif" w:hAnsi="sans-serif" w:cs="sans-serif"/>
                <w:color w:val="000000"/>
                <w:sz w:val="15"/>
                <w:szCs w:val="15"/>
              </w:rPr>
              <w:t>Balances, January 26, 2020</w:t>
            </w:r>
          </w:p>
        </w:tc>
        <w:tc>
          <w:tcPr>
            <w:tcW w:w="0" w:type="auto"/>
            <w:gridSpan w:val="2"/>
            <w:tcBorders>
              <w:top w:val="double" w:sz="6" w:space="0" w:color="000000"/>
            </w:tcBorders>
            <w:shd w:val="clear" w:color="auto" w:fill="E2EFD9"/>
            <w:tcMar>
              <w:top w:w="40" w:type="dxa"/>
              <w:left w:w="20" w:type="dxa"/>
              <w:bottom w:w="40" w:type="dxa"/>
              <w:right w:w="0" w:type="dxa"/>
            </w:tcMar>
            <w:vAlign w:val="bottom"/>
          </w:tcPr>
          <w:p w14:paraId="27E07881" w14:textId="77777777" w:rsidR="00A85061" w:rsidRDefault="00F04891">
            <w:pPr>
              <w:jc w:val="right"/>
              <w:textAlignment w:val="bottom"/>
            </w:pPr>
            <w:r>
              <w:rPr>
                <w:rFonts w:ascii="sans-serif" w:eastAsia="sans-serif" w:hAnsi="sans-serif" w:cs="sans-serif"/>
                <w:color w:val="000000"/>
                <w:sz w:val="15"/>
                <w:szCs w:val="15"/>
              </w:rPr>
              <w:t>612 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8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83"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84"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85" w14:textId="77777777" w:rsidR="00A85061" w:rsidRDefault="00F04891">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8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87"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88"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89" w14:textId="77777777" w:rsidR="00A85061" w:rsidRDefault="00F04891">
            <w:pPr>
              <w:jc w:val="right"/>
              <w:textAlignment w:val="bottom"/>
            </w:pPr>
            <w:r>
              <w:rPr>
                <w:rFonts w:ascii="sans-serif" w:eastAsia="sans-serif" w:hAnsi="sans-serif" w:cs="sans-serif"/>
                <w:color w:val="000000"/>
                <w:sz w:val="15"/>
                <w:szCs w:val="15"/>
              </w:rPr>
              <w:t>7,045 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8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8B"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8C"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8D" w14:textId="77777777" w:rsidR="00A85061" w:rsidRDefault="00F04891">
            <w:pPr>
              <w:jc w:val="right"/>
              <w:textAlignment w:val="bottom"/>
            </w:pPr>
            <w:r>
              <w:rPr>
                <w:rFonts w:ascii="sans-serif" w:eastAsia="sans-serif" w:hAnsi="sans-serif" w:cs="sans-serif"/>
                <w:color w:val="000000"/>
                <w:sz w:val="15"/>
                <w:szCs w:val="15"/>
              </w:rPr>
              <w:t>(9,814)</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8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8F"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90"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91" w14:textId="77777777" w:rsidR="00A85061" w:rsidRDefault="00F04891">
            <w:pPr>
              <w:jc w:val="right"/>
              <w:textAlignment w:val="bottom"/>
            </w:pPr>
            <w:r>
              <w:rPr>
                <w:rFonts w:ascii="sans-serif" w:eastAsia="sans-serif" w:hAnsi="sans-serif" w:cs="sans-serif"/>
                <w:color w:val="000000"/>
                <w:sz w:val="15"/>
                <w:szCs w:val="15"/>
              </w:rPr>
              <w:t>1 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9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93"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94"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95" w14:textId="77777777" w:rsidR="00A85061" w:rsidRDefault="00F04891">
            <w:pPr>
              <w:jc w:val="right"/>
              <w:textAlignment w:val="bottom"/>
            </w:pPr>
            <w:r>
              <w:rPr>
                <w:rFonts w:ascii="sans-serif" w:eastAsia="sans-serif" w:hAnsi="sans-serif" w:cs="sans-serif"/>
                <w:color w:val="000000"/>
                <w:sz w:val="15"/>
                <w:szCs w:val="15"/>
              </w:rPr>
              <w:t>14,971 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9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97"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898"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899" w14:textId="77777777" w:rsidR="00A85061" w:rsidRDefault="00F04891">
            <w:pPr>
              <w:jc w:val="right"/>
              <w:textAlignment w:val="bottom"/>
            </w:pPr>
            <w:r>
              <w:rPr>
                <w:rFonts w:ascii="sans-serif" w:eastAsia="sans-serif" w:hAnsi="sans-serif" w:cs="sans-serif"/>
                <w:color w:val="000000"/>
                <w:sz w:val="15"/>
                <w:szCs w:val="15"/>
              </w:rPr>
              <w:t>12,204 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89A" w14:textId="77777777" w:rsidR="00A85061" w:rsidRDefault="00A85061">
            <w:pPr>
              <w:jc w:val="right"/>
              <w:rPr>
                <w:rFonts w:ascii="宋体"/>
              </w:rPr>
            </w:pPr>
          </w:p>
        </w:tc>
      </w:tr>
      <w:tr w:rsidR="00A85061" w14:paraId="27E078B1" w14:textId="77777777">
        <w:trPr>
          <w:jc w:val="center"/>
        </w:trPr>
        <w:tc>
          <w:tcPr>
            <w:tcW w:w="0" w:type="auto"/>
            <w:gridSpan w:val="3"/>
            <w:shd w:val="clear" w:color="auto" w:fill="FFFFFF"/>
            <w:tcMar>
              <w:top w:w="40" w:type="dxa"/>
              <w:left w:w="20" w:type="dxa"/>
              <w:bottom w:w="40" w:type="dxa"/>
              <w:right w:w="20" w:type="dxa"/>
            </w:tcMar>
            <w:vAlign w:val="bottom"/>
          </w:tcPr>
          <w:p w14:paraId="27E0789C" w14:textId="77777777" w:rsidR="00A85061" w:rsidRDefault="00F04891">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27E0789D"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9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9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0"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A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A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3"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A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A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6"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A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A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9"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A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A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C" w14:textId="77777777" w:rsidR="00A85061" w:rsidRDefault="00F04891">
            <w:pPr>
              <w:jc w:val="right"/>
              <w:textAlignment w:val="bottom"/>
            </w:pPr>
            <w:r>
              <w:rPr>
                <w:rFonts w:ascii="sans-serif" w:eastAsia="sans-serif" w:hAnsi="sans-serif" w:cs="sans-serif"/>
                <w:color w:val="000000"/>
                <w:sz w:val="15"/>
                <w:szCs w:val="15"/>
              </w:rPr>
              <w:t>917 </w:t>
            </w:r>
          </w:p>
        </w:tc>
        <w:tc>
          <w:tcPr>
            <w:tcW w:w="0" w:type="auto"/>
            <w:shd w:val="clear" w:color="auto" w:fill="FFFFFF"/>
            <w:tcMar>
              <w:top w:w="40" w:type="dxa"/>
              <w:left w:w="0" w:type="dxa"/>
              <w:bottom w:w="40" w:type="dxa"/>
              <w:right w:w="20" w:type="dxa"/>
            </w:tcMar>
            <w:vAlign w:val="bottom"/>
          </w:tcPr>
          <w:p w14:paraId="27E078A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A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AF" w14:textId="77777777" w:rsidR="00A85061" w:rsidRDefault="00F04891">
            <w:pPr>
              <w:jc w:val="right"/>
              <w:textAlignment w:val="bottom"/>
            </w:pPr>
            <w:r>
              <w:rPr>
                <w:rFonts w:ascii="sans-serif" w:eastAsia="sans-serif" w:hAnsi="sans-serif" w:cs="sans-serif"/>
                <w:color w:val="000000"/>
                <w:sz w:val="15"/>
                <w:szCs w:val="15"/>
              </w:rPr>
              <w:t>917 </w:t>
            </w:r>
          </w:p>
        </w:tc>
        <w:tc>
          <w:tcPr>
            <w:tcW w:w="0" w:type="auto"/>
            <w:shd w:val="clear" w:color="auto" w:fill="FFFFFF"/>
            <w:tcMar>
              <w:top w:w="40" w:type="dxa"/>
              <w:left w:w="0" w:type="dxa"/>
              <w:bottom w:w="40" w:type="dxa"/>
              <w:right w:w="20" w:type="dxa"/>
            </w:tcMar>
            <w:vAlign w:val="bottom"/>
          </w:tcPr>
          <w:p w14:paraId="27E078B0" w14:textId="77777777" w:rsidR="00A85061" w:rsidRDefault="00A85061">
            <w:pPr>
              <w:jc w:val="right"/>
              <w:rPr>
                <w:rFonts w:ascii="宋体"/>
              </w:rPr>
            </w:pPr>
          </w:p>
        </w:tc>
      </w:tr>
      <w:tr w:rsidR="00A85061" w14:paraId="27E078C7" w14:textId="77777777">
        <w:trPr>
          <w:jc w:val="center"/>
        </w:trPr>
        <w:tc>
          <w:tcPr>
            <w:tcW w:w="0" w:type="auto"/>
            <w:gridSpan w:val="3"/>
            <w:shd w:val="clear" w:color="auto" w:fill="E2EFD9"/>
            <w:tcMar>
              <w:top w:w="40" w:type="dxa"/>
              <w:left w:w="20" w:type="dxa"/>
              <w:bottom w:w="40" w:type="dxa"/>
              <w:right w:w="20" w:type="dxa"/>
            </w:tcMar>
            <w:vAlign w:val="bottom"/>
          </w:tcPr>
          <w:p w14:paraId="27E078B2" w14:textId="77777777" w:rsidR="00A85061" w:rsidRDefault="00F04891">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27E078B3"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B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B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B6"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B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B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B9"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B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B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BC"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B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B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BF" w14:textId="77777777" w:rsidR="00A85061" w:rsidRDefault="00F04891">
            <w:pPr>
              <w:jc w:val="right"/>
              <w:textAlignment w:val="bottom"/>
            </w:pPr>
            <w:r>
              <w:rPr>
                <w:rFonts w:ascii="sans-serif" w:eastAsia="sans-serif" w:hAnsi="sans-serif" w:cs="sans-serif"/>
                <w:color w:val="000000"/>
                <w:sz w:val="15"/>
                <w:szCs w:val="15"/>
              </w:rPr>
              <w:t>(11)</w:t>
            </w:r>
          </w:p>
        </w:tc>
        <w:tc>
          <w:tcPr>
            <w:tcW w:w="0" w:type="auto"/>
            <w:shd w:val="clear" w:color="auto" w:fill="E2EFD9"/>
            <w:tcMar>
              <w:top w:w="40" w:type="dxa"/>
              <w:left w:w="0" w:type="dxa"/>
              <w:bottom w:w="40" w:type="dxa"/>
              <w:right w:w="20" w:type="dxa"/>
            </w:tcMar>
            <w:vAlign w:val="bottom"/>
          </w:tcPr>
          <w:p w14:paraId="27E078C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C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C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C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C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C5" w14:textId="77777777" w:rsidR="00A85061" w:rsidRDefault="00F04891">
            <w:pPr>
              <w:jc w:val="right"/>
              <w:textAlignment w:val="bottom"/>
            </w:pPr>
            <w:r>
              <w:rPr>
                <w:rFonts w:ascii="sans-serif" w:eastAsia="sans-serif" w:hAnsi="sans-serif" w:cs="sans-serif"/>
                <w:color w:val="000000"/>
                <w:sz w:val="15"/>
                <w:szCs w:val="15"/>
              </w:rPr>
              <w:t>(11)</w:t>
            </w:r>
          </w:p>
        </w:tc>
        <w:tc>
          <w:tcPr>
            <w:tcW w:w="0" w:type="auto"/>
            <w:shd w:val="clear" w:color="auto" w:fill="E2EFD9"/>
            <w:tcMar>
              <w:top w:w="40" w:type="dxa"/>
              <w:left w:w="0" w:type="dxa"/>
              <w:bottom w:w="40" w:type="dxa"/>
              <w:right w:w="20" w:type="dxa"/>
            </w:tcMar>
            <w:vAlign w:val="bottom"/>
          </w:tcPr>
          <w:p w14:paraId="27E078C6" w14:textId="77777777" w:rsidR="00A85061" w:rsidRDefault="00A85061">
            <w:pPr>
              <w:jc w:val="right"/>
              <w:rPr>
                <w:rFonts w:ascii="宋体"/>
              </w:rPr>
            </w:pPr>
          </w:p>
        </w:tc>
      </w:tr>
      <w:tr w:rsidR="00A85061" w14:paraId="27E078DD" w14:textId="77777777">
        <w:trPr>
          <w:jc w:val="center"/>
        </w:trPr>
        <w:tc>
          <w:tcPr>
            <w:tcW w:w="0" w:type="auto"/>
            <w:gridSpan w:val="3"/>
            <w:shd w:val="clear" w:color="auto" w:fill="FFFFFF"/>
            <w:tcMar>
              <w:top w:w="40" w:type="dxa"/>
              <w:left w:w="20" w:type="dxa"/>
              <w:bottom w:w="40" w:type="dxa"/>
              <w:right w:w="20" w:type="dxa"/>
            </w:tcMar>
            <w:vAlign w:val="bottom"/>
          </w:tcPr>
          <w:p w14:paraId="27E078C8" w14:textId="77777777" w:rsidR="00A85061" w:rsidRDefault="00F04891">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27E078C9" w14:textId="77777777" w:rsidR="00A85061" w:rsidRDefault="00F04891">
            <w:pPr>
              <w:jc w:val="right"/>
              <w:textAlignment w:val="bottom"/>
            </w:pPr>
            <w:r>
              <w:rPr>
                <w:rFonts w:ascii="sans-serif" w:eastAsia="sans-serif" w:hAnsi="sans-serif" w:cs="sans-serif"/>
                <w:color w:val="000000"/>
                <w:sz w:val="15"/>
                <w:szCs w:val="15"/>
              </w:rPr>
              <w:t>4 </w:t>
            </w:r>
          </w:p>
        </w:tc>
        <w:tc>
          <w:tcPr>
            <w:tcW w:w="0" w:type="auto"/>
            <w:shd w:val="clear" w:color="auto" w:fill="FFFFFF"/>
            <w:tcMar>
              <w:top w:w="40" w:type="dxa"/>
              <w:left w:w="0" w:type="dxa"/>
              <w:bottom w:w="40" w:type="dxa"/>
              <w:right w:w="20" w:type="dxa"/>
            </w:tcMar>
            <w:vAlign w:val="bottom"/>
          </w:tcPr>
          <w:p w14:paraId="27E078C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C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CC"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C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C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CF" w14:textId="77777777" w:rsidR="00A85061" w:rsidRDefault="00F04891">
            <w:pPr>
              <w:jc w:val="right"/>
              <w:textAlignment w:val="bottom"/>
            </w:pPr>
            <w:r>
              <w:rPr>
                <w:rFonts w:ascii="sans-serif" w:eastAsia="sans-serif" w:hAnsi="sans-serif" w:cs="sans-serif"/>
                <w:color w:val="000000"/>
                <w:sz w:val="15"/>
                <w:szCs w:val="15"/>
              </w:rPr>
              <w:t>88 </w:t>
            </w:r>
          </w:p>
        </w:tc>
        <w:tc>
          <w:tcPr>
            <w:tcW w:w="0" w:type="auto"/>
            <w:shd w:val="clear" w:color="auto" w:fill="FFFFFF"/>
            <w:tcMar>
              <w:top w:w="40" w:type="dxa"/>
              <w:left w:w="0" w:type="dxa"/>
              <w:bottom w:w="40" w:type="dxa"/>
              <w:right w:w="20" w:type="dxa"/>
            </w:tcMar>
            <w:vAlign w:val="bottom"/>
          </w:tcPr>
          <w:p w14:paraId="27E078D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D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D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D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D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D5"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D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D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D8"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8D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8D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8DB" w14:textId="77777777" w:rsidR="00A85061" w:rsidRDefault="00F04891">
            <w:pPr>
              <w:jc w:val="right"/>
              <w:textAlignment w:val="bottom"/>
            </w:pPr>
            <w:r>
              <w:rPr>
                <w:rFonts w:ascii="sans-serif" w:eastAsia="sans-serif" w:hAnsi="sans-serif" w:cs="sans-serif"/>
                <w:color w:val="000000"/>
                <w:sz w:val="15"/>
                <w:szCs w:val="15"/>
              </w:rPr>
              <w:t>88 </w:t>
            </w:r>
          </w:p>
        </w:tc>
        <w:tc>
          <w:tcPr>
            <w:tcW w:w="0" w:type="auto"/>
            <w:shd w:val="clear" w:color="auto" w:fill="FFFFFF"/>
            <w:tcMar>
              <w:top w:w="40" w:type="dxa"/>
              <w:left w:w="0" w:type="dxa"/>
              <w:bottom w:w="40" w:type="dxa"/>
              <w:right w:w="20" w:type="dxa"/>
            </w:tcMar>
            <w:vAlign w:val="bottom"/>
          </w:tcPr>
          <w:p w14:paraId="27E078DC" w14:textId="77777777" w:rsidR="00A85061" w:rsidRDefault="00A85061">
            <w:pPr>
              <w:jc w:val="right"/>
              <w:rPr>
                <w:rFonts w:ascii="宋体"/>
              </w:rPr>
            </w:pPr>
          </w:p>
        </w:tc>
      </w:tr>
      <w:tr w:rsidR="00A85061" w14:paraId="27E078F3" w14:textId="77777777">
        <w:trPr>
          <w:jc w:val="center"/>
        </w:trPr>
        <w:tc>
          <w:tcPr>
            <w:tcW w:w="0" w:type="auto"/>
            <w:gridSpan w:val="3"/>
            <w:shd w:val="clear" w:color="auto" w:fill="E2EFD9"/>
            <w:tcMar>
              <w:top w:w="40" w:type="dxa"/>
              <w:left w:w="20" w:type="dxa"/>
              <w:bottom w:w="40" w:type="dxa"/>
              <w:right w:w="20" w:type="dxa"/>
            </w:tcMar>
            <w:vAlign w:val="bottom"/>
          </w:tcPr>
          <w:p w14:paraId="27E078DE" w14:textId="77777777" w:rsidR="00A85061" w:rsidRDefault="00F04891">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27E078DF" w14:textId="77777777" w:rsidR="00A85061" w:rsidRDefault="00F04891">
            <w:pPr>
              <w:jc w:val="right"/>
              <w:textAlignment w:val="bottom"/>
            </w:pPr>
            <w:r>
              <w:rPr>
                <w:rFonts w:ascii="sans-serif" w:eastAsia="sans-serif" w:hAnsi="sans-serif" w:cs="sans-serif"/>
                <w:color w:val="000000"/>
                <w:sz w:val="15"/>
                <w:szCs w:val="15"/>
              </w:rPr>
              <w:t>(1)</w:t>
            </w:r>
          </w:p>
        </w:tc>
        <w:tc>
          <w:tcPr>
            <w:tcW w:w="0" w:type="auto"/>
            <w:shd w:val="clear" w:color="auto" w:fill="E2EFD9"/>
            <w:tcMar>
              <w:top w:w="40" w:type="dxa"/>
              <w:left w:w="0" w:type="dxa"/>
              <w:bottom w:w="40" w:type="dxa"/>
              <w:right w:w="20" w:type="dxa"/>
            </w:tcMar>
            <w:vAlign w:val="bottom"/>
          </w:tcPr>
          <w:p w14:paraId="27E078E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E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E2"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E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E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E5"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E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E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E8" w14:textId="77777777" w:rsidR="00A85061" w:rsidRDefault="00F04891">
            <w:pPr>
              <w:jc w:val="right"/>
              <w:textAlignment w:val="bottom"/>
            </w:pPr>
            <w:r>
              <w:rPr>
                <w:rFonts w:ascii="sans-serif" w:eastAsia="sans-serif" w:hAnsi="sans-serif" w:cs="sans-serif"/>
                <w:color w:val="000000"/>
                <w:sz w:val="15"/>
                <w:szCs w:val="15"/>
              </w:rPr>
              <w:t>(222)</w:t>
            </w:r>
          </w:p>
        </w:tc>
        <w:tc>
          <w:tcPr>
            <w:tcW w:w="0" w:type="auto"/>
            <w:shd w:val="clear" w:color="auto" w:fill="E2EFD9"/>
            <w:tcMar>
              <w:top w:w="40" w:type="dxa"/>
              <w:left w:w="0" w:type="dxa"/>
              <w:bottom w:w="40" w:type="dxa"/>
              <w:right w:w="20" w:type="dxa"/>
            </w:tcMar>
            <w:vAlign w:val="bottom"/>
          </w:tcPr>
          <w:p w14:paraId="27E078E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E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EB"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E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E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EE"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8E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8F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8F1" w14:textId="77777777" w:rsidR="00A85061" w:rsidRDefault="00F04891">
            <w:pPr>
              <w:jc w:val="right"/>
              <w:textAlignment w:val="bottom"/>
            </w:pPr>
            <w:r>
              <w:rPr>
                <w:rFonts w:ascii="sans-serif" w:eastAsia="sans-serif" w:hAnsi="sans-serif" w:cs="sans-serif"/>
                <w:color w:val="000000"/>
                <w:sz w:val="15"/>
                <w:szCs w:val="15"/>
              </w:rPr>
              <w:t>(222)</w:t>
            </w:r>
          </w:p>
        </w:tc>
        <w:tc>
          <w:tcPr>
            <w:tcW w:w="0" w:type="auto"/>
            <w:shd w:val="clear" w:color="auto" w:fill="E2EFD9"/>
            <w:tcMar>
              <w:top w:w="40" w:type="dxa"/>
              <w:left w:w="0" w:type="dxa"/>
              <w:bottom w:w="40" w:type="dxa"/>
              <w:right w:w="20" w:type="dxa"/>
            </w:tcMar>
            <w:vAlign w:val="bottom"/>
          </w:tcPr>
          <w:p w14:paraId="27E078F2" w14:textId="77777777" w:rsidR="00A85061" w:rsidRDefault="00A85061">
            <w:pPr>
              <w:jc w:val="right"/>
              <w:rPr>
                <w:rFonts w:ascii="宋体"/>
              </w:rPr>
            </w:pPr>
          </w:p>
        </w:tc>
      </w:tr>
      <w:tr w:rsidR="00A85061" w14:paraId="27E07902" w14:textId="77777777">
        <w:trPr>
          <w:jc w:val="center"/>
          <w:hidden/>
        </w:trPr>
        <w:tc>
          <w:tcPr>
            <w:tcW w:w="0" w:type="auto"/>
            <w:gridSpan w:val="3"/>
            <w:shd w:val="clear" w:color="auto" w:fill="auto"/>
            <w:vAlign w:val="bottom"/>
          </w:tcPr>
          <w:p w14:paraId="27E078F4" w14:textId="77777777" w:rsidR="00A85061" w:rsidRDefault="00A85061">
            <w:pPr>
              <w:rPr>
                <w:rFonts w:ascii="宋体"/>
                <w:vanish/>
              </w:rPr>
            </w:pPr>
          </w:p>
        </w:tc>
        <w:tc>
          <w:tcPr>
            <w:tcW w:w="0" w:type="auto"/>
            <w:gridSpan w:val="3"/>
            <w:shd w:val="clear" w:color="auto" w:fill="auto"/>
            <w:vAlign w:val="bottom"/>
          </w:tcPr>
          <w:p w14:paraId="27E078F5" w14:textId="77777777" w:rsidR="00A85061" w:rsidRDefault="00A85061">
            <w:pPr>
              <w:rPr>
                <w:rFonts w:ascii="宋体"/>
                <w:vanish/>
              </w:rPr>
            </w:pPr>
          </w:p>
        </w:tc>
        <w:tc>
          <w:tcPr>
            <w:tcW w:w="0" w:type="auto"/>
            <w:gridSpan w:val="3"/>
            <w:shd w:val="clear" w:color="auto" w:fill="auto"/>
            <w:vAlign w:val="bottom"/>
          </w:tcPr>
          <w:p w14:paraId="27E078F6" w14:textId="77777777" w:rsidR="00A85061" w:rsidRDefault="00A85061">
            <w:pPr>
              <w:rPr>
                <w:rFonts w:ascii="宋体"/>
                <w:vanish/>
              </w:rPr>
            </w:pPr>
          </w:p>
        </w:tc>
        <w:tc>
          <w:tcPr>
            <w:tcW w:w="0" w:type="auto"/>
            <w:gridSpan w:val="3"/>
            <w:shd w:val="clear" w:color="auto" w:fill="auto"/>
            <w:vAlign w:val="bottom"/>
          </w:tcPr>
          <w:p w14:paraId="27E078F7" w14:textId="77777777" w:rsidR="00A85061" w:rsidRDefault="00A85061">
            <w:pPr>
              <w:rPr>
                <w:rFonts w:ascii="宋体"/>
                <w:vanish/>
              </w:rPr>
            </w:pPr>
          </w:p>
        </w:tc>
        <w:tc>
          <w:tcPr>
            <w:tcW w:w="0" w:type="auto"/>
            <w:gridSpan w:val="3"/>
            <w:shd w:val="clear" w:color="auto" w:fill="auto"/>
            <w:vAlign w:val="bottom"/>
          </w:tcPr>
          <w:p w14:paraId="27E078F8" w14:textId="77777777" w:rsidR="00A85061" w:rsidRDefault="00A85061">
            <w:pPr>
              <w:rPr>
                <w:rFonts w:ascii="宋体"/>
                <w:vanish/>
              </w:rPr>
            </w:pPr>
          </w:p>
        </w:tc>
        <w:tc>
          <w:tcPr>
            <w:tcW w:w="0" w:type="auto"/>
            <w:gridSpan w:val="3"/>
            <w:shd w:val="clear" w:color="auto" w:fill="auto"/>
            <w:vAlign w:val="bottom"/>
          </w:tcPr>
          <w:p w14:paraId="27E078F9" w14:textId="77777777" w:rsidR="00A85061" w:rsidRDefault="00A85061">
            <w:pPr>
              <w:rPr>
                <w:rFonts w:ascii="宋体"/>
                <w:vanish/>
              </w:rPr>
            </w:pPr>
          </w:p>
        </w:tc>
        <w:tc>
          <w:tcPr>
            <w:tcW w:w="0" w:type="auto"/>
            <w:gridSpan w:val="3"/>
            <w:shd w:val="clear" w:color="auto" w:fill="auto"/>
            <w:vAlign w:val="bottom"/>
          </w:tcPr>
          <w:p w14:paraId="27E078FA" w14:textId="77777777" w:rsidR="00A85061" w:rsidRDefault="00A85061">
            <w:pPr>
              <w:rPr>
                <w:rFonts w:ascii="宋体"/>
                <w:vanish/>
              </w:rPr>
            </w:pPr>
          </w:p>
        </w:tc>
        <w:tc>
          <w:tcPr>
            <w:tcW w:w="0" w:type="auto"/>
            <w:gridSpan w:val="3"/>
            <w:shd w:val="clear" w:color="auto" w:fill="auto"/>
            <w:vAlign w:val="bottom"/>
          </w:tcPr>
          <w:p w14:paraId="27E078FB" w14:textId="77777777" w:rsidR="00A85061" w:rsidRDefault="00A85061">
            <w:pPr>
              <w:rPr>
                <w:rFonts w:ascii="宋体"/>
                <w:vanish/>
              </w:rPr>
            </w:pPr>
          </w:p>
        </w:tc>
        <w:tc>
          <w:tcPr>
            <w:tcW w:w="0" w:type="auto"/>
            <w:gridSpan w:val="3"/>
            <w:shd w:val="clear" w:color="auto" w:fill="auto"/>
            <w:vAlign w:val="bottom"/>
          </w:tcPr>
          <w:p w14:paraId="27E078FC" w14:textId="77777777" w:rsidR="00A85061" w:rsidRDefault="00A85061">
            <w:pPr>
              <w:rPr>
                <w:rFonts w:ascii="宋体"/>
                <w:vanish/>
              </w:rPr>
            </w:pPr>
          </w:p>
        </w:tc>
        <w:tc>
          <w:tcPr>
            <w:tcW w:w="0" w:type="auto"/>
            <w:gridSpan w:val="3"/>
            <w:shd w:val="clear" w:color="auto" w:fill="auto"/>
            <w:vAlign w:val="bottom"/>
          </w:tcPr>
          <w:p w14:paraId="27E078FD" w14:textId="77777777" w:rsidR="00A85061" w:rsidRDefault="00A85061">
            <w:pPr>
              <w:rPr>
                <w:rFonts w:ascii="宋体"/>
                <w:vanish/>
              </w:rPr>
            </w:pPr>
          </w:p>
        </w:tc>
        <w:tc>
          <w:tcPr>
            <w:tcW w:w="0" w:type="auto"/>
            <w:gridSpan w:val="3"/>
            <w:shd w:val="clear" w:color="auto" w:fill="auto"/>
            <w:vAlign w:val="bottom"/>
          </w:tcPr>
          <w:p w14:paraId="27E078FE" w14:textId="77777777" w:rsidR="00A85061" w:rsidRDefault="00A85061">
            <w:pPr>
              <w:rPr>
                <w:rFonts w:ascii="宋体"/>
                <w:vanish/>
              </w:rPr>
            </w:pPr>
          </w:p>
        </w:tc>
        <w:tc>
          <w:tcPr>
            <w:tcW w:w="0" w:type="auto"/>
            <w:gridSpan w:val="3"/>
            <w:shd w:val="clear" w:color="auto" w:fill="auto"/>
            <w:vAlign w:val="bottom"/>
          </w:tcPr>
          <w:p w14:paraId="27E078FF" w14:textId="77777777" w:rsidR="00A85061" w:rsidRDefault="00A85061">
            <w:pPr>
              <w:rPr>
                <w:rFonts w:ascii="宋体"/>
                <w:vanish/>
              </w:rPr>
            </w:pPr>
          </w:p>
        </w:tc>
        <w:tc>
          <w:tcPr>
            <w:tcW w:w="0" w:type="auto"/>
            <w:gridSpan w:val="3"/>
            <w:shd w:val="clear" w:color="auto" w:fill="auto"/>
            <w:vAlign w:val="bottom"/>
          </w:tcPr>
          <w:p w14:paraId="27E07900" w14:textId="77777777" w:rsidR="00A85061" w:rsidRDefault="00A85061">
            <w:pPr>
              <w:rPr>
                <w:rFonts w:ascii="宋体"/>
                <w:vanish/>
              </w:rPr>
            </w:pPr>
          </w:p>
        </w:tc>
        <w:tc>
          <w:tcPr>
            <w:tcW w:w="0" w:type="auto"/>
            <w:gridSpan w:val="3"/>
            <w:shd w:val="clear" w:color="auto" w:fill="auto"/>
            <w:vAlign w:val="bottom"/>
          </w:tcPr>
          <w:p w14:paraId="27E07901" w14:textId="77777777" w:rsidR="00A85061" w:rsidRDefault="00A85061">
            <w:pPr>
              <w:rPr>
                <w:rFonts w:ascii="宋体"/>
                <w:vanish/>
              </w:rPr>
            </w:pPr>
          </w:p>
        </w:tc>
      </w:tr>
      <w:tr w:rsidR="00A85061" w14:paraId="27E07918" w14:textId="77777777">
        <w:trPr>
          <w:jc w:val="center"/>
        </w:trPr>
        <w:tc>
          <w:tcPr>
            <w:tcW w:w="0" w:type="auto"/>
            <w:gridSpan w:val="3"/>
            <w:shd w:val="clear" w:color="auto" w:fill="FFFFFF"/>
            <w:tcMar>
              <w:top w:w="40" w:type="dxa"/>
              <w:left w:w="20" w:type="dxa"/>
              <w:bottom w:w="40" w:type="dxa"/>
              <w:right w:w="20" w:type="dxa"/>
            </w:tcMar>
            <w:vAlign w:val="bottom"/>
          </w:tcPr>
          <w:p w14:paraId="27E07903" w14:textId="77777777" w:rsidR="00A85061" w:rsidRDefault="00F04891">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($0.16 per common share)</w:t>
            </w:r>
          </w:p>
        </w:tc>
        <w:tc>
          <w:tcPr>
            <w:tcW w:w="0" w:type="auto"/>
            <w:gridSpan w:val="2"/>
            <w:shd w:val="clear" w:color="auto" w:fill="FFFFFF"/>
            <w:tcMar>
              <w:top w:w="40" w:type="dxa"/>
              <w:left w:w="20" w:type="dxa"/>
              <w:bottom w:w="40" w:type="dxa"/>
              <w:right w:w="0" w:type="dxa"/>
            </w:tcMar>
            <w:vAlign w:val="bottom"/>
          </w:tcPr>
          <w:p w14:paraId="27E07904"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90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0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07"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90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0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0A"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90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0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0D"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90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0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10"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27E0791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1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13" w14:textId="77777777" w:rsidR="00A85061" w:rsidRDefault="00F04891">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left w:w="0" w:type="dxa"/>
              <w:bottom w:w="40" w:type="dxa"/>
              <w:right w:w="20" w:type="dxa"/>
            </w:tcMar>
            <w:vAlign w:val="bottom"/>
          </w:tcPr>
          <w:p w14:paraId="27E0791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1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16" w14:textId="77777777" w:rsidR="00A85061" w:rsidRDefault="00F04891">
            <w:pPr>
              <w:jc w:val="right"/>
              <w:textAlignment w:val="bottom"/>
            </w:pPr>
            <w:r>
              <w:rPr>
                <w:rFonts w:ascii="sans-serif" w:eastAsia="sans-serif" w:hAnsi="sans-serif" w:cs="sans-serif"/>
                <w:color w:val="000000"/>
                <w:sz w:val="15"/>
                <w:szCs w:val="15"/>
              </w:rPr>
              <w:t>(98)</w:t>
            </w:r>
          </w:p>
        </w:tc>
        <w:tc>
          <w:tcPr>
            <w:tcW w:w="0" w:type="auto"/>
            <w:shd w:val="clear" w:color="auto" w:fill="FFFFFF"/>
            <w:tcMar>
              <w:top w:w="40" w:type="dxa"/>
              <w:left w:w="0" w:type="dxa"/>
              <w:bottom w:w="40" w:type="dxa"/>
              <w:right w:w="20" w:type="dxa"/>
            </w:tcMar>
            <w:vAlign w:val="bottom"/>
          </w:tcPr>
          <w:p w14:paraId="27E07917" w14:textId="77777777" w:rsidR="00A85061" w:rsidRDefault="00A85061">
            <w:pPr>
              <w:jc w:val="right"/>
              <w:rPr>
                <w:rFonts w:ascii="宋体"/>
              </w:rPr>
            </w:pPr>
          </w:p>
        </w:tc>
      </w:tr>
      <w:tr w:rsidR="00A85061" w14:paraId="27E0792E" w14:textId="77777777">
        <w:trPr>
          <w:jc w:val="center"/>
        </w:trPr>
        <w:tc>
          <w:tcPr>
            <w:tcW w:w="0" w:type="auto"/>
            <w:gridSpan w:val="3"/>
            <w:shd w:val="clear" w:color="auto" w:fill="E2EFD9"/>
            <w:tcMar>
              <w:top w:w="40" w:type="dxa"/>
              <w:left w:w="20" w:type="dxa"/>
              <w:bottom w:w="40" w:type="dxa"/>
              <w:right w:w="20" w:type="dxa"/>
            </w:tcMar>
            <w:vAlign w:val="bottom"/>
          </w:tcPr>
          <w:p w14:paraId="27E07919" w14:textId="77777777" w:rsidR="00A85061" w:rsidRDefault="00F04891">
            <w:pPr>
              <w:textAlignment w:val="bottom"/>
            </w:pPr>
            <w:r>
              <w:rPr>
                <w:rFonts w:ascii="sans-serif" w:eastAsia="sans-serif" w:hAnsi="sans-serif" w:cs="sans-serif"/>
                <w:color w:val="000000"/>
                <w:sz w:val="15"/>
                <w:szCs w:val="15"/>
              </w:rPr>
              <w:t>Stock-based compensation</w:t>
            </w:r>
          </w:p>
        </w:tc>
        <w:tc>
          <w:tcPr>
            <w:tcW w:w="0" w:type="auto"/>
            <w:gridSpan w:val="2"/>
            <w:shd w:val="clear" w:color="auto" w:fill="E2EFD9"/>
            <w:tcMar>
              <w:top w:w="40" w:type="dxa"/>
              <w:left w:w="20" w:type="dxa"/>
              <w:bottom w:w="40" w:type="dxa"/>
              <w:right w:w="0" w:type="dxa"/>
            </w:tcMar>
            <w:vAlign w:val="bottom"/>
          </w:tcPr>
          <w:p w14:paraId="27E0791A"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91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1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1D"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91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1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20" w14:textId="77777777" w:rsidR="00A85061" w:rsidRDefault="00F04891">
            <w:pPr>
              <w:jc w:val="right"/>
              <w:textAlignment w:val="bottom"/>
            </w:pPr>
            <w:r>
              <w:rPr>
                <w:rFonts w:ascii="sans-serif" w:eastAsia="sans-serif" w:hAnsi="sans-serif" w:cs="sans-serif"/>
                <w:color w:val="000000"/>
                <w:sz w:val="15"/>
                <w:szCs w:val="15"/>
              </w:rPr>
              <w:t>221 </w:t>
            </w:r>
          </w:p>
        </w:tc>
        <w:tc>
          <w:tcPr>
            <w:tcW w:w="0" w:type="auto"/>
            <w:shd w:val="clear" w:color="auto" w:fill="E2EFD9"/>
            <w:tcMar>
              <w:top w:w="40" w:type="dxa"/>
              <w:left w:w="0" w:type="dxa"/>
              <w:bottom w:w="40" w:type="dxa"/>
              <w:right w:w="20" w:type="dxa"/>
            </w:tcMar>
            <w:vAlign w:val="bottom"/>
          </w:tcPr>
          <w:p w14:paraId="27E0792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22"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23"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92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2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26"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92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2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29" w14:textId="77777777" w:rsidR="00A85061" w:rsidRDefault="00F04891">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27E0792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2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2C" w14:textId="77777777" w:rsidR="00A85061" w:rsidRDefault="00F04891">
            <w:pPr>
              <w:jc w:val="right"/>
              <w:textAlignment w:val="bottom"/>
            </w:pPr>
            <w:r>
              <w:rPr>
                <w:rFonts w:ascii="sans-serif" w:eastAsia="sans-serif" w:hAnsi="sans-serif" w:cs="sans-serif"/>
                <w:color w:val="000000"/>
                <w:sz w:val="15"/>
                <w:szCs w:val="15"/>
              </w:rPr>
              <w:t>221 </w:t>
            </w:r>
          </w:p>
        </w:tc>
        <w:tc>
          <w:tcPr>
            <w:tcW w:w="0" w:type="auto"/>
            <w:shd w:val="clear" w:color="auto" w:fill="E2EFD9"/>
            <w:tcMar>
              <w:top w:w="40" w:type="dxa"/>
              <w:left w:w="0" w:type="dxa"/>
              <w:bottom w:w="40" w:type="dxa"/>
              <w:right w:w="20" w:type="dxa"/>
            </w:tcMar>
            <w:vAlign w:val="bottom"/>
          </w:tcPr>
          <w:p w14:paraId="27E0792D" w14:textId="77777777" w:rsidR="00A85061" w:rsidRDefault="00A85061">
            <w:pPr>
              <w:jc w:val="right"/>
              <w:rPr>
                <w:rFonts w:ascii="宋体"/>
              </w:rPr>
            </w:pPr>
          </w:p>
        </w:tc>
      </w:tr>
      <w:tr w:rsidR="00A85061" w14:paraId="27E0794A" w14:textId="77777777">
        <w:trPr>
          <w:jc w:val="center"/>
        </w:trPr>
        <w:tc>
          <w:tcPr>
            <w:tcW w:w="0" w:type="auto"/>
            <w:gridSpan w:val="3"/>
            <w:shd w:val="clear" w:color="auto" w:fill="FFFFFF"/>
            <w:tcMar>
              <w:top w:w="40" w:type="dxa"/>
              <w:left w:w="20" w:type="dxa"/>
              <w:bottom w:w="40" w:type="dxa"/>
              <w:right w:w="20" w:type="dxa"/>
            </w:tcMar>
            <w:vAlign w:val="bottom"/>
          </w:tcPr>
          <w:p w14:paraId="27E0792F" w14:textId="77777777" w:rsidR="00A85061" w:rsidRDefault="00F04891">
            <w:pPr>
              <w:textAlignment w:val="bottom"/>
            </w:pPr>
            <w:r>
              <w:rPr>
                <w:rFonts w:ascii="sans-serif" w:eastAsia="sans-serif" w:hAnsi="sans-serif" w:cs="sans-serif"/>
                <w:color w:val="000000"/>
                <w:sz w:val="15"/>
                <w:szCs w:val="15"/>
              </w:rPr>
              <w:t>Balances, April 26,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30" w14:textId="77777777" w:rsidR="00A85061" w:rsidRDefault="00F04891">
            <w:pPr>
              <w:jc w:val="right"/>
              <w:textAlignment w:val="bottom"/>
            </w:pPr>
            <w:r>
              <w:rPr>
                <w:rFonts w:ascii="sans-serif" w:eastAsia="sans-serif" w:hAnsi="sans-serif" w:cs="sans-serif"/>
                <w:color w:val="000000"/>
                <w:sz w:val="15"/>
                <w:szCs w:val="15"/>
              </w:rPr>
              <w:t>615 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3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32"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33"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34" w14:textId="77777777" w:rsidR="00A85061" w:rsidRDefault="00F04891">
            <w:pPr>
              <w:jc w:val="right"/>
              <w:textAlignment w:val="bottom"/>
            </w:pPr>
            <w:r>
              <w:rPr>
                <w:rFonts w:ascii="sans-serif" w:eastAsia="sans-serif" w:hAnsi="sans-serif" w:cs="sans-serif"/>
                <w:color w:val="000000"/>
                <w:sz w:val="15"/>
                <w:szCs w:val="15"/>
              </w:rPr>
              <w:t>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3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36"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37"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38" w14:textId="77777777" w:rsidR="00A85061" w:rsidRDefault="00F04891">
            <w:pPr>
              <w:jc w:val="right"/>
              <w:textAlignment w:val="bottom"/>
            </w:pPr>
            <w:r>
              <w:rPr>
                <w:rFonts w:ascii="sans-serif" w:eastAsia="sans-serif" w:hAnsi="sans-serif" w:cs="sans-serif"/>
                <w:color w:val="000000"/>
                <w:sz w:val="15"/>
                <w:szCs w:val="15"/>
              </w:rPr>
              <w:t>7,354 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3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3A"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3B"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3C" w14:textId="77777777" w:rsidR="00A85061" w:rsidRDefault="00F04891">
            <w:pPr>
              <w:jc w:val="right"/>
              <w:textAlignment w:val="bottom"/>
            </w:pPr>
            <w:r>
              <w:rPr>
                <w:rFonts w:ascii="sans-serif" w:eastAsia="sans-serif" w:hAnsi="sans-serif" w:cs="sans-serif"/>
                <w:color w:val="000000"/>
                <w:sz w:val="15"/>
                <w:szCs w:val="15"/>
              </w:rPr>
              <w:t>(10,036)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3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3E"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3F"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40" w14:textId="77777777" w:rsidR="00A85061" w:rsidRDefault="00F04891">
            <w:pPr>
              <w:jc w:val="right"/>
              <w:textAlignment w:val="bottom"/>
            </w:pPr>
            <w:r>
              <w:rPr>
                <w:rFonts w:ascii="sans-serif" w:eastAsia="sans-serif" w:hAnsi="sans-serif" w:cs="sans-serif"/>
                <w:color w:val="000000"/>
                <w:sz w:val="15"/>
                <w:szCs w:val="15"/>
              </w:rPr>
              <w:t>(10)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4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42"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43"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44" w14:textId="77777777" w:rsidR="00A85061" w:rsidRDefault="00F04891">
            <w:pPr>
              <w:jc w:val="right"/>
              <w:textAlignment w:val="bottom"/>
            </w:pPr>
            <w:r>
              <w:rPr>
                <w:rFonts w:ascii="sans-serif" w:eastAsia="sans-serif" w:hAnsi="sans-serif" w:cs="sans-serif"/>
                <w:color w:val="000000"/>
                <w:sz w:val="15"/>
                <w:szCs w:val="15"/>
              </w:rPr>
              <w:t>15,790 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4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46"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947" w14:textId="77777777" w:rsidR="00A85061" w:rsidRDefault="00F04891">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948" w14:textId="77777777" w:rsidR="00A85061" w:rsidRDefault="00F04891">
            <w:pPr>
              <w:jc w:val="right"/>
              <w:textAlignment w:val="bottom"/>
            </w:pPr>
            <w:r>
              <w:rPr>
                <w:rFonts w:ascii="sans-serif" w:eastAsia="sans-serif" w:hAnsi="sans-serif" w:cs="sans-serif"/>
                <w:color w:val="000000"/>
                <w:sz w:val="15"/>
                <w:szCs w:val="15"/>
              </w:rPr>
              <w:t>13,099 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949" w14:textId="77777777" w:rsidR="00A85061" w:rsidRDefault="00A85061">
            <w:pPr>
              <w:jc w:val="right"/>
              <w:rPr>
                <w:rFonts w:ascii="宋体"/>
              </w:rPr>
            </w:pPr>
          </w:p>
        </w:tc>
      </w:tr>
    </w:tbl>
    <w:p w14:paraId="27E0794B" w14:textId="77777777" w:rsidR="00A85061" w:rsidRDefault="00F04891">
      <w:pPr>
        <w:spacing w:after="180"/>
        <w:jc w:val="center"/>
      </w:pPr>
      <w:r>
        <w:rPr>
          <w:rFonts w:ascii="sans-serif" w:eastAsia="sans-serif" w:hAnsi="sans-serif" w:cs="sans-serif"/>
          <w:color w:val="000000"/>
          <w:sz w:val="20"/>
          <w:szCs w:val="20"/>
        </w:rPr>
        <w:t xml:space="preserve">See accompanying Notes to Condensed </w:t>
      </w:r>
      <w:r>
        <w:rPr>
          <w:rFonts w:ascii="sans-serif" w:eastAsia="sans-serif" w:hAnsi="sans-serif" w:cs="sans-serif"/>
          <w:color w:val="000000"/>
          <w:sz w:val="20"/>
          <w:szCs w:val="20"/>
        </w:rPr>
        <w:t>Consolidated Financial Statements.</w:t>
      </w:r>
    </w:p>
    <w:p w14:paraId="27E0794C" w14:textId="77777777" w:rsidR="00A85061" w:rsidRDefault="00F04891">
      <w:pPr>
        <w:spacing w:after="180"/>
        <w:jc w:val="center"/>
      </w:pPr>
      <w:r>
        <w:rPr>
          <w:rFonts w:ascii="sans-serif" w:eastAsia="sans-serif" w:hAnsi="sans-serif" w:cs="sans-serif"/>
          <w:color w:val="000000"/>
          <w:sz w:val="20"/>
          <w:szCs w:val="20"/>
        </w:rPr>
        <w:t>6</w:t>
      </w:r>
    </w:p>
    <w:p w14:paraId="27E0794D" w14:textId="77777777" w:rsidR="00A85061" w:rsidRDefault="00F04891">
      <w:r>
        <w:pict w14:anchorId="27E08EF7">
          <v:rect id="_x0000_i1030" style="width:415.3pt;height:1.5pt" o:hralign="center" o:hrstd="t" o:hr="t" fillcolor="#a0a0a0" stroked="f"/>
        </w:pict>
      </w:r>
    </w:p>
    <w:p w14:paraId="27E0794E" w14:textId="77777777" w:rsidR="00A85061" w:rsidRDefault="00A85061">
      <w:pPr>
        <w:spacing w:after="180"/>
        <w:jc w:val="both"/>
      </w:pPr>
    </w:p>
    <w:p w14:paraId="27E0794F" w14:textId="77777777" w:rsidR="00A85061" w:rsidRDefault="00F04891">
      <w:pPr>
        <w:jc w:val="center"/>
      </w:pPr>
      <w:r>
        <w:rPr>
          <w:rFonts w:ascii="sans-serif" w:eastAsia="sans-serif" w:hAnsi="sans-serif" w:cs="sans-serif"/>
          <w:b/>
          <w:bCs/>
          <w:color w:val="000000"/>
          <w:sz w:val="20"/>
          <w:szCs w:val="20"/>
        </w:rPr>
        <w:t>NVIDIA CORPORATION AND SUBSIDIARIES</w:t>
      </w:r>
    </w:p>
    <w:p w14:paraId="27E07950" w14:textId="77777777" w:rsidR="00A85061" w:rsidRDefault="00F04891">
      <w:pPr>
        <w:jc w:val="center"/>
      </w:pPr>
      <w:r>
        <w:rPr>
          <w:rFonts w:ascii="sans-serif" w:eastAsia="sans-serif" w:hAnsi="sans-serif" w:cs="sans-serif"/>
          <w:b/>
          <w:bCs/>
          <w:color w:val="000000"/>
          <w:sz w:val="20"/>
          <w:szCs w:val="20"/>
        </w:rPr>
        <w:t>CONDENSED CONSOLIDATED STATEMENTS OF CASH FLOWS</w:t>
      </w:r>
    </w:p>
    <w:p w14:paraId="27E07951" w14:textId="77777777" w:rsidR="00A85061" w:rsidRDefault="00F04891">
      <w:pPr>
        <w:jc w:val="center"/>
      </w:pPr>
      <w:r>
        <w:rPr>
          <w:rFonts w:ascii="sans-serif" w:eastAsia="sans-serif" w:hAnsi="sans-serif" w:cs="sans-serif"/>
          <w:b/>
          <w:bCs/>
          <w:color w:val="000000"/>
          <w:sz w:val="20"/>
          <w:szCs w:val="20"/>
        </w:rPr>
        <w:t>(In millions)</w:t>
      </w:r>
    </w:p>
    <w:p w14:paraId="27E07952" w14:textId="77777777" w:rsidR="00A85061" w:rsidRDefault="00F04891">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6"/>
        <w:gridCol w:w="38"/>
        <w:gridCol w:w="112"/>
        <w:gridCol w:w="928"/>
        <w:gridCol w:w="36"/>
        <w:gridCol w:w="36"/>
        <w:gridCol w:w="53"/>
        <w:gridCol w:w="36"/>
        <w:gridCol w:w="112"/>
        <w:gridCol w:w="930"/>
        <w:gridCol w:w="36"/>
      </w:tblGrid>
      <w:tr w:rsidR="00A85061" w14:paraId="27E0795F" w14:textId="77777777">
        <w:trPr>
          <w:jc w:val="center"/>
        </w:trPr>
        <w:tc>
          <w:tcPr>
            <w:tcW w:w="50" w:type="pct"/>
            <w:shd w:val="clear" w:color="auto" w:fill="auto"/>
            <w:vAlign w:val="bottom"/>
          </w:tcPr>
          <w:p w14:paraId="27E07953" w14:textId="77777777" w:rsidR="00A85061" w:rsidRDefault="00A85061">
            <w:pPr>
              <w:rPr>
                <w:rFonts w:ascii="宋体"/>
              </w:rPr>
            </w:pPr>
          </w:p>
        </w:tc>
        <w:tc>
          <w:tcPr>
            <w:tcW w:w="3607" w:type="pct"/>
            <w:shd w:val="clear" w:color="auto" w:fill="auto"/>
            <w:vAlign w:val="bottom"/>
          </w:tcPr>
          <w:p w14:paraId="27E07954" w14:textId="77777777" w:rsidR="00A85061" w:rsidRDefault="00A85061">
            <w:pPr>
              <w:rPr>
                <w:rFonts w:ascii="宋体"/>
              </w:rPr>
            </w:pPr>
          </w:p>
        </w:tc>
        <w:tc>
          <w:tcPr>
            <w:tcW w:w="5" w:type="pct"/>
            <w:shd w:val="clear" w:color="auto" w:fill="auto"/>
            <w:vAlign w:val="bottom"/>
          </w:tcPr>
          <w:p w14:paraId="27E07955" w14:textId="77777777" w:rsidR="00A85061" w:rsidRDefault="00A85061">
            <w:pPr>
              <w:rPr>
                <w:rFonts w:ascii="宋体"/>
              </w:rPr>
            </w:pPr>
          </w:p>
        </w:tc>
        <w:tc>
          <w:tcPr>
            <w:tcW w:w="50" w:type="pct"/>
            <w:shd w:val="clear" w:color="auto" w:fill="auto"/>
            <w:vAlign w:val="bottom"/>
          </w:tcPr>
          <w:p w14:paraId="27E07956" w14:textId="77777777" w:rsidR="00A85061" w:rsidRDefault="00A85061">
            <w:pPr>
              <w:rPr>
                <w:rFonts w:ascii="宋体"/>
              </w:rPr>
            </w:pPr>
          </w:p>
        </w:tc>
        <w:tc>
          <w:tcPr>
            <w:tcW w:w="580" w:type="pct"/>
            <w:shd w:val="clear" w:color="auto" w:fill="auto"/>
            <w:vAlign w:val="bottom"/>
          </w:tcPr>
          <w:p w14:paraId="27E07957" w14:textId="77777777" w:rsidR="00A85061" w:rsidRDefault="00A85061">
            <w:pPr>
              <w:rPr>
                <w:rFonts w:ascii="宋体"/>
              </w:rPr>
            </w:pPr>
          </w:p>
        </w:tc>
        <w:tc>
          <w:tcPr>
            <w:tcW w:w="5" w:type="pct"/>
            <w:shd w:val="clear" w:color="auto" w:fill="auto"/>
            <w:vAlign w:val="bottom"/>
          </w:tcPr>
          <w:p w14:paraId="27E07958" w14:textId="77777777" w:rsidR="00A85061" w:rsidRDefault="00A85061">
            <w:pPr>
              <w:rPr>
                <w:rFonts w:ascii="宋体"/>
              </w:rPr>
            </w:pPr>
          </w:p>
        </w:tc>
        <w:tc>
          <w:tcPr>
            <w:tcW w:w="5" w:type="pct"/>
            <w:shd w:val="clear" w:color="auto" w:fill="auto"/>
            <w:vAlign w:val="bottom"/>
          </w:tcPr>
          <w:p w14:paraId="27E07959" w14:textId="77777777" w:rsidR="00A85061" w:rsidRDefault="00A85061">
            <w:pPr>
              <w:rPr>
                <w:rFonts w:ascii="宋体"/>
              </w:rPr>
            </w:pPr>
          </w:p>
        </w:tc>
        <w:tc>
          <w:tcPr>
            <w:tcW w:w="55" w:type="pct"/>
            <w:shd w:val="clear" w:color="auto" w:fill="auto"/>
            <w:vAlign w:val="bottom"/>
          </w:tcPr>
          <w:p w14:paraId="27E0795A" w14:textId="77777777" w:rsidR="00A85061" w:rsidRDefault="00A85061">
            <w:pPr>
              <w:rPr>
                <w:rFonts w:ascii="宋体"/>
              </w:rPr>
            </w:pPr>
          </w:p>
        </w:tc>
        <w:tc>
          <w:tcPr>
            <w:tcW w:w="5" w:type="pct"/>
            <w:shd w:val="clear" w:color="auto" w:fill="auto"/>
            <w:vAlign w:val="bottom"/>
          </w:tcPr>
          <w:p w14:paraId="27E0795B" w14:textId="77777777" w:rsidR="00A85061" w:rsidRDefault="00A85061">
            <w:pPr>
              <w:rPr>
                <w:rFonts w:ascii="宋体"/>
              </w:rPr>
            </w:pPr>
          </w:p>
        </w:tc>
        <w:tc>
          <w:tcPr>
            <w:tcW w:w="50" w:type="pct"/>
            <w:shd w:val="clear" w:color="auto" w:fill="auto"/>
            <w:vAlign w:val="bottom"/>
          </w:tcPr>
          <w:p w14:paraId="27E0795C" w14:textId="77777777" w:rsidR="00A85061" w:rsidRDefault="00A85061">
            <w:pPr>
              <w:rPr>
                <w:rFonts w:ascii="宋体"/>
              </w:rPr>
            </w:pPr>
          </w:p>
        </w:tc>
        <w:tc>
          <w:tcPr>
            <w:tcW w:w="581" w:type="pct"/>
            <w:shd w:val="clear" w:color="auto" w:fill="auto"/>
            <w:vAlign w:val="bottom"/>
          </w:tcPr>
          <w:p w14:paraId="27E0795D" w14:textId="77777777" w:rsidR="00A85061" w:rsidRDefault="00A85061">
            <w:pPr>
              <w:rPr>
                <w:rFonts w:ascii="宋体"/>
              </w:rPr>
            </w:pPr>
          </w:p>
        </w:tc>
        <w:tc>
          <w:tcPr>
            <w:tcW w:w="5" w:type="pct"/>
            <w:shd w:val="clear" w:color="auto" w:fill="auto"/>
            <w:vAlign w:val="bottom"/>
          </w:tcPr>
          <w:p w14:paraId="27E0795E" w14:textId="77777777" w:rsidR="00A85061" w:rsidRDefault="00A85061">
            <w:pPr>
              <w:rPr>
                <w:rFonts w:ascii="宋体"/>
              </w:rPr>
            </w:pPr>
          </w:p>
        </w:tc>
      </w:tr>
      <w:tr w:rsidR="00A85061" w14:paraId="27E07962" w14:textId="77777777">
        <w:trPr>
          <w:jc w:val="center"/>
        </w:trPr>
        <w:tc>
          <w:tcPr>
            <w:tcW w:w="0" w:type="auto"/>
            <w:gridSpan w:val="3"/>
            <w:shd w:val="clear" w:color="auto" w:fill="auto"/>
            <w:tcMar>
              <w:top w:w="40" w:type="dxa"/>
              <w:left w:w="20" w:type="dxa"/>
              <w:bottom w:w="40" w:type="dxa"/>
              <w:right w:w="20" w:type="dxa"/>
            </w:tcMar>
            <w:vAlign w:val="bottom"/>
          </w:tcPr>
          <w:p w14:paraId="27E07960" w14:textId="77777777" w:rsidR="00A85061" w:rsidRDefault="00F04891">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27E07961" w14:textId="77777777" w:rsidR="00A85061" w:rsidRDefault="00F04891">
            <w:pPr>
              <w:jc w:val="center"/>
              <w:textAlignment w:val="bottom"/>
            </w:pPr>
            <w:r>
              <w:rPr>
                <w:rFonts w:ascii="sans-serif" w:eastAsia="sans-serif" w:hAnsi="sans-serif" w:cs="sans-serif"/>
                <w:b/>
                <w:bCs/>
                <w:color w:val="000000"/>
                <w:sz w:val="18"/>
                <w:szCs w:val="18"/>
              </w:rPr>
              <w:t>Three Months Ended</w:t>
            </w:r>
          </w:p>
        </w:tc>
      </w:tr>
      <w:tr w:rsidR="00A85061" w14:paraId="27E07967" w14:textId="77777777">
        <w:trPr>
          <w:jc w:val="center"/>
        </w:trPr>
        <w:tc>
          <w:tcPr>
            <w:tcW w:w="0" w:type="auto"/>
            <w:gridSpan w:val="3"/>
            <w:shd w:val="clear" w:color="auto" w:fill="auto"/>
            <w:tcMar>
              <w:top w:w="0" w:type="dxa"/>
              <w:left w:w="20" w:type="dxa"/>
              <w:bottom w:w="0" w:type="dxa"/>
              <w:right w:w="20" w:type="dxa"/>
            </w:tcMar>
            <w:vAlign w:val="bottom"/>
          </w:tcPr>
          <w:p w14:paraId="27E07963"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964" w14:textId="77777777" w:rsidR="00A85061" w:rsidRDefault="00F04891">
            <w:pPr>
              <w:jc w:val="center"/>
              <w:textAlignment w:val="bottom"/>
            </w:pPr>
            <w:r>
              <w:rPr>
                <w:rFonts w:ascii="sans-serif" w:eastAsia="sans-serif" w:hAnsi="sans-serif" w:cs="sans-serif"/>
                <w:b/>
                <w:bCs/>
                <w:color w:val="000000"/>
                <w:sz w:val="18"/>
                <w:szCs w:val="18"/>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965"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966" w14:textId="77777777" w:rsidR="00A85061" w:rsidRDefault="00F04891">
            <w:pPr>
              <w:jc w:val="center"/>
              <w:textAlignment w:val="bottom"/>
            </w:pPr>
            <w:r>
              <w:rPr>
                <w:rFonts w:ascii="sans-serif" w:eastAsia="sans-serif" w:hAnsi="sans-serif" w:cs="sans-serif"/>
                <w:b/>
                <w:bCs/>
                <w:color w:val="000000"/>
                <w:sz w:val="18"/>
                <w:szCs w:val="18"/>
              </w:rPr>
              <w:t>April 26,</w:t>
            </w:r>
          </w:p>
        </w:tc>
      </w:tr>
      <w:tr w:rsidR="00A85061" w14:paraId="27E0796C" w14:textId="77777777">
        <w:trPr>
          <w:jc w:val="center"/>
        </w:trPr>
        <w:tc>
          <w:tcPr>
            <w:tcW w:w="0" w:type="auto"/>
            <w:gridSpan w:val="3"/>
            <w:shd w:val="clear" w:color="auto" w:fill="auto"/>
            <w:tcMar>
              <w:top w:w="40" w:type="dxa"/>
              <w:left w:w="20" w:type="dxa"/>
              <w:bottom w:w="40" w:type="dxa"/>
              <w:right w:w="20" w:type="dxa"/>
            </w:tcMar>
            <w:vAlign w:val="bottom"/>
          </w:tcPr>
          <w:p w14:paraId="27E07968" w14:textId="77777777" w:rsidR="00A85061" w:rsidRDefault="00F04891">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27E07969" w14:textId="77777777" w:rsidR="00A85061" w:rsidRDefault="00F04891">
            <w:pPr>
              <w:jc w:val="center"/>
              <w:textAlignment w:val="bottom"/>
            </w:pPr>
            <w:r>
              <w:rPr>
                <w:rFonts w:ascii="sans-serif" w:eastAsia="sans-serif" w:hAnsi="sans-serif" w:cs="sans-serif"/>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27E0796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96B" w14:textId="77777777" w:rsidR="00A85061" w:rsidRDefault="00F04891">
            <w:pPr>
              <w:jc w:val="center"/>
              <w:textAlignment w:val="bottom"/>
            </w:pPr>
            <w:r>
              <w:rPr>
                <w:rFonts w:ascii="sans-serif" w:eastAsia="sans-serif" w:hAnsi="sans-serif" w:cs="sans-serif"/>
                <w:b/>
                <w:bCs/>
                <w:color w:val="000000"/>
                <w:sz w:val="18"/>
                <w:szCs w:val="18"/>
              </w:rPr>
              <w:t>2020</w:t>
            </w:r>
          </w:p>
        </w:tc>
      </w:tr>
      <w:tr w:rsidR="00A85061" w14:paraId="27E07971" w14:textId="77777777">
        <w:trPr>
          <w:jc w:val="center"/>
        </w:trPr>
        <w:tc>
          <w:tcPr>
            <w:tcW w:w="0" w:type="auto"/>
            <w:gridSpan w:val="3"/>
            <w:shd w:val="clear" w:color="auto" w:fill="E2EFD9"/>
            <w:tcMar>
              <w:top w:w="40" w:type="dxa"/>
              <w:left w:w="20" w:type="dxa"/>
              <w:bottom w:w="40" w:type="dxa"/>
              <w:right w:w="20" w:type="dxa"/>
            </w:tcMar>
            <w:vAlign w:val="bottom"/>
          </w:tcPr>
          <w:p w14:paraId="27E0796D" w14:textId="77777777" w:rsidR="00A85061" w:rsidRDefault="00F04891">
            <w:pPr>
              <w:textAlignment w:val="bottom"/>
            </w:pPr>
            <w:r>
              <w:rPr>
                <w:rFonts w:ascii="sans-serif" w:eastAsia="sans-serif" w:hAnsi="sans-serif" w:cs="sans-serif"/>
                <w:color w:val="000000"/>
                <w:sz w:val="18"/>
                <w:szCs w:val="18"/>
              </w:rPr>
              <w:t xml:space="preserve">Cash flows from operating </w:t>
            </w:r>
            <w:r>
              <w:rPr>
                <w:rFonts w:ascii="sans-serif" w:eastAsia="sans-serif" w:hAnsi="sans-serif" w:cs="sans-serif"/>
                <w:color w:val="000000"/>
                <w:sz w:val="18"/>
                <w:szCs w:val="18"/>
              </w:rPr>
              <w:t>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27E0796E" w14:textId="77777777" w:rsidR="00A85061" w:rsidRDefault="00F04891">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27E0796F" w14:textId="77777777" w:rsidR="00A85061" w:rsidRDefault="00A85061">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27E07970" w14:textId="77777777" w:rsidR="00A85061" w:rsidRDefault="00F04891">
            <w:pPr>
              <w:textAlignment w:val="bottom"/>
            </w:pPr>
            <w:r>
              <w:rPr>
                <w:rFonts w:ascii="sans-serif" w:eastAsia="sans-serif" w:hAnsi="sans-serif" w:cs="sans-serif"/>
                <w:color w:val="000000"/>
                <w:sz w:val="18"/>
                <w:szCs w:val="18"/>
              </w:rPr>
              <w:t> </w:t>
            </w:r>
          </w:p>
        </w:tc>
      </w:tr>
      <w:tr w:rsidR="00A85061" w14:paraId="27E0797A" w14:textId="77777777">
        <w:trPr>
          <w:jc w:val="center"/>
        </w:trPr>
        <w:tc>
          <w:tcPr>
            <w:tcW w:w="0" w:type="auto"/>
            <w:gridSpan w:val="3"/>
            <w:shd w:val="clear" w:color="auto" w:fill="FFFFFF"/>
            <w:tcMar>
              <w:top w:w="40" w:type="dxa"/>
              <w:left w:w="20" w:type="dxa"/>
              <w:bottom w:w="40" w:type="dxa"/>
              <w:right w:w="20" w:type="dxa"/>
            </w:tcMar>
            <w:vAlign w:val="bottom"/>
          </w:tcPr>
          <w:p w14:paraId="27E07972" w14:textId="77777777" w:rsidR="00A85061" w:rsidRDefault="00F04891">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27E07973" w14:textId="77777777" w:rsidR="00A85061" w:rsidRDefault="00F04891">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27E07974" w14:textId="77777777" w:rsidR="00A85061" w:rsidRDefault="00F04891">
            <w:pPr>
              <w:jc w:val="right"/>
              <w:textAlignment w:val="bottom"/>
            </w:pPr>
            <w:r>
              <w:rPr>
                <w:rFonts w:ascii="sans-serif" w:eastAsia="sans-serif" w:hAnsi="sans-serif" w:cs="sans-serif"/>
                <w:color w:val="000000"/>
                <w:sz w:val="18"/>
                <w:szCs w:val="18"/>
              </w:rPr>
              <w:t>1,912 </w:t>
            </w:r>
          </w:p>
        </w:tc>
        <w:tc>
          <w:tcPr>
            <w:tcW w:w="0" w:type="auto"/>
            <w:shd w:val="clear" w:color="auto" w:fill="FFFFFF"/>
            <w:tcMar>
              <w:top w:w="40" w:type="dxa"/>
              <w:left w:w="0" w:type="dxa"/>
              <w:bottom w:w="40" w:type="dxa"/>
              <w:right w:w="20" w:type="dxa"/>
            </w:tcMar>
            <w:vAlign w:val="bottom"/>
          </w:tcPr>
          <w:p w14:paraId="27E0797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76"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977" w14:textId="77777777" w:rsidR="00A85061" w:rsidRDefault="00F04891">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27E07978" w14:textId="77777777" w:rsidR="00A85061" w:rsidRDefault="00F04891">
            <w:pPr>
              <w:jc w:val="right"/>
              <w:textAlignment w:val="bottom"/>
            </w:pPr>
            <w:r>
              <w:rPr>
                <w:rFonts w:ascii="sans-serif" w:eastAsia="sans-serif" w:hAnsi="sans-serif" w:cs="sans-serif"/>
                <w:color w:val="000000"/>
                <w:sz w:val="18"/>
                <w:szCs w:val="18"/>
              </w:rPr>
              <w:t>917 </w:t>
            </w:r>
          </w:p>
        </w:tc>
        <w:tc>
          <w:tcPr>
            <w:tcW w:w="0" w:type="auto"/>
            <w:shd w:val="clear" w:color="auto" w:fill="FFFFFF"/>
            <w:tcMar>
              <w:top w:w="40" w:type="dxa"/>
              <w:left w:w="0" w:type="dxa"/>
              <w:bottom w:w="40" w:type="dxa"/>
              <w:right w:w="20" w:type="dxa"/>
            </w:tcMar>
            <w:vAlign w:val="bottom"/>
          </w:tcPr>
          <w:p w14:paraId="27E07979" w14:textId="77777777" w:rsidR="00A85061" w:rsidRDefault="00A85061">
            <w:pPr>
              <w:jc w:val="right"/>
              <w:rPr>
                <w:rFonts w:ascii="宋体"/>
              </w:rPr>
            </w:pPr>
          </w:p>
        </w:tc>
      </w:tr>
      <w:tr w:rsidR="00A85061" w14:paraId="27E0797F" w14:textId="77777777">
        <w:trPr>
          <w:jc w:val="center"/>
        </w:trPr>
        <w:tc>
          <w:tcPr>
            <w:tcW w:w="0" w:type="auto"/>
            <w:gridSpan w:val="3"/>
            <w:shd w:val="clear" w:color="auto" w:fill="E2EFD9"/>
            <w:tcMar>
              <w:top w:w="40" w:type="dxa"/>
              <w:left w:w="20" w:type="dxa"/>
              <w:bottom w:w="40" w:type="dxa"/>
              <w:right w:w="20" w:type="dxa"/>
            </w:tcMar>
            <w:vAlign w:val="bottom"/>
          </w:tcPr>
          <w:p w14:paraId="27E0797B" w14:textId="77777777" w:rsidR="00A85061" w:rsidRDefault="00F04891">
            <w:pPr>
              <w:textAlignment w:val="bottom"/>
            </w:pPr>
            <w:r>
              <w:rPr>
                <w:rFonts w:ascii="sans-serif" w:eastAsia="sans-serif" w:hAnsi="sans-serif" w:cs="sans-serif"/>
                <w:color w:val="000000"/>
                <w:sz w:val="18"/>
                <w:szCs w:val="18"/>
              </w:rPr>
              <w:t>Adjustments to reconcile net income to net cash provided by operating activities:</w:t>
            </w:r>
          </w:p>
        </w:tc>
        <w:tc>
          <w:tcPr>
            <w:tcW w:w="0" w:type="auto"/>
            <w:gridSpan w:val="3"/>
            <w:shd w:val="clear" w:color="auto" w:fill="E2EFD9"/>
            <w:tcMar>
              <w:top w:w="0" w:type="dxa"/>
              <w:left w:w="20" w:type="dxa"/>
              <w:bottom w:w="0" w:type="dxa"/>
              <w:right w:w="20" w:type="dxa"/>
            </w:tcMar>
            <w:vAlign w:val="bottom"/>
          </w:tcPr>
          <w:p w14:paraId="27E0797C"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97D"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97E" w14:textId="77777777" w:rsidR="00A85061" w:rsidRDefault="00A85061">
            <w:pPr>
              <w:rPr>
                <w:rFonts w:ascii="宋体"/>
              </w:rPr>
            </w:pPr>
          </w:p>
        </w:tc>
      </w:tr>
      <w:tr w:rsidR="00A85061" w14:paraId="27E07986" w14:textId="77777777">
        <w:trPr>
          <w:jc w:val="center"/>
        </w:trPr>
        <w:tc>
          <w:tcPr>
            <w:tcW w:w="0" w:type="auto"/>
            <w:gridSpan w:val="3"/>
            <w:shd w:val="clear" w:color="auto" w:fill="FFFFFF"/>
            <w:tcMar>
              <w:top w:w="40" w:type="dxa"/>
              <w:left w:w="155" w:type="dxa"/>
              <w:bottom w:w="40" w:type="dxa"/>
              <w:right w:w="20" w:type="dxa"/>
            </w:tcMar>
            <w:vAlign w:val="bottom"/>
          </w:tcPr>
          <w:p w14:paraId="27E07980" w14:textId="77777777" w:rsidR="00A85061" w:rsidRDefault="00F04891">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27E07981" w14:textId="77777777" w:rsidR="00A85061" w:rsidRDefault="00F04891">
            <w:pPr>
              <w:jc w:val="right"/>
              <w:textAlignment w:val="bottom"/>
            </w:pPr>
            <w:r>
              <w:rPr>
                <w:rFonts w:ascii="sans-serif" w:eastAsia="sans-serif" w:hAnsi="sans-serif" w:cs="sans-serif"/>
                <w:color w:val="000000"/>
                <w:sz w:val="18"/>
                <w:szCs w:val="18"/>
              </w:rPr>
              <w:t>429 </w:t>
            </w:r>
          </w:p>
        </w:tc>
        <w:tc>
          <w:tcPr>
            <w:tcW w:w="0" w:type="auto"/>
            <w:shd w:val="clear" w:color="auto" w:fill="FFFFFF"/>
            <w:tcMar>
              <w:top w:w="40" w:type="dxa"/>
              <w:left w:w="0" w:type="dxa"/>
              <w:bottom w:w="40" w:type="dxa"/>
              <w:right w:w="20" w:type="dxa"/>
            </w:tcMar>
            <w:vAlign w:val="bottom"/>
          </w:tcPr>
          <w:p w14:paraId="27E0798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83"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84" w14:textId="77777777" w:rsidR="00A85061" w:rsidRDefault="00F04891">
            <w:pPr>
              <w:jc w:val="right"/>
              <w:textAlignment w:val="bottom"/>
            </w:pPr>
            <w:r>
              <w:rPr>
                <w:rFonts w:ascii="sans-serif" w:eastAsia="sans-serif" w:hAnsi="sans-serif" w:cs="sans-serif"/>
                <w:color w:val="000000"/>
                <w:sz w:val="18"/>
                <w:szCs w:val="18"/>
              </w:rPr>
              <w:t>224 </w:t>
            </w:r>
          </w:p>
        </w:tc>
        <w:tc>
          <w:tcPr>
            <w:tcW w:w="0" w:type="auto"/>
            <w:shd w:val="clear" w:color="auto" w:fill="FFFFFF"/>
            <w:tcMar>
              <w:top w:w="40" w:type="dxa"/>
              <w:left w:w="0" w:type="dxa"/>
              <w:bottom w:w="40" w:type="dxa"/>
              <w:right w:w="20" w:type="dxa"/>
            </w:tcMar>
            <w:vAlign w:val="bottom"/>
          </w:tcPr>
          <w:p w14:paraId="27E07985" w14:textId="77777777" w:rsidR="00A85061" w:rsidRDefault="00A85061">
            <w:pPr>
              <w:jc w:val="right"/>
              <w:rPr>
                <w:rFonts w:ascii="宋体"/>
              </w:rPr>
            </w:pPr>
          </w:p>
        </w:tc>
      </w:tr>
      <w:tr w:rsidR="00A85061" w14:paraId="27E0798D" w14:textId="77777777">
        <w:trPr>
          <w:jc w:val="center"/>
        </w:trPr>
        <w:tc>
          <w:tcPr>
            <w:tcW w:w="0" w:type="auto"/>
            <w:gridSpan w:val="3"/>
            <w:shd w:val="clear" w:color="auto" w:fill="E2EFD9"/>
            <w:tcMar>
              <w:top w:w="40" w:type="dxa"/>
              <w:left w:w="155" w:type="dxa"/>
              <w:bottom w:w="40" w:type="dxa"/>
              <w:right w:w="20" w:type="dxa"/>
            </w:tcMar>
            <w:vAlign w:val="bottom"/>
          </w:tcPr>
          <w:p w14:paraId="27E07987" w14:textId="77777777" w:rsidR="00A85061" w:rsidRDefault="00F04891">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E2EFD9"/>
            <w:tcMar>
              <w:top w:w="40" w:type="dxa"/>
              <w:left w:w="20" w:type="dxa"/>
              <w:bottom w:w="40" w:type="dxa"/>
              <w:right w:w="0" w:type="dxa"/>
            </w:tcMar>
            <w:vAlign w:val="bottom"/>
          </w:tcPr>
          <w:p w14:paraId="27E07988" w14:textId="77777777" w:rsidR="00A85061" w:rsidRDefault="00F04891">
            <w:pPr>
              <w:jc w:val="right"/>
              <w:textAlignment w:val="bottom"/>
            </w:pPr>
            <w:r>
              <w:rPr>
                <w:rFonts w:ascii="sans-serif" w:eastAsia="sans-serif" w:hAnsi="sans-serif" w:cs="sans-serif"/>
                <w:color w:val="000000"/>
                <w:sz w:val="18"/>
                <w:szCs w:val="18"/>
              </w:rPr>
              <w:t>281 </w:t>
            </w:r>
          </w:p>
        </w:tc>
        <w:tc>
          <w:tcPr>
            <w:tcW w:w="0" w:type="auto"/>
            <w:shd w:val="clear" w:color="auto" w:fill="E2EFD9"/>
            <w:tcMar>
              <w:top w:w="40" w:type="dxa"/>
              <w:left w:w="0" w:type="dxa"/>
              <w:bottom w:w="40" w:type="dxa"/>
              <w:right w:w="20" w:type="dxa"/>
            </w:tcMar>
            <w:vAlign w:val="bottom"/>
          </w:tcPr>
          <w:p w14:paraId="27E0798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8A"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8B" w14:textId="77777777" w:rsidR="00A85061" w:rsidRDefault="00F04891">
            <w:pPr>
              <w:jc w:val="right"/>
              <w:textAlignment w:val="bottom"/>
            </w:pPr>
            <w:r>
              <w:rPr>
                <w:rFonts w:ascii="sans-serif" w:eastAsia="sans-serif" w:hAnsi="sans-serif" w:cs="sans-serif"/>
                <w:color w:val="000000"/>
                <w:sz w:val="18"/>
                <w:szCs w:val="18"/>
              </w:rPr>
              <w:t>107 </w:t>
            </w:r>
          </w:p>
        </w:tc>
        <w:tc>
          <w:tcPr>
            <w:tcW w:w="0" w:type="auto"/>
            <w:shd w:val="clear" w:color="auto" w:fill="E2EFD9"/>
            <w:tcMar>
              <w:top w:w="40" w:type="dxa"/>
              <w:left w:w="0" w:type="dxa"/>
              <w:bottom w:w="40" w:type="dxa"/>
              <w:right w:w="20" w:type="dxa"/>
            </w:tcMar>
            <w:vAlign w:val="bottom"/>
          </w:tcPr>
          <w:p w14:paraId="27E0798C" w14:textId="77777777" w:rsidR="00A85061" w:rsidRDefault="00A85061">
            <w:pPr>
              <w:jc w:val="right"/>
              <w:rPr>
                <w:rFonts w:ascii="宋体"/>
              </w:rPr>
            </w:pPr>
          </w:p>
        </w:tc>
      </w:tr>
      <w:tr w:rsidR="00A85061" w14:paraId="27E07994" w14:textId="77777777">
        <w:trPr>
          <w:jc w:val="center"/>
        </w:trPr>
        <w:tc>
          <w:tcPr>
            <w:tcW w:w="0" w:type="auto"/>
            <w:gridSpan w:val="3"/>
            <w:shd w:val="clear" w:color="auto" w:fill="FFFFFF"/>
            <w:tcMar>
              <w:top w:w="40" w:type="dxa"/>
              <w:left w:w="155" w:type="dxa"/>
              <w:bottom w:w="40" w:type="dxa"/>
              <w:right w:w="20" w:type="dxa"/>
            </w:tcMar>
            <w:vAlign w:val="bottom"/>
          </w:tcPr>
          <w:p w14:paraId="27E0798E" w14:textId="77777777" w:rsidR="00A85061" w:rsidRDefault="00F04891">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27E0798F" w14:textId="77777777" w:rsidR="00A85061" w:rsidRDefault="00F04891">
            <w:pPr>
              <w:jc w:val="right"/>
              <w:textAlignment w:val="bottom"/>
            </w:pPr>
            <w:r>
              <w:rPr>
                <w:rFonts w:ascii="sans-serif" w:eastAsia="sans-serif" w:hAnsi="sans-serif" w:cs="sans-serif"/>
                <w:color w:val="000000"/>
                <w:sz w:val="18"/>
                <w:szCs w:val="18"/>
              </w:rPr>
              <w:t>24 </w:t>
            </w:r>
          </w:p>
        </w:tc>
        <w:tc>
          <w:tcPr>
            <w:tcW w:w="0" w:type="auto"/>
            <w:shd w:val="clear" w:color="auto" w:fill="FFFFFF"/>
            <w:tcMar>
              <w:top w:w="40" w:type="dxa"/>
              <w:left w:w="0" w:type="dxa"/>
              <w:bottom w:w="40" w:type="dxa"/>
              <w:right w:w="20" w:type="dxa"/>
            </w:tcMar>
            <w:vAlign w:val="bottom"/>
          </w:tcPr>
          <w:p w14:paraId="27E0799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9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92" w14:textId="77777777" w:rsidR="00A85061" w:rsidRDefault="00F04891">
            <w:pPr>
              <w:jc w:val="right"/>
              <w:textAlignment w:val="bottom"/>
            </w:pPr>
            <w:r>
              <w:rPr>
                <w:rFonts w:ascii="sans-serif" w:eastAsia="sans-serif" w:hAnsi="sans-serif" w:cs="sans-serif"/>
                <w:color w:val="000000"/>
                <w:sz w:val="18"/>
                <w:szCs w:val="18"/>
              </w:rPr>
              <w:t>16 </w:t>
            </w:r>
          </w:p>
        </w:tc>
        <w:tc>
          <w:tcPr>
            <w:tcW w:w="0" w:type="auto"/>
            <w:shd w:val="clear" w:color="auto" w:fill="FFFFFF"/>
            <w:tcMar>
              <w:top w:w="40" w:type="dxa"/>
              <w:left w:w="0" w:type="dxa"/>
              <w:bottom w:w="40" w:type="dxa"/>
              <w:right w:w="20" w:type="dxa"/>
            </w:tcMar>
            <w:vAlign w:val="bottom"/>
          </w:tcPr>
          <w:p w14:paraId="27E07993" w14:textId="77777777" w:rsidR="00A85061" w:rsidRDefault="00A85061">
            <w:pPr>
              <w:jc w:val="right"/>
              <w:rPr>
                <w:rFonts w:ascii="宋体"/>
              </w:rPr>
            </w:pPr>
          </w:p>
        </w:tc>
      </w:tr>
      <w:tr w:rsidR="00A85061" w14:paraId="27E07999" w14:textId="77777777">
        <w:trPr>
          <w:jc w:val="center"/>
          <w:hidden/>
        </w:trPr>
        <w:tc>
          <w:tcPr>
            <w:tcW w:w="0" w:type="auto"/>
            <w:gridSpan w:val="3"/>
            <w:shd w:val="clear" w:color="auto" w:fill="auto"/>
            <w:vAlign w:val="bottom"/>
          </w:tcPr>
          <w:p w14:paraId="27E07995" w14:textId="77777777" w:rsidR="00A85061" w:rsidRDefault="00A85061">
            <w:pPr>
              <w:rPr>
                <w:rFonts w:ascii="宋体"/>
                <w:vanish/>
              </w:rPr>
            </w:pPr>
          </w:p>
        </w:tc>
        <w:tc>
          <w:tcPr>
            <w:tcW w:w="0" w:type="auto"/>
            <w:gridSpan w:val="3"/>
            <w:shd w:val="clear" w:color="auto" w:fill="auto"/>
            <w:vAlign w:val="bottom"/>
          </w:tcPr>
          <w:p w14:paraId="27E07996" w14:textId="77777777" w:rsidR="00A85061" w:rsidRDefault="00A85061">
            <w:pPr>
              <w:rPr>
                <w:rFonts w:ascii="宋体"/>
                <w:vanish/>
              </w:rPr>
            </w:pPr>
          </w:p>
        </w:tc>
        <w:tc>
          <w:tcPr>
            <w:tcW w:w="0" w:type="auto"/>
            <w:gridSpan w:val="3"/>
            <w:shd w:val="clear" w:color="auto" w:fill="auto"/>
            <w:vAlign w:val="bottom"/>
          </w:tcPr>
          <w:p w14:paraId="27E07997" w14:textId="77777777" w:rsidR="00A85061" w:rsidRDefault="00A85061">
            <w:pPr>
              <w:rPr>
                <w:rFonts w:ascii="宋体"/>
                <w:vanish/>
              </w:rPr>
            </w:pPr>
          </w:p>
        </w:tc>
        <w:tc>
          <w:tcPr>
            <w:tcW w:w="0" w:type="auto"/>
            <w:gridSpan w:val="3"/>
            <w:shd w:val="clear" w:color="auto" w:fill="auto"/>
            <w:vAlign w:val="bottom"/>
          </w:tcPr>
          <w:p w14:paraId="27E07998" w14:textId="77777777" w:rsidR="00A85061" w:rsidRDefault="00A85061">
            <w:pPr>
              <w:rPr>
                <w:rFonts w:ascii="宋体"/>
                <w:vanish/>
              </w:rPr>
            </w:pPr>
          </w:p>
        </w:tc>
      </w:tr>
      <w:tr w:rsidR="00A85061" w14:paraId="27E079A0" w14:textId="77777777">
        <w:trPr>
          <w:jc w:val="center"/>
        </w:trPr>
        <w:tc>
          <w:tcPr>
            <w:tcW w:w="0" w:type="auto"/>
            <w:gridSpan w:val="3"/>
            <w:shd w:val="clear" w:color="auto" w:fill="E2EFD9"/>
            <w:tcMar>
              <w:top w:w="40" w:type="dxa"/>
              <w:left w:w="155" w:type="dxa"/>
              <w:bottom w:w="40" w:type="dxa"/>
              <w:right w:w="20" w:type="dxa"/>
            </w:tcMar>
            <w:vAlign w:val="bottom"/>
          </w:tcPr>
          <w:p w14:paraId="27E0799A" w14:textId="77777777" w:rsidR="00A85061" w:rsidRDefault="00F04891">
            <w:pPr>
              <w:textAlignment w:val="bottom"/>
            </w:pPr>
            <w:r>
              <w:rPr>
                <w:rFonts w:ascii="sans-serif" w:eastAsia="sans-serif" w:hAnsi="sans-serif" w:cs="sans-serif"/>
                <w:color w:val="000000"/>
                <w:sz w:val="18"/>
                <w:szCs w:val="18"/>
              </w:rPr>
              <w:t>(Gains) losses on investments in non-affiliates, net</w:t>
            </w:r>
          </w:p>
        </w:tc>
        <w:tc>
          <w:tcPr>
            <w:tcW w:w="0" w:type="auto"/>
            <w:gridSpan w:val="2"/>
            <w:shd w:val="clear" w:color="auto" w:fill="E2EFD9"/>
            <w:tcMar>
              <w:top w:w="40" w:type="dxa"/>
              <w:left w:w="20" w:type="dxa"/>
              <w:bottom w:w="40" w:type="dxa"/>
              <w:right w:w="0" w:type="dxa"/>
            </w:tcMar>
            <w:vAlign w:val="bottom"/>
          </w:tcPr>
          <w:p w14:paraId="27E0799B" w14:textId="77777777" w:rsidR="00A85061" w:rsidRDefault="00F04891">
            <w:pPr>
              <w:jc w:val="right"/>
              <w:textAlignment w:val="bottom"/>
            </w:pPr>
            <w:r>
              <w:rPr>
                <w:rFonts w:ascii="sans-serif" w:eastAsia="sans-serif" w:hAnsi="sans-serif" w:cs="sans-serif"/>
                <w:color w:val="000000"/>
                <w:sz w:val="18"/>
                <w:szCs w:val="18"/>
              </w:rPr>
              <w:t>(133)</w:t>
            </w:r>
          </w:p>
        </w:tc>
        <w:tc>
          <w:tcPr>
            <w:tcW w:w="0" w:type="auto"/>
            <w:shd w:val="clear" w:color="auto" w:fill="E2EFD9"/>
            <w:tcMar>
              <w:top w:w="40" w:type="dxa"/>
              <w:left w:w="0" w:type="dxa"/>
              <w:bottom w:w="40" w:type="dxa"/>
              <w:right w:w="20" w:type="dxa"/>
            </w:tcMar>
            <w:vAlign w:val="bottom"/>
          </w:tcPr>
          <w:p w14:paraId="27E0799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9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9E" w14:textId="77777777" w:rsidR="00A85061" w:rsidRDefault="00F04891">
            <w:pPr>
              <w:jc w:val="right"/>
              <w:textAlignment w:val="bottom"/>
            </w:pPr>
            <w:r>
              <w:rPr>
                <w:rFonts w:ascii="sans-serif" w:eastAsia="sans-serif" w:hAnsi="sans-serif" w:cs="sans-serif"/>
                <w:color w:val="000000"/>
                <w:sz w:val="18"/>
                <w:szCs w:val="18"/>
              </w:rPr>
              <w:t>3 </w:t>
            </w:r>
          </w:p>
        </w:tc>
        <w:tc>
          <w:tcPr>
            <w:tcW w:w="0" w:type="auto"/>
            <w:shd w:val="clear" w:color="auto" w:fill="E2EFD9"/>
            <w:tcMar>
              <w:top w:w="40" w:type="dxa"/>
              <w:left w:w="0" w:type="dxa"/>
              <w:bottom w:w="40" w:type="dxa"/>
              <w:right w:w="20" w:type="dxa"/>
            </w:tcMar>
            <w:vAlign w:val="bottom"/>
          </w:tcPr>
          <w:p w14:paraId="27E0799F" w14:textId="77777777" w:rsidR="00A85061" w:rsidRDefault="00A85061">
            <w:pPr>
              <w:jc w:val="right"/>
              <w:rPr>
                <w:rFonts w:ascii="宋体"/>
              </w:rPr>
            </w:pPr>
          </w:p>
        </w:tc>
      </w:tr>
      <w:tr w:rsidR="00A85061" w14:paraId="27E079A7" w14:textId="77777777">
        <w:trPr>
          <w:jc w:val="center"/>
        </w:trPr>
        <w:tc>
          <w:tcPr>
            <w:tcW w:w="0" w:type="auto"/>
            <w:gridSpan w:val="3"/>
            <w:shd w:val="clear" w:color="auto" w:fill="FFFFFF"/>
            <w:tcMar>
              <w:top w:w="40" w:type="dxa"/>
              <w:left w:w="155" w:type="dxa"/>
              <w:bottom w:w="40" w:type="dxa"/>
              <w:right w:w="20" w:type="dxa"/>
            </w:tcMar>
            <w:vAlign w:val="bottom"/>
          </w:tcPr>
          <w:p w14:paraId="27E079A1" w14:textId="77777777" w:rsidR="00A85061" w:rsidRDefault="00F04891">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7E079A2" w14:textId="77777777" w:rsidR="00A85061" w:rsidRDefault="00F04891">
            <w:pPr>
              <w:jc w:val="right"/>
              <w:textAlignment w:val="bottom"/>
            </w:pPr>
            <w:r>
              <w:rPr>
                <w:rFonts w:ascii="sans-serif" w:eastAsia="sans-serif" w:hAnsi="sans-serif" w:cs="sans-serif"/>
                <w:color w:val="000000"/>
                <w:sz w:val="18"/>
                <w:szCs w:val="18"/>
              </w:rPr>
              <w:t>(3)</w:t>
            </w:r>
          </w:p>
        </w:tc>
        <w:tc>
          <w:tcPr>
            <w:tcW w:w="0" w:type="auto"/>
            <w:shd w:val="clear" w:color="auto" w:fill="FFFFFF"/>
            <w:tcMar>
              <w:top w:w="40" w:type="dxa"/>
              <w:left w:w="0" w:type="dxa"/>
              <w:bottom w:w="40" w:type="dxa"/>
              <w:right w:w="20" w:type="dxa"/>
            </w:tcMar>
            <w:vAlign w:val="bottom"/>
          </w:tcPr>
          <w:p w14:paraId="27E079A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A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A5" w14:textId="77777777" w:rsidR="00A85061" w:rsidRDefault="00F04891">
            <w:pPr>
              <w:jc w:val="right"/>
              <w:textAlignment w:val="bottom"/>
            </w:pPr>
            <w:r>
              <w:rPr>
                <w:rFonts w:ascii="sans-serif" w:eastAsia="sans-serif" w:hAnsi="sans-serif" w:cs="sans-serif"/>
                <w:color w:val="000000"/>
                <w:sz w:val="18"/>
                <w:szCs w:val="18"/>
              </w:rPr>
              <w:t>1 </w:t>
            </w:r>
          </w:p>
        </w:tc>
        <w:tc>
          <w:tcPr>
            <w:tcW w:w="0" w:type="auto"/>
            <w:shd w:val="clear" w:color="auto" w:fill="FFFFFF"/>
            <w:tcMar>
              <w:top w:w="40" w:type="dxa"/>
              <w:left w:w="0" w:type="dxa"/>
              <w:bottom w:w="40" w:type="dxa"/>
              <w:right w:w="20" w:type="dxa"/>
            </w:tcMar>
            <w:vAlign w:val="bottom"/>
          </w:tcPr>
          <w:p w14:paraId="27E079A6" w14:textId="77777777" w:rsidR="00A85061" w:rsidRDefault="00A85061">
            <w:pPr>
              <w:jc w:val="right"/>
              <w:rPr>
                <w:rFonts w:ascii="宋体"/>
              </w:rPr>
            </w:pPr>
          </w:p>
        </w:tc>
      </w:tr>
      <w:tr w:rsidR="00A85061" w14:paraId="27E079AC" w14:textId="77777777">
        <w:trPr>
          <w:jc w:val="center"/>
        </w:trPr>
        <w:tc>
          <w:tcPr>
            <w:tcW w:w="0" w:type="auto"/>
            <w:gridSpan w:val="3"/>
            <w:shd w:val="clear" w:color="auto" w:fill="E2EFD9"/>
            <w:tcMar>
              <w:top w:w="40" w:type="dxa"/>
              <w:left w:w="20" w:type="dxa"/>
              <w:bottom w:w="40" w:type="dxa"/>
              <w:right w:w="20" w:type="dxa"/>
            </w:tcMar>
            <w:vAlign w:val="bottom"/>
          </w:tcPr>
          <w:p w14:paraId="27E079A8" w14:textId="77777777" w:rsidR="00A85061" w:rsidRDefault="00F04891">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E2EFD9"/>
            <w:tcMar>
              <w:top w:w="0" w:type="dxa"/>
              <w:left w:w="20" w:type="dxa"/>
              <w:bottom w:w="0" w:type="dxa"/>
              <w:right w:w="20" w:type="dxa"/>
            </w:tcMar>
            <w:vAlign w:val="bottom"/>
          </w:tcPr>
          <w:p w14:paraId="27E079A9"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9AA"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9AB" w14:textId="77777777" w:rsidR="00A85061" w:rsidRDefault="00A85061">
            <w:pPr>
              <w:rPr>
                <w:rFonts w:ascii="宋体"/>
              </w:rPr>
            </w:pPr>
          </w:p>
        </w:tc>
      </w:tr>
      <w:tr w:rsidR="00A85061" w14:paraId="27E079B3" w14:textId="77777777">
        <w:trPr>
          <w:jc w:val="center"/>
        </w:trPr>
        <w:tc>
          <w:tcPr>
            <w:tcW w:w="0" w:type="auto"/>
            <w:gridSpan w:val="3"/>
            <w:shd w:val="clear" w:color="auto" w:fill="FFFFFF"/>
            <w:tcMar>
              <w:top w:w="40" w:type="dxa"/>
              <w:left w:w="155" w:type="dxa"/>
              <w:bottom w:w="40" w:type="dxa"/>
              <w:right w:w="20" w:type="dxa"/>
            </w:tcMar>
            <w:vAlign w:val="bottom"/>
          </w:tcPr>
          <w:p w14:paraId="27E079AD" w14:textId="77777777" w:rsidR="00A85061" w:rsidRDefault="00F04891">
            <w:pPr>
              <w:textAlignment w:val="bottom"/>
            </w:pPr>
            <w:r>
              <w:rPr>
                <w:rFonts w:ascii="sans-serif" w:eastAsia="sans-serif" w:hAnsi="sans-serif" w:cs="sans-serif"/>
                <w:color w:val="000000"/>
                <w:sz w:val="18"/>
                <w:szCs w:val="18"/>
              </w:rPr>
              <w:t>Accounts receivable</w:t>
            </w:r>
          </w:p>
        </w:tc>
        <w:tc>
          <w:tcPr>
            <w:tcW w:w="0" w:type="auto"/>
            <w:gridSpan w:val="2"/>
            <w:shd w:val="clear" w:color="auto" w:fill="FFFFFF"/>
            <w:tcMar>
              <w:top w:w="40" w:type="dxa"/>
              <w:left w:w="20" w:type="dxa"/>
              <w:bottom w:w="40" w:type="dxa"/>
              <w:right w:w="0" w:type="dxa"/>
            </w:tcMar>
            <w:vAlign w:val="bottom"/>
          </w:tcPr>
          <w:p w14:paraId="27E079AE" w14:textId="77777777" w:rsidR="00A85061" w:rsidRDefault="00F04891">
            <w:pPr>
              <w:jc w:val="right"/>
              <w:textAlignment w:val="bottom"/>
            </w:pPr>
            <w:r>
              <w:rPr>
                <w:rFonts w:ascii="sans-serif" w:eastAsia="sans-serif" w:hAnsi="sans-serif" w:cs="sans-serif"/>
                <w:color w:val="000000"/>
                <w:sz w:val="18"/>
                <w:szCs w:val="18"/>
              </w:rPr>
              <w:t>(595)</w:t>
            </w:r>
          </w:p>
        </w:tc>
        <w:tc>
          <w:tcPr>
            <w:tcW w:w="0" w:type="auto"/>
            <w:shd w:val="clear" w:color="auto" w:fill="FFFFFF"/>
            <w:tcMar>
              <w:top w:w="40" w:type="dxa"/>
              <w:left w:w="0" w:type="dxa"/>
              <w:bottom w:w="40" w:type="dxa"/>
              <w:right w:w="20" w:type="dxa"/>
            </w:tcMar>
            <w:vAlign w:val="bottom"/>
          </w:tcPr>
          <w:p w14:paraId="27E079A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B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B1" w14:textId="77777777" w:rsidR="00A85061" w:rsidRDefault="00F04891">
            <w:pPr>
              <w:jc w:val="right"/>
              <w:textAlignment w:val="bottom"/>
            </w:pPr>
            <w:r>
              <w:rPr>
                <w:rFonts w:ascii="sans-serif" w:eastAsia="sans-serif" w:hAnsi="sans-serif" w:cs="sans-serif"/>
                <w:color w:val="000000"/>
                <w:sz w:val="18"/>
                <w:szCs w:val="18"/>
              </w:rPr>
              <w:t>(249)</w:t>
            </w:r>
          </w:p>
        </w:tc>
        <w:tc>
          <w:tcPr>
            <w:tcW w:w="0" w:type="auto"/>
            <w:shd w:val="clear" w:color="auto" w:fill="FFFFFF"/>
            <w:tcMar>
              <w:top w:w="40" w:type="dxa"/>
              <w:left w:w="0" w:type="dxa"/>
              <w:bottom w:w="40" w:type="dxa"/>
              <w:right w:w="20" w:type="dxa"/>
            </w:tcMar>
            <w:vAlign w:val="bottom"/>
          </w:tcPr>
          <w:p w14:paraId="27E079B2" w14:textId="77777777" w:rsidR="00A85061" w:rsidRDefault="00A85061">
            <w:pPr>
              <w:jc w:val="right"/>
              <w:rPr>
                <w:rFonts w:ascii="宋体"/>
              </w:rPr>
            </w:pPr>
          </w:p>
        </w:tc>
      </w:tr>
      <w:tr w:rsidR="00A85061" w14:paraId="27E079BA" w14:textId="77777777">
        <w:trPr>
          <w:jc w:val="center"/>
        </w:trPr>
        <w:tc>
          <w:tcPr>
            <w:tcW w:w="0" w:type="auto"/>
            <w:gridSpan w:val="3"/>
            <w:shd w:val="clear" w:color="auto" w:fill="E2EFD9"/>
            <w:tcMar>
              <w:top w:w="40" w:type="dxa"/>
              <w:left w:w="155" w:type="dxa"/>
              <w:bottom w:w="40" w:type="dxa"/>
              <w:right w:w="20" w:type="dxa"/>
            </w:tcMar>
            <w:vAlign w:val="bottom"/>
          </w:tcPr>
          <w:p w14:paraId="27E079B4" w14:textId="77777777" w:rsidR="00A85061" w:rsidRDefault="00F04891">
            <w:pPr>
              <w:textAlignment w:val="bottom"/>
            </w:pPr>
            <w:r>
              <w:rPr>
                <w:rFonts w:ascii="sans-serif" w:eastAsia="sans-serif" w:hAnsi="sans-serif" w:cs="sans-serif"/>
                <w:color w:val="000000"/>
                <w:sz w:val="18"/>
                <w:szCs w:val="18"/>
              </w:rPr>
              <w:t>Inventories</w:t>
            </w:r>
          </w:p>
        </w:tc>
        <w:tc>
          <w:tcPr>
            <w:tcW w:w="0" w:type="auto"/>
            <w:gridSpan w:val="2"/>
            <w:shd w:val="clear" w:color="auto" w:fill="E2EFD9"/>
            <w:tcMar>
              <w:top w:w="40" w:type="dxa"/>
              <w:left w:w="20" w:type="dxa"/>
              <w:bottom w:w="40" w:type="dxa"/>
              <w:right w:w="0" w:type="dxa"/>
            </w:tcMar>
            <w:vAlign w:val="bottom"/>
          </w:tcPr>
          <w:p w14:paraId="27E079B5" w14:textId="77777777" w:rsidR="00A85061" w:rsidRDefault="00F04891">
            <w:pPr>
              <w:jc w:val="right"/>
              <w:textAlignment w:val="bottom"/>
            </w:pPr>
            <w:r>
              <w:rPr>
                <w:rFonts w:ascii="sans-serif" w:eastAsia="sans-serif" w:hAnsi="sans-serif" w:cs="sans-serif"/>
                <w:color w:val="000000"/>
                <w:sz w:val="18"/>
                <w:szCs w:val="18"/>
              </w:rPr>
              <w:t>(159)</w:t>
            </w:r>
          </w:p>
        </w:tc>
        <w:tc>
          <w:tcPr>
            <w:tcW w:w="0" w:type="auto"/>
            <w:shd w:val="clear" w:color="auto" w:fill="E2EFD9"/>
            <w:tcMar>
              <w:top w:w="40" w:type="dxa"/>
              <w:left w:w="0" w:type="dxa"/>
              <w:bottom w:w="40" w:type="dxa"/>
              <w:right w:w="20" w:type="dxa"/>
            </w:tcMar>
            <w:vAlign w:val="bottom"/>
          </w:tcPr>
          <w:p w14:paraId="27E079B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B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B8" w14:textId="77777777" w:rsidR="00A85061" w:rsidRDefault="00F04891">
            <w:pPr>
              <w:jc w:val="right"/>
              <w:textAlignment w:val="bottom"/>
            </w:pPr>
            <w:r>
              <w:rPr>
                <w:rFonts w:ascii="sans-serif" w:eastAsia="sans-serif" w:hAnsi="sans-serif" w:cs="sans-serif"/>
                <w:color w:val="000000"/>
                <w:sz w:val="18"/>
                <w:szCs w:val="18"/>
              </w:rPr>
              <w:t>(151)</w:t>
            </w:r>
          </w:p>
        </w:tc>
        <w:tc>
          <w:tcPr>
            <w:tcW w:w="0" w:type="auto"/>
            <w:shd w:val="clear" w:color="auto" w:fill="E2EFD9"/>
            <w:tcMar>
              <w:top w:w="40" w:type="dxa"/>
              <w:left w:w="0" w:type="dxa"/>
              <w:bottom w:w="40" w:type="dxa"/>
              <w:right w:w="20" w:type="dxa"/>
            </w:tcMar>
            <w:vAlign w:val="bottom"/>
          </w:tcPr>
          <w:p w14:paraId="27E079B9" w14:textId="77777777" w:rsidR="00A85061" w:rsidRDefault="00A85061">
            <w:pPr>
              <w:jc w:val="right"/>
              <w:rPr>
                <w:rFonts w:ascii="宋体"/>
              </w:rPr>
            </w:pPr>
          </w:p>
        </w:tc>
      </w:tr>
      <w:tr w:rsidR="00A85061" w14:paraId="27E079C1" w14:textId="77777777">
        <w:trPr>
          <w:jc w:val="center"/>
        </w:trPr>
        <w:tc>
          <w:tcPr>
            <w:tcW w:w="0" w:type="auto"/>
            <w:gridSpan w:val="3"/>
            <w:shd w:val="clear" w:color="auto" w:fill="FFFFFF"/>
            <w:tcMar>
              <w:top w:w="40" w:type="dxa"/>
              <w:left w:w="155" w:type="dxa"/>
              <w:bottom w:w="40" w:type="dxa"/>
              <w:right w:w="20" w:type="dxa"/>
            </w:tcMar>
            <w:vAlign w:val="bottom"/>
          </w:tcPr>
          <w:p w14:paraId="27E079BB" w14:textId="77777777" w:rsidR="00A85061" w:rsidRDefault="00F04891">
            <w:pPr>
              <w:textAlignment w:val="bottom"/>
            </w:pPr>
            <w:r>
              <w:rPr>
                <w:rFonts w:ascii="sans-serif" w:eastAsia="sans-serif" w:hAnsi="sans-serif" w:cs="sans-serif"/>
                <w:color w:val="000000"/>
                <w:sz w:val="18"/>
                <w:szCs w:val="18"/>
              </w:rPr>
              <w:t xml:space="preserve">Prepaid expenses and </w:t>
            </w:r>
            <w:r>
              <w:rPr>
                <w:rFonts w:ascii="sans-serif" w:eastAsia="sans-serif" w:hAnsi="sans-serif" w:cs="sans-serif"/>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27E079BC" w14:textId="77777777" w:rsidR="00A85061" w:rsidRDefault="00F04891">
            <w:pPr>
              <w:jc w:val="right"/>
              <w:textAlignment w:val="bottom"/>
            </w:pPr>
            <w:r>
              <w:rPr>
                <w:rFonts w:ascii="sans-serif" w:eastAsia="sans-serif" w:hAnsi="sans-serif" w:cs="sans-serif"/>
                <w:color w:val="000000"/>
                <w:sz w:val="18"/>
                <w:szCs w:val="18"/>
              </w:rPr>
              <w:t>2 </w:t>
            </w:r>
          </w:p>
        </w:tc>
        <w:tc>
          <w:tcPr>
            <w:tcW w:w="0" w:type="auto"/>
            <w:shd w:val="clear" w:color="auto" w:fill="FFFFFF"/>
            <w:tcMar>
              <w:top w:w="40" w:type="dxa"/>
              <w:left w:w="0" w:type="dxa"/>
              <w:bottom w:w="40" w:type="dxa"/>
              <w:right w:w="20" w:type="dxa"/>
            </w:tcMar>
            <w:vAlign w:val="bottom"/>
          </w:tcPr>
          <w:p w14:paraId="27E079B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B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BF" w14:textId="77777777" w:rsidR="00A85061" w:rsidRDefault="00F04891">
            <w:pPr>
              <w:jc w:val="right"/>
              <w:textAlignment w:val="bottom"/>
            </w:pPr>
            <w:r>
              <w:rPr>
                <w:rFonts w:ascii="sans-serif" w:eastAsia="sans-serif" w:hAnsi="sans-serif" w:cs="sans-serif"/>
                <w:color w:val="000000"/>
                <w:sz w:val="18"/>
                <w:szCs w:val="18"/>
              </w:rPr>
              <w:t>(8)</w:t>
            </w:r>
          </w:p>
        </w:tc>
        <w:tc>
          <w:tcPr>
            <w:tcW w:w="0" w:type="auto"/>
            <w:shd w:val="clear" w:color="auto" w:fill="FFFFFF"/>
            <w:tcMar>
              <w:top w:w="40" w:type="dxa"/>
              <w:left w:w="0" w:type="dxa"/>
              <w:bottom w:w="40" w:type="dxa"/>
              <w:right w:w="20" w:type="dxa"/>
            </w:tcMar>
            <w:vAlign w:val="bottom"/>
          </w:tcPr>
          <w:p w14:paraId="27E079C0" w14:textId="77777777" w:rsidR="00A85061" w:rsidRDefault="00A85061">
            <w:pPr>
              <w:jc w:val="right"/>
              <w:rPr>
                <w:rFonts w:ascii="宋体"/>
              </w:rPr>
            </w:pPr>
          </w:p>
        </w:tc>
      </w:tr>
      <w:tr w:rsidR="00A85061" w14:paraId="27E079C8" w14:textId="77777777">
        <w:trPr>
          <w:jc w:val="center"/>
        </w:trPr>
        <w:tc>
          <w:tcPr>
            <w:tcW w:w="0" w:type="auto"/>
            <w:gridSpan w:val="3"/>
            <w:shd w:val="clear" w:color="auto" w:fill="E2EFD9"/>
            <w:tcMar>
              <w:top w:w="40" w:type="dxa"/>
              <w:left w:w="155" w:type="dxa"/>
              <w:bottom w:w="40" w:type="dxa"/>
              <w:right w:w="20" w:type="dxa"/>
            </w:tcMar>
            <w:vAlign w:val="bottom"/>
          </w:tcPr>
          <w:p w14:paraId="27E079C2" w14:textId="77777777" w:rsidR="00A85061" w:rsidRDefault="00F04891">
            <w:pPr>
              <w:textAlignment w:val="bottom"/>
            </w:pPr>
            <w:r>
              <w:rPr>
                <w:rFonts w:ascii="sans-serif" w:eastAsia="sans-serif" w:hAnsi="sans-serif" w:cs="sans-serif"/>
                <w:color w:val="000000"/>
                <w:sz w:val="18"/>
                <w:szCs w:val="18"/>
              </w:rPr>
              <w:t>Accounts payable</w:t>
            </w:r>
          </w:p>
        </w:tc>
        <w:tc>
          <w:tcPr>
            <w:tcW w:w="0" w:type="auto"/>
            <w:gridSpan w:val="2"/>
            <w:shd w:val="clear" w:color="auto" w:fill="E2EFD9"/>
            <w:tcMar>
              <w:top w:w="40" w:type="dxa"/>
              <w:left w:w="20" w:type="dxa"/>
              <w:bottom w:w="40" w:type="dxa"/>
              <w:right w:w="0" w:type="dxa"/>
            </w:tcMar>
            <w:vAlign w:val="bottom"/>
          </w:tcPr>
          <w:p w14:paraId="27E079C3" w14:textId="77777777" w:rsidR="00A85061" w:rsidRDefault="00F04891">
            <w:pPr>
              <w:jc w:val="right"/>
              <w:textAlignment w:val="bottom"/>
            </w:pPr>
            <w:r>
              <w:rPr>
                <w:rFonts w:ascii="sans-serif" w:eastAsia="sans-serif" w:hAnsi="sans-serif" w:cs="sans-serif"/>
                <w:color w:val="000000"/>
                <w:sz w:val="18"/>
                <w:szCs w:val="18"/>
              </w:rPr>
              <w:t>70 </w:t>
            </w:r>
          </w:p>
        </w:tc>
        <w:tc>
          <w:tcPr>
            <w:tcW w:w="0" w:type="auto"/>
            <w:shd w:val="clear" w:color="auto" w:fill="E2EFD9"/>
            <w:tcMar>
              <w:top w:w="40" w:type="dxa"/>
              <w:left w:w="0" w:type="dxa"/>
              <w:bottom w:w="40" w:type="dxa"/>
              <w:right w:w="20" w:type="dxa"/>
            </w:tcMar>
            <w:vAlign w:val="bottom"/>
          </w:tcPr>
          <w:p w14:paraId="27E079C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C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C6" w14:textId="77777777" w:rsidR="00A85061" w:rsidRDefault="00F04891">
            <w:pPr>
              <w:jc w:val="right"/>
              <w:textAlignment w:val="bottom"/>
            </w:pPr>
            <w:r>
              <w:rPr>
                <w:rFonts w:ascii="sans-serif" w:eastAsia="sans-serif" w:hAnsi="sans-serif" w:cs="sans-serif"/>
                <w:color w:val="000000"/>
                <w:sz w:val="18"/>
                <w:szCs w:val="18"/>
              </w:rPr>
              <w:t>71 </w:t>
            </w:r>
          </w:p>
        </w:tc>
        <w:tc>
          <w:tcPr>
            <w:tcW w:w="0" w:type="auto"/>
            <w:shd w:val="clear" w:color="auto" w:fill="E2EFD9"/>
            <w:tcMar>
              <w:top w:w="40" w:type="dxa"/>
              <w:left w:w="0" w:type="dxa"/>
              <w:bottom w:w="40" w:type="dxa"/>
              <w:right w:w="20" w:type="dxa"/>
            </w:tcMar>
            <w:vAlign w:val="bottom"/>
          </w:tcPr>
          <w:p w14:paraId="27E079C7" w14:textId="77777777" w:rsidR="00A85061" w:rsidRDefault="00A85061">
            <w:pPr>
              <w:jc w:val="right"/>
              <w:rPr>
                <w:rFonts w:ascii="宋体"/>
              </w:rPr>
            </w:pPr>
          </w:p>
        </w:tc>
      </w:tr>
      <w:tr w:rsidR="00A85061" w14:paraId="27E079CF" w14:textId="77777777">
        <w:trPr>
          <w:jc w:val="center"/>
        </w:trPr>
        <w:tc>
          <w:tcPr>
            <w:tcW w:w="0" w:type="auto"/>
            <w:gridSpan w:val="3"/>
            <w:shd w:val="clear" w:color="auto" w:fill="FFFFFF"/>
            <w:tcMar>
              <w:top w:w="40" w:type="dxa"/>
              <w:left w:w="155" w:type="dxa"/>
              <w:bottom w:w="40" w:type="dxa"/>
              <w:right w:w="20" w:type="dxa"/>
            </w:tcMar>
            <w:vAlign w:val="bottom"/>
          </w:tcPr>
          <w:p w14:paraId="27E079C9" w14:textId="77777777" w:rsidR="00A85061" w:rsidRDefault="00F04891">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FFFFFF"/>
            <w:tcMar>
              <w:top w:w="40" w:type="dxa"/>
              <w:left w:w="20" w:type="dxa"/>
              <w:bottom w:w="40" w:type="dxa"/>
              <w:right w:w="0" w:type="dxa"/>
            </w:tcMar>
            <w:vAlign w:val="bottom"/>
          </w:tcPr>
          <w:p w14:paraId="27E079CA" w14:textId="77777777" w:rsidR="00A85061" w:rsidRDefault="00F04891">
            <w:pPr>
              <w:jc w:val="right"/>
              <w:textAlignment w:val="bottom"/>
            </w:pPr>
            <w:r>
              <w:rPr>
                <w:rFonts w:ascii="sans-serif" w:eastAsia="sans-serif" w:hAnsi="sans-serif" w:cs="sans-serif"/>
                <w:color w:val="000000"/>
                <w:sz w:val="18"/>
                <w:szCs w:val="18"/>
              </w:rPr>
              <w:t>(1)</w:t>
            </w:r>
          </w:p>
        </w:tc>
        <w:tc>
          <w:tcPr>
            <w:tcW w:w="0" w:type="auto"/>
            <w:shd w:val="clear" w:color="auto" w:fill="FFFFFF"/>
            <w:tcMar>
              <w:top w:w="40" w:type="dxa"/>
              <w:left w:w="0" w:type="dxa"/>
              <w:bottom w:w="40" w:type="dxa"/>
              <w:right w:w="20" w:type="dxa"/>
            </w:tcMar>
            <w:vAlign w:val="bottom"/>
          </w:tcPr>
          <w:p w14:paraId="27E079C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C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CD" w14:textId="77777777" w:rsidR="00A85061" w:rsidRDefault="00F04891">
            <w:pPr>
              <w:jc w:val="right"/>
              <w:textAlignment w:val="bottom"/>
            </w:pPr>
            <w:r>
              <w:rPr>
                <w:rFonts w:ascii="sans-serif" w:eastAsia="sans-serif" w:hAnsi="sans-serif" w:cs="sans-serif"/>
                <w:color w:val="000000"/>
                <w:sz w:val="18"/>
                <w:szCs w:val="18"/>
              </w:rPr>
              <w:t>(32)</w:t>
            </w:r>
          </w:p>
        </w:tc>
        <w:tc>
          <w:tcPr>
            <w:tcW w:w="0" w:type="auto"/>
            <w:shd w:val="clear" w:color="auto" w:fill="FFFFFF"/>
            <w:tcMar>
              <w:top w:w="40" w:type="dxa"/>
              <w:left w:w="0" w:type="dxa"/>
              <w:bottom w:w="40" w:type="dxa"/>
              <w:right w:w="20" w:type="dxa"/>
            </w:tcMar>
            <w:vAlign w:val="bottom"/>
          </w:tcPr>
          <w:p w14:paraId="27E079CE" w14:textId="77777777" w:rsidR="00A85061" w:rsidRDefault="00A85061">
            <w:pPr>
              <w:jc w:val="right"/>
              <w:rPr>
                <w:rFonts w:ascii="宋体"/>
              </w:rPr>
            </w:pPr>
          </w:p>
        </w:tc>
      </w:tr>
      <w:tr w:rsidR="00A85061" w14:paraId="27E079D6" w14:textId="77777777">
        <w:trPr>
          <w:jc w:val="center"/>
        </w:trPr>
        <w:tc>
          <w:tcPr>
            <w:tcW w:w="0" w:type="auto"/>
            <w:gridSpan w:val="3"/>
            <w:shd w:val="clear" w:color="auto" w:fill="E2EFD9"/>
            <w:tcMar>
              <w:top w:w="40" w:type="dxa"/>
              <w:left w:w="155" w:type="dxa"/>
              <w:bottom w:w="40" w:type="dxa"/>
              <w:right w:w="20" w:type="dxa"/>
            </w:tcMar>
            <w:vAlign w:val="bottom"/>
          </w:tcPr>
          <w:p w14:paraId="27E079D0" w14:textId="77777777" w:rsidR="00A85061" w:rsidRDefault="00F04891">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E2EFD9"/>
            <w:tcMar>
              <w:top w:w="40" w:type="dxa"/>
              <w:left w:w="20" w:type="dxa"/>
              <w:bottom w:w="40" w:type="dxa"/>
              <w:right w:w="0" w:type="dxa"/>
            </w:tcMar>
            <w:vAlign w:val="bottom"/>
          </w:tcPr>
          <w:p w14:paraId="27E079D1" w14:textId="77777777" w:rsidR="00A85061" w:rsidRDefault="00F04891">
            <w:pPr>
              <w:jc w:val="right"/>
              <w:textAlignment w:val="bottom"/>
            </w:pPr>
            <w:r>
              <w:rPr>
                <w:rFonts w:ascii="sans-serif" w:eastAsia="sans-serif" w:hAnsi="sans-serif" w:cs="sans-serif"/>
                <w:color w:val="000000"/>
                <w:sz w:val="18"/>
                <w:szCs w:val="18"/>
              </w:rPr>
              <w:t>47 </w:t>
            </w:r>
          </w:p>
        </w:tc>
        <w:tc>
          <w:tcPr>
            <w:tcW w:w="0" w:type="auto"/>
            <w:shd w:val="clear" w:color="auto" w:fill="E2EFD9"/>
            <w:tcMar>
              <w:top w:w="40" w:type="dxa"/>
              <w:left w:w="0" w:type="dxa"/>
              <w:bottom w:w="40" w:type="dxa"/>
              <w:right w:w="20" w:type="dxa"/>
            </w:tcMar>
            <w:vAlign w:val="bottom"/>
          </w:tcPr>
          <w:p w14:paraId="27E079D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D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D4" w14:textId="77777777" w:rsidR="00A85061" w:rsidRDefault="00F04891">
            <w:pPr>
              <w:jc w:val="right"/>
              <w:textAlignment w:val="bottom"/>
            </w:pPr>
            <w:r>
              <w:rPr>
                <w:rFonts w:ascii="sans-serif" w:eastAsia="sans-serif" w:hAnsi="sans-serif" w:cs="sans-serif"/>
                <w:color w:val="000000"/>
                <w:sz w:val="18"/>
                <w:szCs w:val="18"/>
              </w:rPr>
              <w:t>10 </w:t>
            </w:r>
          </w:p>
        </w:tc>
        <w:tc>
          <w:tcPr>
            <w:tcW w:w="0" w:type="auto"/>
            <w:shd w:val="clear" w:color="auto" w:fill="E2EFD9"/>
            <w:tcMar>
              <w:top w:w="40" w:type="dxa"/>
              <w:left w:w="0" w:type="dxa"/>
              <w:bottom w:w="40" w:type="dxa"/>
              <w:right w:w="20" w:type="dxa"/>
            </w:tcMar>
            <w:vAlign w:val="bottom"/>
          </w:tcPr>
          <w:p w14:paraId="27E079D5" w14:textId="77777777" w:rsidR="00A85061" w:rsidRDefault="00A85061">
            <w:pPr>
              <w:jc w:val="right"/>
              <w:rPr>
                <w:rFonts w:ascii="宋体"/>
              </w:rPr>
            </w:pPr>
          </w:p>
        </w:tc>
      </w:tr>
      <w:tr w:rsidR="00A85061" w14:paraId="27E079DD" w14:textId="77777777">
        <w:trPr>
          <w:jc w:val="center"/>
        </w:trPr>
        <w:tc>
          <w:tcPr>
            <w:tcW w:w="0" w:type="auto"/>
            <w:gridSpan w:val="3"/>
            <w:shd w:val="clear" w:color="auto" w:fill="FFFFFF"/>
            <w:tcMar>
              <w:top w:w="40" w:type="dxa"/>
              <w:left w:w="20" w:type="dxa"/>
              <w:bottom w:w="40" w:type="dxa"/>
              <w:right w:w="20" w:type="dxa"/>
            </w:tcMar>
            <w:vAlign w:val="bottom"/>
          </w:tcPr>
          <w:p w14:paraId="27E079D7" w14:textId="77777777" w:rsidR="00A85061" w:rsidRDefault="00F04891">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9D8" w14:textId="77777777" w:rsidR="00A85061" w:rsidRDefault="00F04891">
            <w:pPr>
              <w:jc w:val="right"/>
              <w:textAlignment w:val="bottom"/>
            </w:pPr>
            <w:r>
              <w:rPr>
                <w:rFonts w:ascii="sans-serif" w:eastAsia="sans-serif" w:hAnsi="sans-serif" w:cs="sans-serif"/>
                <w:color w:val="000000"/>
                <w:sz w:val="18"/>
                <w:szCs w:val="18"/>
              </w:rPr>
              <w:t>1,874 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9D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DA"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9DB" w14:textId="77777777" w:rsidR="00A85061" w:rsidRDefault="00F04891">
            <w:pPr>
              <w:jc w:val="right"/>
              <w:textAlignment w:val="bottom"/>
            </w:pPr>
            <w:r>
              <w:rPr>
                <w:rFonts w:ascii="sans-serif" w:eastAsia="sans-serif" w:hAnsi="sans-serif" w:cs="sans-serif"/>
                <w:color w:val="000000"/>
                <w:sz w:val="18"/>
                <w:szCs w:val="18"/>
              </w:rPr>
              <w:t>909 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9DC" w14:textId="77777777" w:rsidR="00A85061" w:rsidRDefault="00A85061">
            <w:pPr>
              <w:jc w:val="right"/>
              <w:rPr>
                <w:rFonts w:ascii="宋体"/>
              </w:rPr>
            </w:pPr>
          </w:p>
        </w:tc>
      </w:tr>
      <w:tr w:rsidR="00A85061" w14:paraId="27E079E2" w14:textId="77777777">
        <w:trPr>
          <w:jc w:val="center"/>
        </w:trPr>
        <w:tc>
          <w:tcPr>
            <w:tcW w:w="0" w:type="auto"/>
            <w:gridSpan w:val="3"/>
            <w:shd w:val="clear" w:color="auto" w:fill="E2EFD9"/>
            <w:tcMar>
              <w:top w:w="40" w:type="dxa"/>
              <w:left w:w="20" w:type="dxa"/>
              <w:bottom w:w="40" w:type="dxa"/>
              <w:right w:w="20" w:type="dxa"/>
            </w:tcMar>
            <w:vAlign w:val="bottom"/>
          </w:tcPr>
          <w:p w14:paraId="27E079DE" w14:textId="77777777" w:rsidR="00A85061" w:rsidRDefault="00F04891">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27E079DF" w14:textId="77777777" w:rsidR="00A85061" w:rsidRDefault="00F04891">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27E079E0" w14:textId="77777777" w:rsidR="00A85061" w:rsidRDefault="00A85061">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27E079E1" w14:textId="77777777" w:rsidR="00A85061" w:rsidRDefault="00F04891">
            <w:pPr>
              <w:textAlignment w:val="bottom"/>
            </w:pPr>
            <w:r>
              <w:rPr>
                <w:rFonts w:ascii="sans-serif" w:eastAsia="sans-serif" w:hAnsi="sans-serif" w:cs="sans-serif"/>
                <w:color w:val="000000"/>
                <w:sz w:val="18"/>
                <w:szCs w:val="18"/>
              </w:rPr>
              <w:t> </w:t>
            </w:r>
          </w:p>
        </w:tc>
      </w:tr>
      <w:tr w:rsidR="00A85061" w14:paraId="27E079E9" w14:textId="77777777">
        <w:trPr>
          <w:jc w:val="center"/>
        </w:trPr>
        <w:tc>
          <w:tcPr>
            <w:tcW w:w="0" w:type="auto"/>
            <w:gridSpan w:val="3"/>
            <w:shd w:val="clear" w:color="auto" w:fill="FFFFFF"/>
            <w:tcMar>
              <w:top w:w="40" w:type="dxa"/>
              <w:left w:w="155" w:type="dxa"/>
              <w:bottom w:w="40" w:type="dxa"/>
              <w:right w:w="20" w:type="dxa"/>
            </w:tcMar>
            <w:vAlign w:val="bottom"/>
          </w:tcPr>
          <w:p w14:paraId="27E079E3" w14:textId="77777777" w:rsidR="00A85061" w:rsidRDefault="00F04891">
            <w:pPr>
              <w:textAlignment w:val="bottom"/>
            </w:pPr>
            <w:r>
              <w:rPr>
                <w:rFonts w:ascii="sans-serif" w:eastAsia="sans-serif" w:hAnsi="sans-serif" w:cs="sans-serif"/>
                <w:color w:val="000000"/>
                <w:sz w:val="18"/>
                <w:szCs w:val="18"/>
              </w:rPr>
              <w:t>Proceeds from maturities of marketable securities</w:t>
            </w:r>
          </w:p>
        </w:tc>
        <w:tc>
          <w:tcPr>
            <w:tcW w:w="0" w:type="auto"/>
            <w:gridSpan w:val="2"/>
            <w:shd w:val="clear" w:color="auto" w:fill="FFFFFF"/>
            <w:tcMar>
              <w:top w:w="40" w:type="dxa"/>
              <w:left w:w="20" w:type="dxa"/>
              <w:bottom w:w="40" w:type="dxa"/>
              <w:right w:w="0" w:type="dxa"/>
            </w:tcMar>
            <w:vAlign w:val="bottom"/>
          </w:tcPr>
          <w:p w14:paraId="27E079E4" w14:textId="77777777" w:rsidR="00A85061" w:rsidRDefault="00F04891">
            <w:pPr>
              <w:jc w:val="right"/>
              <w:textAlignment w:val="bottom"/>
            </w:pPr>
            <w:r>
              <w:rPr>
                <w:rFonts w:ascii="sans-serif" w:eastAsia="sans-serif" w:hAnsi="sans-serif" w:cs="sans-serif"/>
                <w:color w:val="000000"/>
                <w:sz w:val="18"/>
                <w:szCs w:val="18"/>
              </w:rPr>
              <w:t>3,140 </w:t>
            </w:r>
          </w:p>
        </w:tc>
        <w:tc>
          <w:tcPr>
            <w:tcW w:w="0" w:type="auto"/>
            <w:shd w:val="clear" w:color="auto" w:fill="FFFFFF"/>
            <w:tcMar>
              <w:top w:w="40" w:type="dxa"/>
              <w:left w:w="0" w:type="dxa"/>
              <w:bottom w:w="40" w:type="dxa"/>
              <w:right w:w="20" w:type="dxa"/>
            </w:tcMar>
            <w:vAlign w:val="bottom"/>
          </w:tcPr>
          <w:p w14:paraId="27E079E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E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E7" w14:textId="77777777" w:rsidR="00A85061" w:rsidRDefault="00F04891">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27E079E8" w14:textId="77777777" w:rsidR="00A85061" w:rsidRDefault="00A85061">
            <w:pPr>
              <w:jc w:val="right"/>
              <w:rPr>
                <w:rFonts w:ascii="宋体"/>
              </w:rPr>
            </w:pPr>
          </w:p>
        </w:tc>
      </w:tr>
      <w:tr w:rsidR="00A85061" w14:paraId="27E079F0" w14:textId="77777777">
        <w:trPr>
          <w:jc w:val="center"/>
        </w:trPr>
        <w:tc>
          <w:tcPr>
            <w:tcW w:w="0" w:type="auto"/>
            <w:gridSpan w:val="3"/>
            <w:shd w:val="clear" w:color="auto" w:fill="E2EFD9"/>
            <w:tcMar>
              <w:top w:w="40" w:type="dxa"/>
              <w:left w:w="155" w:type="dxa"/>
              <w:bottom w:w="40" w:type="dxa"/>
              <w:right w:w="20" w:type="dxa"/>
            </w:tcMar>
            <w:vAlign w:val="bottom"/>
          </w:tcPr>
          <w:p w14:paraId="27E079EA" w14:textId="77777777" w:rsidR="00A85061" w:rsidRDefault="00F04891">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E2EFD9"/>
            <w:tcMar>
              <w:top w:w="40" w:type="dxa"/>
              <w:left w:w="20" w:type="dxa"/>
              <w:bottom w:w="40" w:type="dxa"/>
              <w:right w:w="0" w:type="dxa"/>
            </w:tcMar>
            <w:vAlign w:val="bottom"/>
          </w:tcPr>
          <w:p w14:paraId="27E079EB" w14:textId="77777777" w:rsidR="00A85061" w:rsidRDefault="00F04891">
            <w:pPr>
              <w:jc w:val="right"/>
              <w:textAlignment w:val="bottom"/>
            </w:pPr>
            <w:r>
              <w:rPr>
                <w:rFonts w:ascii="sans-serif" w:eastAsia="sans-serif" w:hAnsi="sans-serif" w:cs="sans-serif"/>
                <w:color w:val="000000"/>
                <w:sz w:val="18"/>
                <w:szCs w:val="18"/>
              </w:rPr>
              <w:t>358 </w:t>
            </w:r>
          </w:p>
        </w:tc>
        <w:tc>
          <w:tcPr>
            <w:tcW w:w="0" w:type="auto"/>
            <w:shd w:val="clear" w:color="auto" w:fill="E2EFD9"/>
            <w:tcMar>
              <w:top w:w="40" w:type="dxa"/>
              <w:left w:w="0" w:type="dxa"/>
              <w:bottom w:w="40" w:type="dxa"/>
              <w:right w:w="20" w:type="dxa"/>
            </w:tcMar>
            <w:vAlign w:val="bottom"/>
          </w:tcPr>
          <w:p w14:paraId="27E079E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9E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9EE" w14:textId="77777777" w:rsidR="00A85061" w:rsidRDefault="00F04891">
            <w:pPr>
              <w:jc w:val="right"/>
              <w:textAlignment w:val="bottom"/>
            </w:pPr>
            <w:r>
              <w:rPr>
                <w:rFonts w:ascii="sans-serif" w:eastAsia="sans-serif" w:hAnsi="sans-serif" w:cs="sans-serif"/>
                <w:color w:val="000000"/>
                <w:sz w:val="18"/>
                <w:szCs w:val="18"/>
              </w:rPr>
              <w:t>1 </w:t>
            </w:r>
          </w:p>
        </w:tc>
        <w:tc>
          <w:tcPr>
            <w:tcW w:w="0" w:type="auto"/>
            <w:shd w:val="clear" w:color="auto" w:fill="E2EFD9"/>
            <w:tcMar>
              <w:top w:w="40" w:type="dxa"/>
              <w:left w:w="0" w:type="dxa"/>
              <w:bottom w:w="40" w:type="dxa"/>
              <w:right w:w="20" w:type="dxa"/>
            </w:tcMar>
            <w:vAlign w:val="bottom"/>
          </w:tcPr>
          <w:p w14:paraId="27E079EF" w14:textId="77777777" w:rsidR="00A85061" w:rsidRDefault="00A85061">
            <w:pPr>
              <w:jc w:val="right"/>
              <w:rPr>
                <w:rFonts w:ascii="宋体"/>
              </w:rPr>
            </w:pPr>
          </w:p>
        </w:tc>
      </w:tr>
      <w:tr w:rsidR="00A85061" w14:paraId="27E079F5" w14:textId="77777777">
        <w:trPr>
          <w:jc w:val="center"/>
          <w:hidden/>
        </w:trPr>
        <w:tc>
          <w:tcPr>
            <w:tcW w:w="0" w:type="auto"/>
            <w:gridSpan w:val="3"/>
            <w:shd w:val="clear" w:color="auto" w:fill="auto"/>
            <w:vAlign w:val="bottom"/>
          </w:tcPr>
          <w:p w14:paraId="27E079F1" w14:textId="77777777" w:rsidR="00A85061" w:rsidRDefault="00A85061">
            <w:pPr>
              <w:rPr>
                <w:rFonts w:ascii="宋体"/>
                <w:vanish/>
              </w:rPr>
            </w:pPr>
          </w:p>
        </w:tc>
        <w:tc>
          <w:tcPr>
            <w:tcW w:w="0" w:type="auto"/>
            <w:gridSpan w:val="3"/>
            <w:shd w:val="clear" w:color="auto" w:fill="auto"/>
            <w:vAlign w:val="bottom"/>
          </w:tcPr>
          <w:p w14:paraId="27E079F2" w14:textId="77777777" w:rsidR="00A85061" w:rsidRDefault="00A85061">
            <w:pPr>
              <w:rPr>
                <w:rFonts w:ascii="宋体"/>
                <w:vanish/>
              </w:rPr>
            </w:pPr>
          </w:p>
        </w:tc>
        <w:tc>
          <w:tcPr>
            <w:tcW w:w="0" w:type="auto"/>
            <w:gridSpan w:val="3"/>
            <w:shd w:val="clear" w:color="auto" w:fill="auto"/>
            <w:vAlign w:val="bottom"/>
          </w:tcPr>
          <w:p w14:paraId="27E079F3" w14:textId="77777777" w:rsidR="00A85061" w:rsidRDefault="00A85061">
            <w:pPr>
              <w:rPr>
                <w:rFonts w:ascii="宋体"/>
                <w:vanish/>
              </w:rPr>
            </w:pPr>
          </w:p>
        </w:tc>
        <w:tc>
          <w:tcPr>
            <w:tcW w:w="0" w:type="auto"/>
            <w:gridSpan w:val="3"/>
            <w:shd w:val="clear" w:color="auto" w:fill="auto"/>
            <w:vAlign w:val="bottom"/>
          </w:tcPr>
          <w:p w14:paraId="27E079F4" w14:textId="77777777" w:rsidR="00A85061" w:rsidRDefault="00A85061">
            <w:pPr>
              <w:rPr>
                <w:rFonts w:ascii="宋体"/>
                <w:vanish/>
              </w:rPr>
            </w:pPr>
          </w:p>
        </w:tc>
      </w:tr>
      <w:tr w:rsidR="00A85061" w14:paraId="27E079FC" w14:textId="77777777">
        <w:trPr>
          <w:jc w:val="center"/>
        </w:trPr>
        <w:tc>
          <w:tcPr>
            <w:tcW w:w="0" w:type="auto"/>
            <w:gridSpan w:val="3"/>
            <w:shd w:val="clear" w:color="auto" w:fill="FFFFFF"/>
            <w:tcMar>
              <w:top w:w="40" w:type="dxa"/>
              <w:left w:w="155" w:type="dxa"/>
              <w:bottom w:w="40" w:type="dxa"/>
              <w:right w:w="20" w:type="dxa"/>
            </w:tcMar>
            <w:vAlign w:val="bottom"/>
          </w:tcPr>
          <w:p w14:paraId="27E079F6" w14:textId="77777777" w:rsidR="00A85061" w:rsidRDefault="00F04891">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FFFFFF"/>
            <w:tcMar>
              <w:top w:w="40" w:type="dxa"/>
              <w:left w:w="20" w:type="dxa"/>
              <w:bottom w:w="40" w:type="dxa"/>
              <w:right w:w="0" w:type="dxa"/>
            </w:tcMar>
            <w:vAlign w:val="bottom"/>
          </w:tcPr>
          <w:p w14:paraId="27E079F7" w14:textId="77777777" w:rsidR="00A85061" w:rsidRDefault="00F04891">
            <w:pPr>
              <w:jc w:val="right"/>
              <w:textAlignment w:val="bottom"/>
            </w:pPr>
            <w:r>
              <w:rPr>
                <w:rFonts w:ascii="sans-serif" w:eastAsia="sans-serif" w:hAnsi="sans-serif" w:cs="sans-serif"/>
                <w:color w:val="000000"/>
                <w:sz w:val="18"/>
                <w:szCs w:val="18"/>
              </w:rPr>
              <w:t>(4,470)</w:t>
            </w:r>
          </w:p>
        </w:tc>
        <w:tc>
          <w:tcPr>
            <w:tcW w:w="0" w:type="auto"/>
            <w:shd w:val="clear" w:color="auto" w:fill="FFFFFF"/>
            <w:tcMar>
              <w:top w:w="40" w:type="dxa"/>
              <w:left w:w="0" w:type="dxa"/>
              <w:bottom w:w="40" w:type="dxa"/>
              <w:right w:w="20" w:type="dxa"/>
            </w:tcMar>
            <w:vAlign w:val="bottom"/>
          </w:tcPr>
          <w:p w14:paraId="27E079F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9F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9FA" w14:textId="77777777" w:rsidR="00A85061" w:rsidRDefault="00F04891">
            <w:pPr>
              <w:jc w:val="right"/>
              <w:textAlignment w:val="bottom"/>
            </w:pPr>
            <w:r>
              <w:rPr>
                <w:rFonts w:ascii="sans-serif" w:eastAsia="sans-serif" w:hAnsi="sans-serif" w:cs="sans-serif"/>
                <w:color w:val="000000"/>
                <w:sz w:val="18"/>
                <w:szCs w:val="18"/>
              </w:rPr>
              <w:t>(861)</w:t>
            </w:r>
          </w:p>
        </w:tc>
        <w:tc>
          <w:tcPr>
            <w:tcW w:w="0" w:type="auto"/>
            <w:shd w:val="clear" w:color="auto" w:fill="FFFFFF"/>
            <w:tcMar>
              <w:top w:w="40" w:type="dxa"/>
              <w:left w:w="0" w:type="dxa"/>
              <w:bottom w:w="40" w:type="dxa"/>
              <w:right w:w="20" w:type="dxa"/>
            </w:tcMar>
            <w:vAlign w:val="bottom"/>
          </w:tcPr>
          <w:p w14:paraId="27E079FB" w14:textId="77777777" w:rsidR="00A85061" w:rsidRDefault="00A85061">
            <w:pPr>
              <w:jc w:val="right"/>
              <w:rPr>
                <w:rFonts w:ascii="宋体"/>
              </w:rPr>
            </w:pPr>
          </w:p>
        </w:tc>
      </w:tr>
      <w:tr w:rsidR="00A85061" w14:paraId="27E07A03" w14:textId="77777777">
        <w:trPr>
          <w:jc w:val="center"/>
        </w:trPr>
        <w:tc>
          <w:tcPr>
            <w:tcW w:w="0" w:type="auto"/>
            <w:gridSpan w:val="3"/>
            <w:shd w:val="clear" w:color="auto" w:fill="E2EFD9"/>
            <w:tcMar>
              <w:top w:w="40" w:type="dxa"/>
              <w:left w:w="155" w:type="dxa"/>
              <w:bottom w:w="40" w:type="dxa"/>
              <w:right w:w="20" w:type="dxa"/>
            </w:tcMar>
            <w:vAlign w:val="bottom"/>
          </w:tcPr>
          <w:p w14:paraId="27E079FD" w14:textId="77777777" w:rsidR="00A85061" w:rsidRDefault="00F04891">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E2EFD9"/>
            <w:tcMar>
              <w:top w:w="40" w:type="dxa"/>
              <w:left w:w="20" w:type="dxa"/>
              <w:bottom w:w="40" w:type="dxa"/>
              <w:right w:w="0" w:type="dxa"/>
            </w:tcMar>
            <w:vAlign w:val="bottom"/>
          </w:tcPr>
          <w:p w14:paraId="27E079FE" w14:textId="77777777" w:rsidR="00A85061" w:rsidRDefault="00F04891">
            <w:pPr>
              <w:jc w:val="right"/>
              <w:textAlignment w:val="bottom"/>
            </w:pPr>
            <w:r>
              <w:rPr>
                <w:rFonts w:ascii="sans-serif" w:eastAsia="sans-serif" w:hAnsi="sans-serif" w:cs="sans-serif"/>
                <w:color w:val="000000"/>
                <w:sz w:val="18"/>
                <w:szCs w:val="18"/>
              </w:rPr>
              <w:t>(298)</w:t>
            </w:r>
          </w:p>
        </w:tc>
        <w:tc>
          <w:tcPr>
            <w:tcW w:w="0" w:type="auto"/>
            <w:shd w:val="clear" w:color="auto" w:fill="E2EFD9"/>
            <w:tcMar>
              <w:top w:w="40" w:type="dxa"/>
              <w:left w:w="0" w:type="dxa"/>
              <w:bottom w:w="40" w:type="dxa"/>
              <w:right w:w="20" w:type="dxa"/>
            </w:tcMar>
            <w:vAlign w:val="bottom"/>
          </w:tcPr>
          <w:p w14:paraId="27E079F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0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01" w14:textId="77777777" w:rsidR="00A85061" w:rsidRDefault="00F04891">
            <w:pPr>
              <w:jc w:val="right"/>
              <w:textAlignment w:val="bottom"/>
            </w:pPr>
            <w:r>
              <w:rPr>
                <w:rFonts w:ascii="sans-serif" w:eastAsia="sans-serif" w:hAnsi="sans-serif" w:cs="sans-serif"/>
                <w:color w:val="000000"/>
                <w:sz w:val="18"/>
                <w:szCs w:val="18"/>
              </w:rPr>
              <w:t>(155)</w:t>
            </w:r>
          </w:p>
        </w:tc>
        <w:tc>
          <w:tcPr>
            <w:tcW w:w="0" w:type="auto"/>
            <w:shd w:val="clear" w:color="auto" w:fill="E2EFD9"/>
            <w:tcMar>
              <w:top w:w="40" w:type="dxa"/>
              <w:left w:w="0" w:type="dxa"/>
              <w:bottom w:w="40" w:type="dxa"/>
              <w:right w:w="20" w:type="dxa"/>
            </w:tcMar>
            <w:vAlign w:val="bottom"/>
          </w:tcPr>
          <w:p w14:paraId="27E07A02" w14:textId="77777777" w:rsidR="00A85061" w:rsidRDefault="00A85061">
            <w:pPr>
              <w:jc w:val="right"/>
              <w:rPr>
                <w:rFonts w:ascii="宋体"/>
              </w:rPr>
            </w:pPr>
          </w:p>
        </w:tc>
      </w:tr>
      <w:tr w:rsidR="00A85061" w14:paraId="27E07A0A" w14:textId="77777777">
        <w:trPr>
          <w:jc w:val="center"/>
        </w:trPr>
        <w:tc>
          <w:tcPr>
            <w:tcW w:w="0" w:type="auto"/>
            <w:gridSpan w:val="3"/>
            <w:shd w:val="clear" w:color="auto" w:fill="FFFFFF"/>
            <w:tcMar>
              <w:top w:w="40" w:type="dxa"/>
              <w:left w:w="155" w:type="dxa"/>
              <w:bottom w:w="40" w:type="dxa"/>
              <w:right w:w="20" w:type="dxa"/>
            </w:tcMar>
            <w:vAlign w:val="bottom"/>
          </w:tcPr>
          <w:p w14:paraId="27E07A04" w14:textId="77777777" w:rsidR="00A85061" w:rsidRDefault="00F04891">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27E07A05" w14:textId="77777777" w:rsidR="00A85061" w:rsidRDefault="00F04891">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27E07A0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0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A08" w14:textId="77777777" w:rsidR="00A85061" w:rsidRDefault="00F04891">
            <w:pPr>
              <w:jc w:val="right"/>
              <w:textAlignment w:val="bottom"/>
            </w:pPr>
            <w:r>
              <w:rPr>
                <w:rFonts w:ascii="sans-serif" w:eastAsia="sans-serif" w:hAnsi="sans-serif" w:cs="sans-serif"/>
                <w:color w:val="000000"/>
                <w:sz w:val="18"/>
                <w:szCs w:val="18"/>
              </w:rPr>
              <w:t>(6)</w:t>
            </w:r>
          </w:p>
        </w:tc>
        <w:tc>
          <w:tcPr>
            <w:tcW w:w="0" w:type="auto"/>
            <w:shd w:val="clear" w:color="auto" w:fill="FFFFFF"/>
            <w:tcMar>
              <w:top w:w="40" w:type="dxa"/>
              <w:left w:w="0" w:type="dxa"/>
              <w:bottom w:w="40" w:type="dxa"/>
              <w:right w:w="20" w:type="dxa"/>
            </w:tcMar>
            <w:vAlign w:val="bottom"/>
          </w:tcPr>
          <w:p w14:paraId="27E07A09" w14:textId="77777777" w:rsidR="00A85061" w:rsidRDefault="00A85061">
            <w:pPr>
              <w:jc w:val="right"/>
              <w:rPr>
                <w:rFonts w:ascii="宋体"/>
              </w:rPr>
            </w:pPr>
          </w:p>
        </w:tc>
      </w:tr>
      <w:tr w:rsidR="00A85061" w14:paraId="27E07A11" w14:textId="77777777">
        <w:trPr>
          <w:jc w:val="center"/>
        </w:trPr>
        <w:tc>
          <w:tcPr>
            <w:tcW w:w="0" w:type="auto"/>
            <w:gridSpan w:val="3"/>
            <w:shd w:val="clear" w:color="auto" w:fill="E2EFD9"/>
            <w:tcMar>
              <w:top w:w="40" w:type="dxa"/>
              <w:left w:w="155" w:type="dxa"/>
              <w:bottom w:w="40" w:type="dxa"/>
              <w:right w:w="20" w:type="dxa"/>
            </w:tcMar>
            <w:vAlign w:val="bottom"/>
          </w:tcPr>
          <w:p w14:paraId="27E07A0B" w14:textId="77777777" w:rsidR="00A85061" w:rsidRDefault="00F04891">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27E07A0C" w14:textId="77777777" w:rsidR="00A85061" w:rsidRDefault="00F04891">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27E07A0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0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0F" w14:textId="77777777" w:rsidR="00A85061" w:rsidRDefault="00F04891">
            <w:pPr>
              <w:jc w:val="right"/>
              <w:textAlignment w:val="bottom"/>
            </w:pPr>
            <w:r>
              <w:rPr>
                <w:rFonts w:ascii="sans-serif" w:eastAsia="sans-serif" w:hAnsi="sans-serif" w:cs="sans-serif"/>
                <w:color w:val="000000"/>
                <w:sz w:val="18"/>
                <w:szCs w:val="18"/>
              </w:rPr>
              <w:t>(34)</w:t>
            </w:r>
          </w:p>
        </w:tc>
        <w:tc>
          <w:tcPr>
            <w:tcW w:w="0" w:type="auto"/>
            <w:shd w:val="clear" w:color="auto" w:fill="E2EFD9"/>
            <w:tcMar>
              <w:top w:w="40" w:type="dxa"/>
              <w:left w:w="0" w:type="dxa"/>
              <w:bottom w:w="40" w:type="dxa"/>
              <w:right w:w="20" w:type="dxa"/>
            </w:tcMar>
            <w:vAlign w:val="bottom"/>
          </w:tcPr>
          <w:p w14:paraId="27E07A10" w14:textId="77777777" w:rsidR="00A85061" w:rsidRDefault="00A85061">
            <w:pPr>
              <w:jc w:val="right"/>
              <w:rPr>
                <w:rFonts w:ascii="宋体"/>
              </w:rPr>
            </w:pPr>
          </w:p>
        </w:tc>
      </w:tr>
      <w:tr w:rsidR="00A85061" w14:paraId="27E07A18" w14:textId="77777777">
        <w:trPr>
          <w:jc w:val="center"/>
        </w:trPr>
        <w:tc>
          <w:tcPr>
            <w:tcW w:w="0" w:type="auto"/>
            <w:gridSpan w:val="3"/>
            <w:shd w:val="clear" w:color="auto" w:fill="FFFFFF"/>
            <w:tcMar>
              <w:top w:w="40" w:type="dxa"/>
              <w:left w:w="20" w:type="dxa"/>
              <w:bottom w:w="40" w:type="dxa"/>
              <w:right w:w="20" w:type="dxa"/>
            </w:tcMar>
            <w:vAlign w:val="bottom"/>
          </w:tcPr>
          <w:p w14:paraId="27E07A12" w14:textId="77777777" w:rsidR="00A85061" w:rsidRDefault="00F04891">
            <w:pPr>
              <w:textAlignment w:val="bottom"/>
            </w:pPr>
            <w:r>
              <w:rPr>
                <w:rFonts w:ascii="sans-serif" w:eastAsia="sans-serif" w:hAnsi="sans-serif" w:cs="sans-serif"/>
                <w:color w:val="000000"/>
                <w:sz w:val="18"/>
                <w:szCs w:val="18"/>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A13" w14:textId="77777777" w:rsidR="00A85061" w:rsidRDefault="00F04891">
            <w:pPr>
              <w:jc w:val="right"/>
              <w:textAlignment w:val="bottom"/>
            </w:pPr>
            <w:r>
              <w:rPr>
                <w:rFonts w:ascii="sans-serif" w:eastAsia="sans-serif" w:hAnsi="sans-serif" w:cs="sans-serif"/>
                <w:color w:val="000000"/>
                <w:sz w:val="18"/>
                <w:szCs w:val="18"/>
              </w:rPr>
              <w:t>(1,272)</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A1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15"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A16" w14:textId="77777777" w:rsidR="00A85061" w:rsidRDefault="00F04891">
            <w:pPr>
              <w:jc w:val="right"/>
              <w:textAlignment w:val="bottom"/>
            </w:pPr>
            <w:r>
              <w:rPr>
                <w:rFonts w:ascii="sans-serif" w:eastAsia="sans-serif" w:hAnsi="sans-serif" w:cs="sans-serif"/>
                <w:color w:val="000000"/>
                <w:sz w:val="18"/>
                <w:szCs w:val="18"/>
              </w:rPr>
              <w:t>(1,055)</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A17" w14:textId="77777777" w:rsidR="00A85061" w:rsidRDefault="00A85061">
            <w:pPr>
              <w:jc w:val="right"/>
              <w:rPr>
                <w:rFonts w:ascii="宋体"/>
              </w:rPr>
            </w:pPr>
          </w:p>
        </w:tc>
      </w:tr>
      <w:tr w:rsidR="00A85061" w14:paraId="27E07A1D" w14:textId="77777777">
        <w:trPr>
          <w:jc w:val="center"/>
        </w:trPr>
        <w:tc>
          <w:tcPr>
            <w:tcW w:w="0" w:type="auto"/>
            <w:gridSpan w:val="3"/>
            <w:shd w:val="clear" w:color="auto" w:fill="E2EFD9"/>
            <w:tcMar>
              <w:top w:w="40" w:type="dxa"/>
              <w:left w:w="20" w:type="dxa"/>
              <w:bottom w:w="40" w:type="dxa"/>
              <w:right w:w="20" w:type="dxa"/>
            </w:tcMar>
            <w:vAlign w:val="bottom"/>
          </w:tcPr>
          <w:p w14:paraId="27E07A19" w14:textId="77777777" w:rsidR="00A85061" w:rsidRDefault="00F04891">
            <w:pPr>
              <w:textAlignment w:val="bottom"/>
            </w:pPr>
            <w:r>
              <w:rPr>
                <w:rFonts w:ascii="sans-serif" w:eastAsia="sans-serif" w:hAnsi="sans-serif" w:cs="sans-serif"/>
                <w:color w:val="000000"/>
                <w:sz w:val="18"/>
                <w:szCs w:val="18"/>
              </w:rPr>
              <w:t>Cash flows from financing activities:</w:t>
            </w:r>
          </w:p>
        </w:tc>
        <w:tc>
          <w:tcPr>
            <w:tcW w:w="0" w:type="auto"/>
            <w:gridSpan w:val="3"/>
            <w:shd w:val="clear" w:color="auto" w:fill="E2EFD9"/>
            <w:tcMar>
              <w:top w:w="40" w:type="dxa"/>
              <w:left w:w="20" w:type="dxa"/>
              <w:bottom w:w="40" w:type="dxa"/>
              <w:right w:w="20" w:type="dxa"/>
            </w:tcMar>
            <w:vAlign w:val="bottom"/>
          </w:tcPr>
          <w:p w14:paraId="27E07A1A" w14:textId="77777777" w:rsidR="00A85061" w:rsidRDefault="00F04891">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27E07A1B"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7A1C" w14:textId="77777777" w:rsidR="00A85061" w:rsidRDefault="00F04891">
            <w:pPr>
              <w:textAlignment w:val="bottom"/>
            </w:pPr>
            <w:r>
              <w:rPr>
                <w:rFonts w:ascii="sans-serif" w:eastAsia="sans-serif" w:hAnsi="sans-serif" w:cs="sans-serif"/>
                <w:color w:val="000000"/>
                <w:sz w:val="18"/>
                <w:szCs w:val="18"/>
              </w:rPr>
              <w:t> </w:t>
            </w:r>
          </w:p>
        </w:tc>
      </w:tr>
      <w:tr w:rsidR="00A85061" w14:paraId="27E07A24" w14:textId="77777777">
        <w:trPr>
          <w:jc w:val="center"/>
        </w:trPr>
        <w:tc>
          <w:tcPr>
            <w:tcW w:w="0" w:type="auto"/>
            <w:gridSpan w:val="3"/>
            <w:shd w:val="clear" w:color="auto" w:fill="FFFFFF"/>
            <w:tcMar>
              <w:top w:w="40" w:type="dxa"/>
              <w:left w:w="155" w:type="dxa"/>
              <w:bottom w:w="40" w:type="dxa"/>
              <w:right w:w="20" w:type="dxa"/>
            </w:tcMar>
            <w:vAlign w:val="bottom"/>
          </w:tcPr>
          <w:p w14:paraId="27E07A1E" w14:textId="77777777" w:rsidR="00A85061" w:rsidRDefault="00F04891">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FFFFFF"/>
            <w:tcMar>
              <w:top w:w="40" w:type="dxa"/>
              <w:left w:w="20" w:type="dxa"/>
              <w:bottom w:w="40" w:type="dxa"/>
              <w:right w:w="0" w:type="dxa"/>
            </w:tcMar>
            <w:vAlign w:val="bottom"/>
          </w:tcPr>
          <w:p w14:paraId="27E07A1F" w14:textId="77777777" w:rsidR="00A85061" w:rsidRDefault="00F04891">
            <w:pPr>
              <w:jc w:val="right"/>
              <w:textAlignment w:val="bottom"/>
            </w:pPr>
            <w:r>
              <w:rPr>
                <w:rFonts w:ascii="sans-serif" w:eastAsia="sans-serif" w:hAnsi="sans-serif" w:cs="sans-serif"/>
                <w:color w:val="000000"/>
                <w:sz w:val="18"/>
                <w:szCs w:val="18"/>
              </w:rPr>
              <w:t>126 </w:t>
            </w:r>
          </w:p>
        </w:tc>
        <w:tc>
          <w:tcPr>
            <w:tcW w:w="0" w:type="auto"/>
            <w:shd w:val="clear" w:color="auto" w:fill="FFFFFF"/>
            <w:tcMar>
              <w:top w:w="40" w:type="dxa"/>
              <w:left w:w="0" w:type="dxa"/>
              <w:bottom w:w="40" w:type="dxa"/>
              <w:right w:w="20" w:type="dxa"/>
            </w:tcMar>
            <w:vAlign w:val="bottom"/>
          </w:tcPr>
          <w:p w14:paraId="27E07A2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2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A22" w14:textId="77777777" w:rsidR="00A85061" w:rsidRDefault="00F04891">
            <w:pPr>
              <w:jc w:val="right"/>
              <w:textAlignment w:val="bottom"/>
            </w:pPr>
            <w:r>
              <w:rPr>
                <w:rFonts w:ascii="sans-serif" w:eastAsia="sans-serif" w:hAnsi="sans-serif" w:cs="sans-serif"/>
                <w:color w:val="000000"/>
                <w:sz w:val="18"/>
                <w:szCs w:val="18"/>
              </w:rPr>
              <w:t>88 </w:t>
            </w:r>
          </w:p>
        </w:tc>
        <w:tc>
          <w:tcPr>
            <w:tcW w:w="0" w:type="auto"/>
            <w:shd w:val="clear" w:color="auto" w:fill="FFFFFF"/>
            <w:tcMar>
              <w:top w:w="40" w:type="dxa"/>
              <w:left w:w="0" w:type="dxa"/>
              <w:bottom w:w="40" w:type="dxa"/>
              <w:right w:w="20" w:type="dxa"/>
            </w:tcMar>
            <w:vAlign w:val="bottom"/>
          </w:tcPr>
          <w:p w14:paraId="27E07A23" w14:textId="77777777" w:rsidR="00A85061" w:rsidRDefault="00A85061">
            <w:pPr>
              <w:jc w:val="right"/>
              <w:rPr>
                <w:rFonts w:ascii="宋体"/>
              </w:rPr>
            </w:pPr>
          </w:p>
        </w:tc>
      </w:tr>
      <w:tr w:rsidR="00A85061" w14:paraId="27E07A2B" w14:textId="77777777">
        <w:trPr>
          <w:jc w:val="center"/>
        </w:trPr>
        <w:tc>
          <w:tcPr>
            <w:tcW w:w="0" w:type="auto"/>
            <w:gridSpan w:val="3"/>
            <w:shd w:val="clear" w:color="auto" w:fill="E2EFD9"/>
            <w:tcMar>
              <w:top w:w="40" w:type="dxa"/>
              <w:left w:w="155" w:type="dxa"/>
              <w:bottom w:w="40" w:type="dxa"/>
              <w:right w:w="20" w:type="dxa"/>
            </w:tcMar>
            <w:vAlign w:val="bottom"/>
          </w:tcPr>
          <w:p w14:paraId="27E07A25" w14:textId="77777777" w:rsidR="00A85061" w:rsidRDefault="00F04891">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E2EFD9"/>
            <w:tcMar>
              <w:top w:w="40" w:type="dxa"/>
              <w:left w:w="20" w:type="dxa"/>
              <w:bottom w:w="40" w:type="dxa"/>
              <w:right w:w="0" w:type="dxa"/>
            </w:tcMar>
            <w:vAlign w:val="bottom"/>
          </w:tcPr>
          <w:p w14:paraId="27E07A26" w14:textId="77777777" w:rsidR="00A85061" w:rsidRDefault="00F04891">
            <w:pPr>
              <w:jc w:val="right"/>
              <w:textAlignment w:val="bottom"/>
            </w:pPr>
            <w:r>
              <w:rPr>
                <w:rFonts w:ascii="sans-serif" w:eastAsia="sans-serif" w:hAnsi="sans-serif" w:cs="sans-serif"/>
                <w:color w:val="000000"/>
                <w:sz w:val="18"/>
                <w:szCs w:val="18"/>
              </w:rPr>
              <w:t>(477)</w:t>
            </w:r>
          </w:p>
        </w:tc>
        <w:tc>
          <w:tcPr>
            <w:tcW w:w="0" w:type="auto"/>
            <w:shd w:val="clear" w:color="auto" w:fill="E2EFD9"/>
            <w:tcMar>
              <w:top w:w="40" w:type="dxa"/>
              <w:left w:w="0" w:type="dxa"/>
              <w:bottom w:w="40" w:type="dxa"/>
              <w:right w:w="20" w:type="dxa"/>
            </w:tcMar>
            <w:vAlign w:val="bottom"/>
          </w:tcPr>
          <w:p w14:paraId="27E07A2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2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29" w14:textId="77777777" w:rsidR="00A85061" w:rsidRDefault="00F04891">
            <w:pPr>
              <w:jc w:val="right"/>
              <w:textAlignment w:val="bottom"/>
            </w:pPr>
            <w:r>
              <w:rPr>
                <w:rFonts w:ascii="sans-serif" w:eastAsia="sans-serif" w:hAnsi="sans-serif" w:cs="sans-serif"/>
                <w:color w:val="000000"/>
                <w:sz w:val="18"/>
                <w:szCs w:val="18"/>
              </w:rPr>
              <w:t>(222)</w:t>
            </w:r>
          </w:p>
        </w:tc>
        <w:tc>
          <w:tcPr>
            <w:tcW w:w="0" w:type="auto"/>
            <w:shd w:val="clear" w:color="auto" w:fill="E2EFD9"/>
            <w:tcMar>
              <w:top w:w="40" w:type="dxa"/>
              <w:left w:w="0" w:type="dxa"/>
              <w:bottom w:w="40" w:type="dxa"/>
              <w:right w:w="20" w:type="dxa"/>
            </w:tcMar>
            <w:vAlign w:val="bottom"/>
          </w:tcPr>
          <w:p w14:paraId="27E07A2A" w14:textId="77777777" w:rsidR="00A85061" w:rsidRDefault="00A85061">
            <w:pPr>
              <w:jc w:val="right"/>
              <w:rPr>
                <w:rFonts w:ascii="宋体"/>
              </w:rPr>
            </w:pPr>
          </w:p>
        </w:tc>
      </w:tr>
      <w:tr w:rsidR="00A85061" w14:paraId="27E07A32" w14:textId="77777777">
        <w:trPr>
          <w:jc w:val="center"/>
        </w:trPr>
        <w:tc>
          <w:tcPr>
            <w:tcW w:w="0" w:type="auto"/>
            <w:gridSpan w:val="3"/>
            <w:shd w:val="clear" w:color="auto" w:fill="FFFFFF"/>
            <w:tcMar>
              <w:top w:w="40" w:type="dxa"/>
              <w:left w:w="155" w:type="dxa"/>
              <w:bottom w:w="40" w:type="dxa"/>
              <w:right w:w="20" w:type="dxa"/>
            </w:tcMar>
            <w:vAlign w:val="bottom"/>
          </w:tcPr>
          <w:p w14:paraId="27E07A2C" w14:textId="77777777" w:rsidR="00A85061" w:rsidRDefault="00F04891">
            <w:pPr>
              <w:textAlignment w:val="bottom"/>
            </w:pPr>
            <w:r>
              <w:rPr>
                <w:rFonts w:ascii="sans-serif" w:eastAsia="sans-serif" w:hAnsi="sans-serif" w:cs="sans-serif"/>
                <w:color w:val="000000"/>
                <w:sz w:val="18"/>
                <w:szCs w:val="18"/>
              </w:rPr>
              <w:t>Dividends paid</w:t>
            </w:r>
          </w:p>
        </w:tc>
        <w:tc>
          <w:tcPr>
            <w:tcW w:w="0" w:type="auto"/>
            <w:gridSpan w:val="2"/>
            <w:shd w:val="clear" w:color="auto" w:fill="FFFFFF"/>
            <w:tcMar>
              <w:top w:w="40" w:type="dxa"/>
              <w:left w:w="20" w:type="dxa"/>
              <w:bottom w:w="40" w:type="dxa"/>
              <w:right w:w="0" w:type="dxa"/>
            </w:tcMar>
            <w:vAlign w:val="bottom"/>
          </w:tcPr>
          <w:p w14:paraId="27E07A2D" w14:textId="77777777" w:rsidR="00A85061" w:rsidRDefault="00F04891">
            <w:pPr>
              <w:jc w:val="right"/>
              <w:textAlignment w:val="bottom"/>
            </w:pPr>
            <w:r>
              <w:rPr>
                <w:rFonts w:ascii="sans-serif" w:eastAsia="sans-serif" w:hAnsi="sans-serif" w:cs="sans-serif"/>
                <w:color w:val="000000"/>
                <w:sz w:val="18"/>
                <w:szCs w:val="18"/>
              </w:rPr>
              <w:t>(99)</w:t>
            </w:r>
          </w:p>
        </w:tc>
        <w:tc>
          <w:tcPr>
            <w:tcW w:w="0" w:type="auto"/>
            <w:shd w:val="clear" w:color="auto" w:fill="FFFFFF"/>
            <w:tcMar>
              <w:top w:w="40" w:type="dxa"/>
              <w:left w:w="0" w:type="dxa"/>
              <w:bottom w:w="40" w:type="dxa"/>
              <w:right w:w="20" w:type="dxa"/>
            </w:tcMar>
            <w:vAlign w:val="bottom"/>
          </w:tcPr>
          <w:p w14:paraId="27E07A2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2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A30" w14:textId="77777777" w:rsidR="00A85061" w:rsidRDefault="00F04891">
            <w:pPr>
              <w:jc w:val="right"/>
              <w:textAlignment w:val="bottom"/>
            </w:pPr>
            <w:r>
              <w:rPr>
                <w:rFonts w:ascii="sans-serif" w:eastAsia="sans-serif" w:hAnsi="sans-serif" w:cs="sans-serif"/>
                <w:color w:val="000000"/>
                <w:sz w:val="18"/>
                <w:szCs w:val="18"/>
              </w:rPr>
              <w:t>(98)</w:t>
            </w:r>
          </w:p>
        </w:tc>
        <w:tc>
          <w:tcPr>
            <w:tcW w:w="0" w:type="auto"/>
            <w:shd w:val="clear" w:color="auto" w:fill="FFFFFF"/>
            <w:tcMar>
              <w:top w:w="40" w:type="dxa"/>
              <w:left w:w="0" w:type="dxa"/>
              <w:bottom w:w="40" w:type="dxa"/>
              <w:right w:w="20" w:type="dxa"/>
            </w:tcMar>
            <w:vAlign w:val="bottom"/>
          </w:tcPr>
          <w:p w14:paraId="27E07A31" w14:textId="77777777" w:rsidR="00A85061" w:rsidRDefault="00A85061">
            <w:pPr>
              <w:jc w:val="right"/>
              <w:rPr>
                <w:rFonts w:ascii="宋体"/>
              </w:rPr>
            </w:pPr>
          </w:p>
        </w:tc>
      </w:tr>
      <w:tr w:rsidR="00A85061" w14:paraId="27E07A39" w14:textId="77777777">
        <w:trPr>
          <w:jc w:val="center"/>
        </w:trPr>
        <w:tc>
          <w:tcPr>
            <w:tcW w:w="0" w:type="auto"/>
            <w:gridSpan w:val="3"/>
            <w:shd w:val="clear" w:color="auto" w:fill="E2EFD9"/>
            <w:tcMar>
              <w:top w:w="40" w:type="dxa"/>
              <w:left w:w="155" w:type="dxa"/>
              <w:bottom w:w="40" w:type="dxa"/>
              <w:right w:w="20" w:type="dxa"/>
            </w:tcMar>
            <w:vAlign w:val="bottom"/>
          </w:tcPr>
          <w:p w14:paraId="27E07A33" w14:textId="77777777" w:rsidR="00A85061" w:rsidRDefault="00F04891">
            <w:pPr>
              <w:textAlignment w:val="bottom"/>
            </w:pPr>
            <w:r>
              <w:rPr>
                <w:rFonts w:ascii="sans-serif" w:eastAsia="sans-serif" w:hAnsi="sans-serif" w:cs="sans-serif"/>
                <w:color w:val="000000"/>
                <w:sz w:val="18"/>
                <w:szCs w:val="18"/>
              </w:rPr>
              <w:t>Principal payments on property and equipment</w:t>
            </w:r>
          </w:p>
        </w:tc>
        <w:tc>
          <w:tcPr>
            <w:tcW w:w="0" w:type="auto"/>
            <w:gridSpan w:val="2"/>
            <w:shd w:val="clear" w:color="auto" w:fill="E2EFD9"/>
            <w:tcMar>
              <w:top w:w="40" w:type="dxa"/>
              <w:left w:w="20" w:type="dxa"/>
              <w:bottom w:w="40" w:type="dxa"/>
              <w:right w:w="0" w:type="dxa"/>
            </w:tcMar>
            <w:vAlign w:val="bottom"/>
          </w:tcPr>
          <w:p w14:paraId="27E07A34" w14:textId="77777777" w:rsidR="00A85061" w:rsidRDefault="00F04891">
            <w:pPr>
              <w:jc w:val="right"/>
              <w:textAlignment w:val="bottom"/>
            </w:pPr>
            <w:r>
              <w:rPr>
                <w:rFonts w:ascii="sans-serif" w:eastAsia="sans-serif" w:hAnsi="sans-serif" w:cs="sans-serif"/>
                <w:color w:val="000000"/>
                <w:sz w:val="18"/>
                <w:szCs w:val="18"/>
              </w:rPr>
              <w:t>(19)</w:t>
            </w:r>
          </w:p>
        </w:tc>
        <w:tc>
          <w:tcPr>
            <w:tcW w:w="0" w:type="auto"/>
            <w:shd w:val="clear" w:color="auto" w:fill="E2EFD9"/>
            <w:tcMar>
              <w:top w:w="40" w:type="dxa"/>
              <w:left w:w="0" w:type="dxa"/>
              <w:bottom w:w="40" w:type="dxa"/>
              <w:right w:w="20" w:type="dxa"/>
            </w:tcMar>
            <w:vAlign w:val="bottom"/>
          </w:tcPr>
          <w:p w14:paraId="27E07A3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3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37" w14:textId="77777777" w:rsidR="00A85061" w:rsidRDefault="00F04891">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27E07A38" w14:textId="77777777" w:rsidR="00A85061" w:rsidRDefault="00A85061">
            <w:pPr>
              <w:jc w:val="right"/>
              <w:rPr>
                <w:rFonts w:ascii="宋体"/>
              </w:rPr>
            </w:pPr>
          </w:p>
        </w:tc>
      </w:tr>
      <w:tr w:rsidR="00A85061" w14:paraId="27E07A3E" w14:textId="77777777">
        <w:trPr>
          <w:jc w:val="center"/>
          <w:hidden/>
        </w:trPr>
        <w:tc>
          <w:tcPr>
            <w:tcW w:w="0" w:type="auto"/>
            <w:gridSpan w:val="3"/>
            <w:shd w:val="clear" w:color="auto" w:fill="auto"/>
            <w:vAlign w:val="bottom"/>
          </w:tcPr>
          <w:p w14:paraId="27E07A3A" w14:textId="77777777" w:rsidR="00A85061" w:rsidRDefault="00A85061">
            <w:pPr>
              <w:rPr>
                <w:rFonts w:ascii="宋体"/>
                <w:vanish/>
              </w:rPr>
            </w:pPr>
          </w:p>
        </w:tc>
        <w:tc>
          <w:tcPr>
            <w:tcW w:w="0" w:type="auto"/>
            <w:gridSpan w:val="3"/>
            <w:shd w:val="clear" w:color="auto" w:fill="auto"/>
            <w:vAlign w:val="bottom"/>
          </w:tcPr>
          <w:p w14:paraId="27E07A3B" w14:textId="77777777" w:rsidR="00A85061" w:rsidRDefault="00A85061">
            <w:pPr>
              <w:rPr>
                <w:rFonts w:ascii="宋体"/>
                <w:vanish/>
              </w:rPr>
            </w:pPr>
          </w:p>
        </w:tc>
        <w:tc>
          <w:tcPr>
            <w:tcW w:w="0" w:type="auto"/>
            <w:gridSpan w:val="3"/>
            <w:shd w:val="clear" w:color="auto" w:fill="auto"/>
            <w:vAlign w:val="bottom"/>
          </w:tcPr>
          <w:p w14:paraId="27E07A3C" w14:textId="77777777" w:rsidR="00A85061" w:rsidRDefault="00A85061">
            <w:pPr>
              <w:rPr>
                <w:rFonts w:ascii="宋体"/>
                <w:vanish/>
              </w:rPr>
            </w:pPr>
          </w:p>
        </w:tc>
        <w:tc>
          <w:tcPr>
            <w:tcW w:w="0" w:type="auto"/>
            <w:gridSpan w:val="3"/>
            <w:shd w:val="clear" w:color="auto" w:fill="auto"/>
            <w:vAlign w:val="bottom"/>
          </w:tcPr>
          <w:p w14:paraId="27E07A3D" w14:textId="77777777" w:rsidR="00A85061" w:rsidRDefault="00A85061">
            <w:pPr>
              <w:rPr>
                <w:rFonts w:ascii="宋体"/>
                <w:vanish/>
              </w:rPr>
            </w:pPr>
          </w:p>
        </w:tc>
      </w:tr>
      <w:tr w:rsidR="00A85061" w14:paraId="27E07A43" w14:textId="77777777">
        <w:trPr>
          <w:jc w:val="center"/>
          <w:hidden/>
        </w:trPr>
        <w:tc>
          <w:tcPr>
            <w:tcW w:w="0" w:type="auto"/>
            <w:gridSpan w:val="3"/>
            <w:shd w:val="clear" w:color="auto" w:fill="auto"/>
            <w:vAlign w:val="bottom"/>
          </w:tcPr>
          <w:p w14:paraId="27E07A3F" w14:textId="77777777" w:rsidR="00A85061" w:rsidRDefault="00A85061">
            <w:pPr>
              <w:rPr>
                <w:rFonts w:ascii="宋体"/>
                <w:vanish/>
              </w:rPr>
            </w:pPr>
          </w:p>
        </w:tc>
        <w:tc>
          <w:tcPr>
            <w:tcW w:w="0" w:type="auto"/>
            <w:gridSpan w:val="3"/>
            <w:shd w:val="clear" w:color="auto" w:fill="auto"/>
            <w:vAlign w:val="bottom"/>
          </w:tcPr>
          <w:p w14:paraId="27E07A40" w14:textId="77777777" w:rsidR="00A85061" w:rsidRDefault="00A85061">
            <w:pPr>
              <w:rPr>
                <w:rFonts w:ascii="宋体"/>
                <w:vanish/>
              </w:rPr>
            </w:pPr>
          </w:p>
        </w:tc>
        <w:tc>
          <w:tcPr>
            <w:tcW w:w="0" w:type="auto"/>
            <w:gridSpan w:val="3"/>
            <w:shd w:val="clear" w:color="auto" w:fill="auto"/>
            <w:vAlign w:val="bottom"/>
          </w:tcPr>
          <w:p w14:paraId="27E07A41" w14:textId="77777777" w:rsidR="00A85061" w:rsidRDefault="00A85061">
            <w:pPr>
              <w:rPr>
                <w:rFonts w:ascii="宋体"/>
                <w:vanish/>
              </w:rPr>
            </w:pPr>
          </w:p>
        </w:tc>
        <w:tc>
          <w:tcPr>
            <w:tcW w:w="0" w:type="auto"/>
            <w:gridSpan w:val="3"/>
            <w:shd w:val="clear" w:color="auto" w:fill="auto"/>
            <w:vAlign w:val="bottom"/>
          </w:tcPr>
          <w:p w14:paraId="27E07A42" w14:textId="77777777" w:rsidR="00A85061" w:rsidRDefault="00A85061">
            <w:pPr>
              <w:rPr>
                <w:rFonts w:ascii="宋体"/>
                <w:vanish/>
              </w:rPr>
            </w:pPr>
          </w:p>
        </w:tc>
      </w:tr>
      <w:tr w:rsidR="00A85061" w14:paraId="27E07A48" w14:textId="77777777">
        <w:trPr>
          <w:jc w:val="center"/>
          <w:hidden/>
        </w:trPr>
        <w:tc>
          <w:tcPr>
            <w:tcW w:w="0" w:type="auto"/>
            <w:gridSpan w:val="3"/>
            <w:shd w:val="clear" w:color="auto" w:fill="auto"/>
            <w:vAlign w:val="bottom"/>
          </w:tcPr>
          <w:p w14:paraId="27E07A44" w14:textId="77777777" w:rsidR="00A85061" w:rsidRDefault="00A85061">
            <w:pPr>
              <w:rPr>
                <w:rFonts w:ascii="宋体"/>
                <w:vanish/>
              </w:rPr>
            </w:pPr>
          </w:p>
        </w:tc>
        <w:tc>
          <w:tcPr>
            <w:tcW w:w="0" w:type="auto"/>
            <w:gridSpan w:val="3"/>
            <w:shd w:val="clear" w:color="auto" w:fill="auto"/>
            <w:vAlign w:val="bottom"/>
          </w:tcPr>
          <w:p w14:paraId="27E07A45" w14:textId="77777777" w:rsidR="00A85061" w:rsidRDefault="00A85061">
            <w:pPr>
              <w:rPr>
                <w:rFonts w:ascii="宋体"/>
                <w:vanish/>
              </w:rPr>
            </w:pPr>
          </w:p>
        </w:tc>
        <w:tc>
          <w:tcPr>
            <w:tcW w:w="0" w:type="auto"/>
            <w:gridSpan w:val="3"/>
            <w:shd w:val="clear" w:color="auto" w:fill="auto"/>
            <w:vAlign w:val="bottom"/>
          </w:tcPr>
          <w:p w14:paraId="27E07A46" w14:textId="77777777" w:rsidR="00A85061" w:rsidRDefault="00A85061">
            <w:pPr>
              <w:rPr>
                <w:rFonts w:ascii="宋体"/>
                <w:vanish/>
              </w:rPr>
            </w:pPr>
          </w:p>
        </w:tc>
        <w:tc>
          <w:tcPr>
            <w:tcW w:w="0" w:type="auto"/>
            <w:gridSpan w:val="3"/>
            <w:shd w:val="clear" w:color="auto" w:fill="auto"/>
            <w:vAlign w:val="bottom"/>
          </w:tcPr>
          <w:p w14:paraId="27E07A47" w14:textId="77777777" w:rsidR="00A85061" w:rsidRDefault="00A85061">
            <w:pPr>
              <w:rPr>
                <w:rFonts w:ascii="宋体"/>
                <w:vanish/>
              </w:rPr>
            </w:pPr>
          </w:p>
        </w:tc>
      </w:tr>
      <w:tr w:rsidR="00A85061" w14:paraId="27E07A4F" w14:textId="77777777">
        <w:trPr>
          <w:jc w:val="center"/>
        </w:trPr>
        <w:tc>
          <w:tcPr>
            <w:tcW w:w="0" w:type="auto"/>
            <w:gridSpan w:val="3"/>
            <w:shd w:val="clear" w:color="auto" w:fill="FFFFFF"/>
            <w:tcMar>
              <w:top w:w="40" w:type="dxa"/>
              <w:left w:w="155" w:type="dxa"/>
              <w:bottom w:w="40" w:type="dxa"/>
              <w:right w:w="20" w:type="dxa"/>
            </w:tcMar>
            <w:vAlign w:val="bottom"/>
          </w:tcPr>
          <w:p w14:paraId="27E07A49" w14:textId="77777777" w:rsidR="00A85061" w:rsidRDefault="00F04891">
            <w:pPr>
              <w:textAlignment w:val="bottom"/>
            </w:pPr>
            <w:r>
              <w:rPr>
                <w:rFonts w:ascii="sans-serif" w:eastAsia="sans-serif" w:hAnsi="sans-serif" w:cs="sans-serif"/>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27E07A4A" w14:textId="77777777" w:rsidR="00A85061" w:rsidRDefault="00F04891">
            <w:pPr>
              <w:jc w:val="right"/>
              <w:textAlignment w:val="bottom"/>
            </w:pPr>
            <w:r>
              <w:rPr>
                <w:rFonts w:ascii="sans-serif" w:eastAsia="sans-serif" w:hAnsi="sans-serif" w:cs="sans-serif"/>
                <w:color w:val="000000"/>
                <w:sz w:val="18"/>
                <w:szCs w:val="18"/>
              </w:rPr>
              <w:t>(2)</w:t>
            </w:r>
          </w:p>
        </w:tc>
        <w:tc>
          <w:tcPr>
            <w:tcW w:w="0" w:type="auto"/>
            <w:shd w:val="clear" w:color="auto" w:fill="FFFFFF"/>
            <w:tcMar>
              <w:top w:w="40" w:type="dxa"/>
              <w:left w:w="0" w:type="dxa"/>
              <w:bottom w:w="40" w:type="dxa"/>
              <w:right w:w="20" w:type="dxa"/>
            </w:tcMar>
            <w:vAlign w:val="bottom"/>
          </w:tcPr>
          <w:p w14:paraId="27E07A4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4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A4D" w14:textId="77777777" w:rsidR="00A85061" w:rsidRDefault="00F04891">
            <w:pPr>
              <w:jc w:val="right"/>
              <w:textAlignment w:val="bottom"/>
            </w:pPr>
            <w:r>
              <w:rPr>
                <w:rFonts w:ascii="sans-serif" w:eastAsia="sans-serif" w:hAnsi="sans-serif" w:cs="sans-serif"/>
                <w:color w:val="000000"/>
                <w:sz w:val="18"/>
                <w:szCs w:val="18"/>
              </w:rPr>
              <w:t>(3)</w:t>
            </w:r>
          </w:p>
        </w:tc>
        <w:tc>
          <w:tcPr>
            <w:tcW w:w="0" w:type="auto"/>
            <w:shd w:val="clear" w:color="auto" w:fill="FFFFFF"/>
            <w:tcMar>
              <w:top w:w="40" w:type="dxa"/>
              <w:left w:w="0" w:type="dxa"/>
              <w:bottom w:w="40" w:type="dxa"/>
              <w:right w:w="20" w:type="dxa"/>
            </w:tcMar>
            <w:vAlign w:val="bottom"/>
          </w:tcPr>
          <w:p w14:paraId="27E07A4E" w14:textId="77777777" w:rsidR="00A85061" w:rsidRDefault="00A85061">
            <w:pPr>
              <w:jc w:val="right"/>
              <w:rPr>
                <w:rFonts w:ascii="宋体"/>
              </w:rPr>
            </w:pPr>
          </w:p>
        </w:tc>
      </w:tr>
      <w:tr w:rsidR="00A85061" w14:paraId="27E07A56" w14:textId="77777777">
        <w:trPr>
          <w:jc w:val="center"/>
        </w:trPr>
        <w:tc>
          <w:tcPr>
            <w:tcW w:w="0" w:type="auto"/>
            <w:gridSpan w:val="3"/>
            <w:shd w:val="clear" w:color="auto" w:fill="E2EFD9"/>
            <w:tcMar>
              <w:top w:w="40" w:type="dxa"/>
              <w:left w:w="155" w:type="dxa"/>
              <w:bottom w:w="40" w:type="dxa"/>
              <w:right w:w="20" w:type="dxa"/>
            </w:tcMar>
            <w:vAlign w:val="bottom"/>
          </w:tcPr>
          <w:p w14:paraId="27E07A50" w14:textId="77777777" w:rsidR="00A85061" w:rsidRDefault="00F04891">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27E07A51" w14:textId="77777777" w:rsidR="00A85061" w:rsidRDefault="00F04891">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27E07A5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5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54" w14:textId="77777777" w:rsidR="00A85061" w:rsidRDefault="00F04891">
            <w:pPr>
              <w:jc w:val="right"/>
              <w:textAlignment w:val="bottom"/>
            </w:pPr>
            <w:r>
              <w:rPr>
                <w:rFonts w:ascii="sans-serif" w:eastAsia="sans-serif" w:hAnsi="sans-serif" w:cs="sans-serif"/>
                <w:color w:val="000000"/>
                <w:sz w:val="18"/>
                <w:szCs w:val="18"/>
              </w:rPr>
              <w:t>4,979 </w:t>
            </w:r>
          </w:p>
        </w:tc>
        <w:tc>
          <w:tcPr>
            <w:tcW w:w="0" w:type="auto"/>
            <w:shd w:val="clear" w:color="auto" w:fill="E2EFD9"/>
            <w:tcMar>
              <w:top w:w="40" w:type="dxa"/>
              <w:left w:w="0" w:type="dxa"/>
              <w:bottom w:w="40" w:type="dxa"/>
              <w:right w:w="20" w:type="dxa"/>
            </w:tcMar>
            <w:vAlign w:val="bottom"/>
          </w:tcPr>
          <w:p w14:paraId="27E07A55" w14:textId="77777777" w:rsidR="00A85061" w:rsidRDefault="00A85061">
            <w:pPr>
              <w:jc w:val="right"/>
              <w:rPr>
                <w:rFonts w:ascii="宋体"/>
              </w:rPr>
            </w:pPr>
          </w:p>
        </w:tc>
      </w:tr>
      <w:tr w:rsidR="00A85061" w14:paraId="27E07A5D" w14:textId="77777777">
        <w:trPr>
          <w:jc w:val="center"/>
        </w:trPr>
        <w:tc>
          <w:tcPr>
            <w:tcW w:w="0" w:type="auto"/>
            <w:gridSpan w:val="3"/>
            <w:shd w:val="clear" w:color="auto" w:fill="FFFFFF"/>
            <w:tcMar>
              <w:top w:w="40" w:type="dxa"/>
              <w:left w:w="20" w:type="dxa"/>
              <w:bottom w:w="40" w:type="dxa"/>
              <w:right w:w="20" w:type="dxa"/>
            </w:tcMar>
            <w:vAlign w:val="bottom"/>
          </w:tcPr>
          <w:p w14:paraId="27E07A57" w14:textId="77777777" w:rsidR="00A85061" w:rsidRDefault="00F04891">
            <w:pPr>
              <w:textAlignment w:val="bottom"/>
            </w:pPr>
            <w:r>
              <w:rPr>
                <w:rFonts w:ascii="sans-serif" w:eastAsia="sans-serif" w:hAnsi="sans-serif" w:cs="sans-serif"/>
                <w:color w:val="000000"/>
                <w:sz w:val="18"/>
                <w:szCs w:val="18"/>
              </w:rPr>
              <w:t xml:space="preserve">Net cash </w:t>
            </w:r>
            <w:r>
              <w:rPr>
                <w:rFonts w:ascii="sans-serif" w:eastAsia="sans-serif" w:hAnsi="sans-serif" w:cs="sans-serif"/>
                <w:color w:val="000000"/>
                <w:sz w:val="18"/>
                <w:szCs w:val="18"/>
              </w:rPr>
              <w:t>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A58" w14:textId="77777777" w:rsidR="00A85061" w:rsidRDefault="00F04891">
            <w:pPr>
              <w:jc w:val="right"/>
              <w:textAlignment w:val="bottom"/>
            </w:pPr>
            <w:r>
              <w:rPr>
                <w:rFonts w:ascii="sans-serif" w:eastAsia="sans-serif" w:hAnsi="sans-serif" w:cs="sans-serif"/>
                <w:color w:val="000000"/>
                <w:sz w:val="18"/>
                <w:szCs w:val="18"/>
              </w:rPr>
              <w:t>(471)</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A5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5A"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A5B" w14:textId="77777777" w:rsidR="00A85061" w:rsidRDefault="00F04891">
            <w:pPr>
              <w:jc w:val="right"/>
              <w:textAlignment w:val="bottom"/>
            </w:pPr>
            <w:r>
              <w:rPr>
                <w:rFonts w:ascii="sans-serif" w:eastAsia="sans-serif" w:hAnsi="sans-serif" w:cs="sans-serif"/>
                <w:color w:val="000000"/>
                <w:sz w:val="18"/>
                <w:szCs w:val="18"/>
              </w:rPr>
              <w:t>4,744 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A5C" w14:textId="77777777" w:rsidR="00A85061" w:rsidRDefault="00A85061">
            <w:pPr>
              <w:jc w:val="right"/>
              <w:rPr>
                <w:rFonts w:ascii="宋体"/>
              </w:rPr>
            </w:pPr>
          </w:p>
        </w:tc>
      </w:tr>
      <w:tr w:rsidR="00A85061" w14:paraId="27E07A64" w14:textId="77777777">
        <w:trPr>
          <w:jc w:val="center"/>
        </w:trPr>
        <w:tc>
          <w:tcPr>
            <w:tcW w:w="0" w:type="auto"/>
            <w:gridSpan w:val="3"/>
            <w:shd w:val="clear" w:color="auto" w:fill="E2EFD9"/>
            <w:tcMar>
              <w:top w:w="40" w:type="dxa"/>
              <w:left w:w="20" w:type="dxa"/>
              <w:bottom w:w="40" w:type="dxa"/>
              <w:right w:w="20" w:type="dxa"/>
            </w:tcMar>
            <w:vAlign w:val="bottom"/>
          </w:tcPr>
          <w:p w14:paraId="27E07A5E" w14:textId="77777777" w:rsidR="00A85061" w:rsidRDefault="00F04891">
            <w:pPr>
              <w:textAlignment w:val="bottom"/>
            </w:pPr>
            <w:r>
              <w:rPr>
                <w:rFonts w:ascii="sans-serif" w:eastAsia="sans-serif" w:hAnsi="sans-serif" w:cs="sans-serif"/>
                <w:color w:val="000000"/>
                <w:sz w:val="18"/>
                <w:szCs w:val="18"/>
              </w:rPr>
              <w:t>Change in cash and cash equivalents</w:t>
            </w:r>
          </w:p>
        </w:tc>
        <w:tc>
          <w:tcPr>
            <w:tcW w:w="0" w:type="auto"/>
            <w:gridSpan w:val="2"/>
            <w:shd w:val="clear" w:color="auto" w:fill="E2EFD9"/>
            <w:tcMar>
              <w:top w:w="40" w:type="dxa"/>
              <w:left w:w="20" w:type="dxa"/>
              <w:bottom w:w="40" w:type="dxa"/>
              <w:right w:w="0" w:type="dxa"/>
            </w:tcMar>
            <w:vAlign w:val="bottom"/>
          </w:tcPr>
          <w:p w14:paraId="27E07A5F" w14:textId="77777777" w:rsidR="00A85061" w:rsidRDefault="00F04891">
            <w:pPr>
              <w:jc w:val="right"/>
              <w:textAlignment w:val="bottom"/>
            </w:pPr>
            <w:r>
              <w:rPr>
                <w:rFonts w:ascii="sans-serif" w:eastAsia="sans-serif" w:hAnsi="sans-serif" w:cs="sans-serif"/>
                <w:color w:val="000000"/>
                <w:sz w:val="18"/>
                <w:szCs w:val="18"/>
              </w:rPr>
              <w:t>131 </w:t>
            </w:r>
          </w:p>
        </w:tc>
        <w:tc>
          <w:tcPr>
            <w:tcW w:w="0" w:type="auto"/>
            <w:shd w:val="clear" w:color="auto" w:fill="E2EFD9"/>
            <w:tcMar>
              <w:top w:w="40" w:type="dxa"/>
              <w:left w:w="0" w:type="dxa"/>
              <w:bottom w:w="40" w:type="dxa"/>
              <w:right w:w="20" w:type="dxa"/>
            </w:tcMar>
            <w:vAlign w:val="bottom"/>
          </w:tcPr>
          <w:p w14:paraId="27E07A6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6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A62" w14:textId="77777777" w:rsidR="00A85061" w:rsidRDefault="00F04891">
            <w:pPr>
              <w:jc w:val="right"/>
              <w:textAlignment w:val="bottom"/>
            </w:pPr>
            <w:r>
              <w:rPr>
                <w:rFonts w:ascii="sans-serif" w:eastAsia="sans-serif" w:hAnsi="sans-serif" w:cs="sans-serif"/>
                <w:color w:val="000000"/>
                <w:sz w:val="18"/>
                <w:szCs w:val="18"/>
              </w:rPr>
              <w:t>4,598 </w:t>
            </w:r>
          </w:p>
        </w:tc>
        <w:tc>
          <w:tcPr>
            <w:tcW w:w="0" w:type="auto"/>
            <w:shd w:val="clear" w:color="auto" w:fill="E2EFD9"/>
            <w:tcMar>
              <w:top w:w="40" w:type="dxa"/>
              <w:left w:w="0" w:type="dxa"/>
              <w:bottom w:w="40" w:type="dxa"/>
              <w:right w:w="20" w:type="dxa"/>
            </w:tcMar>
            <w:vAlign w:val="bottom"/>
          </w:tcPr>
          <w:p w14:paraId="27E07A63" w14:textId="77777777" w:rsidR="00A85061" w:rsidRDefault="00A85061">
            <w:pPr>
              <w:jc w:val="right"/>
              <w:rPr>
                <w:rFonts w:ascii="宋体"/>
              </w:rPr>
            </w:pPr>
          </w:p>
        </w:tc>
      </w:tr>
      <w:tr w:rsidR="00A85061" w14:paraId="27E07A6B" w14:textId="77777777">
        <w:trPr>
          <w:jc w:val="center"/>
        </w:trPr>
        <w:tc>
          <w:tcPr>
            <w:tcW w:w="0" w:type="auto"/>
            <w:gridSpan w:val="3"/>
            <w:shd w:val="clear" w:color="auto" w:fill="FFFFFF"/>
            <w:tcMar>
              <w:top w:w="40" w:type="dxa"/>
              <w:left w:w="20" w:type="dxa"/>
              <w:bottom w:w="40" w:type="dxa"/>
              <w:right w:w="20" w:type="dxa"/>
            </w:tcMar>
            <w:vAlign w:val="bottom"/>
          </w:tcPr>
          <w:p w14:paraId="27E07A65" w14:textId="77777777" w:rsidR="00A85061" w:rsidRDefault="00F04891">
            <w:pPr>
              <w:textAlignment w:val="bottom"/>
            </w:pPr>
            <w:r>
              <w:rPr>
                <w:rFonts w:ascii="sans-serif" w:eastAsia="sans-serif" w:hAnsi="sans-serif" w:cs="sans-serif"/>
                <w:color w:val="000000"/>
                <w:sz w:val="18"/>
                <w:szCs w:val="18"/>
              </w:rPr>
              <w:t>Cash and cash equivalents at beginning of period</w:t>
            </w:r>
          </w:p>
        </w:tc>
        <w:tc>
          <w:tcPr>
            <w:tcW w:w="0" w:type="auto"/>
            <w:gridSpan w:val="2"/>
            <w:shd w:val="clear" w:color="auto" w:fill="FFFFFF"/>
            <w:tcMar>
              <w:top w:w="40" w:type="dxa"/>
              <w:left w:w="20" w:type="dxa"/>
              <w:bottom w:w="40" w:type="dxa"/>
              <w:right w:w="0" w:type="dxa"/>
            </w:tcMar>
            <w:vAlign w:val="bottom"/>
          </w:tcPr>
          <w:p w14:paraId="27E07A66" w14:textId="77777777" w:rsidR="00A85061" w:rsidRDefault="00F04891">
            <w:pPr>
              <w:jc w:val="right"/>
              <w:textAlignment w:val="bottom"/>
            </w:pPr>
            <w:r>
              <w:rPr>
                <w:rFonts w:ascii="sans-serif" w:eastAsia="sans-serif" w:hAnsi="sans-serif" w:cs="sans-serif"/>
                <w:color w:val="000000"/>
                <w:sz w:val="18"/>
                <w:szCs w:val="18"/>
              </w:rPr>
              <w:t>847 </w:t>
            </w:r>
          </w:p>
        </w:tc>
        <w:tc>
          <w:tcPr>
            <w:tcW w:w="0" w:type="auto"/>
            <w:shd w:val="clear" w:color="auto" w:fill="FFFFFF"/>
            <w:tcMar>
              <w:top w:w="40" w:type="dxa"/>
              <w:left w:w="0" w:type="dxa"/>
              <w:bottom w:w="40" w:type="dxa"/>
              <w:right w:w="20" w:type="dxa"/>
            </w:tcMar>
            <w:vAlign w:val="bottom"/>
          </w:tcPr>
          <w:p w14:paraId="27E07A6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A6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A69" w14:textId="77777777" w:rsidR="00A85061" w:rsidRDefault="00F04891">
            <w:pPr>
              <w:jc w:val="right"/>
              <w:textAlignment w:val="bottom"/>
            </w:pPr>
            <w:r>
              <w:rPr>
                <w:rFonts w:ascii="sans-serif" w:eastAsia="sans-serif" w:hAnsi="sans-serif" w:cs="sans-serif"/>
                <w:color w:val="000000"/>
                <w:sz w:val="18"/>
                <w:szCs w:val="18"/>
              </w:rPr>
              <w:t>10,896 </w:t>
            </w:r>
          </w:p>
        </w:tc>
        <w:tc>
          <w:tcPr>
            <w:tcW w:w="0" w:type="auto"/>
            <w:shd w:val="clear" w:color="auto" w:fill="FFFFFF"/>
            <w:tcMar>
              <w:top w:w="40" w:type="dxa"/>
              <w:left w:w="0" w:type="dxa"/>
              <w:bottom w:w="40" w:type="dxa"/>
              <w:right w:w="20" w:type="dxa"/>
            </w:tcMar>
            <w:vAlign w:val="bottom"/>
          </w:tcPr>
          <w:p w14:paraId="27E07A6A" w14:textId="77777777" w:rsidR="00A85061" w:rsidRDefault="00A85061">
            <w:pPr>
              <w:jc w:val="right"/>
              <w:rPr>
                <w:rFonts w:ascii="宋体"/>
              </w:rPr>
            </w:pPr>
          </w:p>
        </w:tc>
      </w:tr>
      <w:tr w:rsidR="00A85061" w14:paraId="27E07A74" w14:textId="77777777">
        <w:trPr>
          <w:jc w:val="center"/>
        </w:trPr>
        <w:tc>
          <w:tcPr>
            <w:tcW w:w="0" w:type="auto"/>
            <w:gridSpan w:val="3"/>
            <w:shd w:val="clear" w:color="auto" w:fill="E2EFD9"/>
            <w:tcMar>
              <w:top w:w="40" w:type="dxa"/>
              <w:left w:w="20" w:type="dxa"/>
              <w:bottom w:w="40" w:type="dxa"/>
              <w:right w:w="20" w:type="dxa"/>
            </w:tcMar>
            <w:vAlign w:val="bottom"/>
          </w:tcPr>
          <w:p w14:paraId="27E07A6C" w14:textId="77777777" w:rsidR="00A85061" w:rsidRDefault="00F04891">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A6D" w14:textId="77777777" w:rsidR="00A85061" w:rsidRDefault="00F04891">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A6E" w14:textId="77777777" w:rsidR="00A85061" w:rsidRDefault="00F04891">
            <w:pPr>
              <w:jc w:val="right"/>
              <w:textAlignment w:val="bottom"/>
            </w:pPr>
            <w:r>
              <w:rPr>
                <w:rFonts w:ascii="sans-serif" w:eastAsia="sans-serif" w:hAnsi="sans-serif" w:cs="sans-serif"/>
                <w:color w:val="000000"/>
                <w:sz w:val="18"/>
                <w:szCs w:val="18"/>
              </w:rPr>
              <w:t>978 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A6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A70"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A71" w14:textId="77777777" w:rsidR="00A85061" w:rsidRDefault="00F04891">
            <w:pPr>
              <w:textAlignment w:val="bottom"/>
            </w:pPr>
            <w:r>
              <w:rPr>
                <w:rFonts w:ascii="sans-serif" w:eastAsia="sans-serif" w:hAnsi="sans-serif" w:cs="sans-serif"/>
                <w:color w:val="000000"/>
                <w:sz w:val="18"/>
                <w:szCs w:val="18"/>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A72" w14:textId="77777777" w:rsidR="00A85061" w:rsidRDefault="00F04891">
            <w:pPr>
              <w:jc w:val="right"/>
              <w:textAlignment w:val="bottom"/>
            </w:pPr>
            <w:r>
              <w:rPr>
                <w:rFonts w:ascii="sans-serif" w:eastAsia="sans-serif" w:hAnsi="sans-serif" w:cs="sans-serif"/>
                <w:color w:val="000000"/>
                <w:sz w:val="18"/>
                <w:szCs w:val="18"/>
              </w:rPr>
              <w:t>15,494 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A73" w14:textId="77777777" w:rsidR="00A85061" w:rsidRDefault="00A85061">
            <w:pPr>
              <w:jc w:val="right"/>
              <w:rPr>
                <w:rFonts w:ascii="宋体"/>
              </w:rPr>
            </w:pPr>
          </w:p>
        </w:tc>
      </w:tr>
      <w:tr w:rsidR="00A85061" w14:paraId="27E07A79" w14:textId="77777777">
        <w:trPr>
          <w:jc w:val="center"/>
          <w:hidden/>
        </w:trPr>
        <w:tc>
          <w:tcPr>
            <w:tcW w:w="0" w:type="auto"/>
            <w:gridSpan w:val="3"/>
            <w:shd w:val="clear" w:color="auto" w:fill="auto"/>
            <w:vAlign w:val="bottom"/>
          </w:tcPr>
          <w:p w14:paraId="27E07A75" w14:textId="77777777" w:rsidR="00A85061" w:rsidRDefault="00A85061">
            <w:pPr>
              <w:rPr>
                <w:rFonts w:ascii="宋体"/>
                <w:vanish/>
              </w:rPr>
            </w:pPr>
          </w:p>
        </w:tc>
        <w:tc>
          <w:tcPr>
            <w:tcW w:w="0" w:type="auto"/>
            <w:gridSpan w:val="3"/>
            <w:shd w:val="clear" w:color="auto" w:fill="auto"/>
            <w:vAlign w:val="bottom"/>
          </w:tcPr>
          <w:p w14:paraId="27E07A76" w14:textId="77777777" w:rsidR="00A85061" w:rsidRDefault="00A85061">
            <w:pPr>
              <w:rPr>
                <w:rFonts w:ascii="宋体"/>
                <w:vanish/>
              </w:rPr>
            </w:pPr>
          </w:p>
        </w:tc>
        <w:tc>
          <w:tcPr>
            <w:tcW w:w="0" w:type="auto"/>
            <w:gridSpan w:val="3"/>
            <w:shd w:val="clear" w:color="auto" w:fill="auto"/>
            <w:vAlign w:val="bottom"/>
          </w:tcPr>
          <w:p w14:paraId="27E07A77" w14:textId="77777777" w:rsidR="00A85061" w:rsidRDefault="00A85061">
            <w:pPr>
              <w:rPr>
                <w:rFonts w:ascii="宋体"/>
                <w:vanish/>
              </w:rPr>
            </w:pPr>
          </w:p>
        </w:tc>
        <w:tc>
          <w:tcPr>
            <w:tcW w:w="0" w:type="auto"/>
            <w:gridSpan w:val="3"/>
            <w:shd w:val="clear" w:color="auto" w:fill="auto"/>
            <w:vAlign w:val="bottom"/>
          </w:tcPr>
          <w:p w14:paraId="27E07A78" w14:textId="77777777" w:rsidR="00A85061" w:rsidRDefault="00A85061">
            <w:pPr>
              <w:rPr>
                <w:rFonts w:ascii="宋体"/>
                <w:vanish/>
              </w:rPr>
            </w:pPr>
          </w:p>
        </w:tc>
      </w:tr>
      <w:tr w:rsidR="00A85061" w14:paraId="27E07A7E" w14:textId="77777777">
        <w:trPr>
          <w:jc w:val="center"/>
          <w:hidden/>
        </w:trPr>
        <w:tc>
          <w:tcPr>
            <w:tcW w:w="0" w:type="auto"/>
            <w:gridSpan w:val="3"/>
            <w:shd w:val="clear" w:color="auto" w:fill="auto"/>
            <w:vAlign w:val="bottom"/>
          </w:tcPr>
          <w:p w14:paraId="27E07A7A" w14:textId="77777777" w:rsidR="00A85061" w:rsidRDefault="00A85061">
            <w:pPr>
              <w:rPr>
                <w:rFonts w:ascii="宋体"/>
                <w:vanish/>
              </w:rPr>
            </w:pPr>
          </w:p>
        </w:tc>
        <w:tc>
          <w:tcPr>
            <w:tcW w:w="0" w:type="auto"/>
            <w:gridSpan w:val="3"/>
            <w:shd w:val="clear" w:color="auto" w:fill="auto"/>
            <w:vAlign w:val="bottom"/>
          </w:tcPr>
          <w:p w14:paraId="27E07A7B" w14:textId="77777777" w:rsidR="00A85061" w:rsidRDefault="00A85061">
            <w:pPr>
              <w:rPr>
                <w:rFonts w:ascii="宋体"/>
                <w:vanish/>
              </w:rPr>
            </w:pPr>
          </w:p>
        </w:tc>
        <w:tc>
          <w:tcPr>
            <w:tcW w:w="0" w:type="auto"/>
            <w:gridSpan w:val="3"/>
            <w:shd w:val="clear" w:color="auto" w:fill="auto"/>
            <w:vAlign w:val="bottom"/>
          </w:tcPr>
          <w:p w14:paraId="27E07A7C" w14:textId="77777777" w:rsidR="00A85061" w:rsidRDefault="00A85061">
            <w:pPr>
              <w:rPr>
                <w:rFonts w:ascii="宋体"/>
                <w:vanish/>
              </w:rPr>
            </w:pPr>
          </w:p>
        </w:tc>
        <w:tc>
          <w:tcPr>
            <w:tcW w:w="0" w:type="auto"/>
            <w:gridSpan w:val="3"/>
            <w:shd w:val="clear" w:color="auto" w:fill="auto"/>
            <w:vAlign w:val="bottom"/>
          </w:tcPr>
          <w:p w14:paraId="27E07A7D" w14:textId="77777777" w:rsidR="00A85061" w:rsidRDefault="00A85061">
            <w:pPr>
              <w:rPr>
                <w:rFonts w:ascii="宋体"/>
                <w:vanish/>
              </w:rPr>
            </w:pPr>
          </w:p>
        </w:tc>
      </w:tr>
      <w:tr w:rsidR="00A85061" w14:paraId="27E07A83" w14:textId="77777777">
        <w:trPr>
          <w:jc w:val="center"/>
          <w:hidden/>
        </w:trPr>
        <w:tc>
          <w:tcPr>
            <w:tcW w:w="0" w:type="auto"/>
            <w:gridSpan w:val="3"/>
            <w:shd w:val="clear" w:color="auto" w:fill="auto"/>
            <w:vAlign w:val="bottom"/>
          </w:tcPr>
          <w:p w14:paraId="27E07A7F" w14:textId="77777777" w:rsidR="00A85061" w:rsidRDefault="00A85061">
            <w:pPr>
              <w:rPr>
                <w:rFonts w:ascii="宋体"/>
                <w:vanish/>
              </w:rPr>
            </w:pPr>
          </w:p>
        </w:tc>
        <w:tc>
          <w:tcPr>
            <w:tcW w:w="0" w:type="auto"/>
            <w:gridSpan w:val="3"/>
            <w:shd w:val="clear" w:color="auto" w:fill="auto"/>
            <w:vAlign w:val="bottom"/>
          </w:tcPr>
          <w:p w14:paraId="27E07A80" w14:textId="77777777" w:rsidR="00A85061" w:rsidRDefault="00A85061">
            <w:pPr>
              <w:rPr>
                <w:rFonts w:ascii="宋体"/>
                <w:vanish/>
              </w:rPr>
            </w:pPr>
          </w:p>
        </w:tc>
        <w:tc>
          <w:tcPr>
            <w:tcW w:w="0" w:type="auto"/>
            <w:gridSpan w:val="3"/>
            <w:shd w:val="clear" w:color="auto" w:fill="auto"/>
            <w:vAlign w:val="bottom"/>
          </w:tcPr>
          <w:p w14:paraId="27E07A81" w14:textId="77777777" w:rsidR="00A85061" w:rsidRDefault="00A85061">
            <w:pPr>
              <w:rPr>
                <w:rFonts w:ascii="宋体"/>
                <w:vanish/>
              </w:rPr>
            </w:pPr>
          </w:p>
        </w:tc>
        <w:tc>
          <w:tcPr>
            <w:tcW w:w="0" w:type="auto"/>
            <w:gridSpan w:val="3"/>
            <w:shd w:val="clear" w:color="auto" w:fill="auto"/>
            <w:vAlign w:val="bottom"/>
          </w:tcPr>
          <w:p w14:paraId="27E07A82" w14:textId="77777777" w:rsidR="00A85061" w:rsidRDefault="00A85061">
            <w:pPr>
              <w:rPr>
                <w:rFonts w:ascii="宋体"/>
                <w:vanish/>
              </w:rPr>
            </w:pPr>
          </w:p>
        </w:tc>
      </w:tr>
      <w:tr w:rsidR="00A85061" w14:paraId="27E07A88" w14:textId="77777777">
        <w:trPr>
          <w:jc w:val="center"/>
          <w:hidden/>
        </w:trPr>
        <w:tc>
          <w:tcPr>
            <w:tcW w:w="0" w:type="auto"/>
            <w:gridSpan w:val="3"/>
            <w:shd w:val="clear" w:color="auto" w:fill="auto"/>
            <w:vAlign w:val="bottom"/>
          </w:tcPr>
          <w:p w14:paraId="27E07A84" w14:textId="77777777" w:rsidR="00A85061" w:rsidRDefault="00A85061">
            <w:pPr>
              <w:rPr>
                <w:rFonts w:ascii="宋体"/>
                <w:vanish/>
              </w:rPr>
            </w:pPr>
          </w:p>
        </w:tc>
        <w:tc>
          <w:tcPr>
            <w:tcW w:w="0" w:type="auto"/>
            <w:gridSpan w:val="3"/>
            <w:shd w:val="clear" w:color="auto" w:fill="auto"/>
            <w:vAlign w:val="bottom"/>
          </w:tcPr>
          <w:p w14:paraId="27E07A85" w14:textId="77777777" w:rsidR="00A85061" w:rsidRDefault="00A85061">
            <w:pPr>
              <w:rPr>
                <w:rFonts w:ascii="宋体"/>
                <w:vanish/>
              </w:rPr>
            </w:pPr>
          </w:p>
        </w:tc>
        <w:tc>
          <w:tcPr>
            <w:tcW w:w="0" w:type="auto"/>
            <w:gridSpan w:val="3"/>
            <w:shd w:val="clear" w:color="auto" w:fill="auto"/>
            <w:vAlign w:val="bottom"/>
          </w:tcPr>
          <w:p w14:paraId="27E07A86" w14:textId="77777777" w:rsidR="00A85061" w:rsidRDefault="00A85061">
            <w:pPr>
              <w:rPr>
                <w:rFonts w:ascii="宋体"/>
                <w:vanish/>
              </w:rPr>
            </w:pPr>
          </w:p>
        </w:tc>
        <w:tc>
          <w:tcPr>
            <w:tcW w:w="0" w:type="auto"/>
            <w:gridSpan w:val="3"/>
            <w:shd w:val="clear" w:color="auto" w:fill="auto"/>
            <w:vAlign w:val="bottom"/>
          </w:tcPr>
          <w:p w14:paraId="27E07A87" w14:textId="77777777" w:rsidR="00A85061" w:rsidRDefault="00A85061">
            <w:pPr>
              <w:rPr>
                <w:rFonts w:ascii="宋体"/>
                <w:vanish/>
              </w:rPr>
            </w:pPr>
          </w:p>
        </w:tc>
      </w:tr>
    </w:tbl>
    <w:p w14:paraId="27E07A89" w14:textId="77777777" w:rsidR="00A85061" w:rsidRDefault="00F04891">
      <w:pPr>
        <w:spacing w:after="180"/>
        <w:jc w:val="center"/>
      </w:pPr>
      <w:r>
        <w:rPr>
          <w:rFonts w:ascii="sans-serif" w:eastAsia="sans-serif" w:hAnsi="sans-serif" w:cs="sans-serif"/>
          <w:color w:val="000000"/>
          <w:sz w:val="20"/>
          <w:szCs w:val="20"/>
        </w:rPr>
        <w:t>See accompanying Notes to Condensed Consolidated Financial Statements.</w:t>
      </w:r>
    </w:p>
    <w:p w14:paraId="27E07A8A" w14:textId="77777777" w:rsidR="00A85061" w:rsidRDefault="00F04891">
      <w:pPr>
        <w:spacing w:after="180"/>
        <w:jc w:val="center"/>
      </w:pPr>
      <w:r>
        <w:rPr>
          <w:rFonts w:ascii="sans-serif" w:eastAsia="sans-serif" w:hAnsi="sans-serif" w:cs="sans-serif"/>
          <w:color w:val="000000"/>
          <w:sz w:val="20"/>
          <w:szCs w:val="20"/>
        </w:rPr>
        <w:t>7</w:t>
      </w:r>
    </w:p>
    <w:p w14:paraId="27E07A8B" w14:textId="77777777" w:rsidR="00A85061" w:rsidRDefault="00F04891">
      <w:r>
        <w:pict w14:anchorId="27E08EF8">
          <v:rect id="_x0000_i1031" style="width:415.3pt;height:1.5pt" o:hralign="center" o:hrstd="t" o:hr="t" fillcolor="#a0a0a0" stroked="f"/>
        </w:pict>
      </w:r>
    </w:p>
    <w:p w14:paraId="27E07A8C" w14:textId="77777777" w:rsidR="00A85061" w:rsidRDefault="00F04891">
      <w:pPr>
        <w:jc w:val="center"/>
      </w:pPr>
      <w:r>
        <w:rPr>
          <w:rFonts w:ascii="sans-serif" w:eastAsia="sans-serif" w:hAnsi="sans-serif" w:cs="sans-serif"/>
          <w:b/>
          <w:bCs/>
          <w:color w:val="000000"/>
          <w:sz w:val="20"/>
          <w:szCs w:val="20"/>
        </w:rPr>
        <w:t>NVIDIA CORPORATION AND SUBSIDIARIES</w:t>
      </w:r>
    </w:p>
    <w:p w14:paraId="27E07A8D" w14:textId="77777777" w:rsidR="00A85061" w:rsidRDefault="00F04891">
      <w:pPr>
        <w:jc w:val="center"/>
      </w:pPr>
      <w:r>
        <w:rPr>
          <w:rFonts w:ascii="sans-serif" w:eastAsia="sans-serif" w:hAnsi="sans-serif" w:cs="sans-serif"/>
          <w:b/>
          <w:bCs/>
          <w:color w:val="000000"/>
          <w:sz w:val="20"/>
          <w:szCs w:val="20"/>
        </w:rPr>
        <w:t>NOTES TO CONDENSED CONSOLIDATED FINANCIAL STATEMENTS</w:t>
      </w:r>
    </w:p>
    <w:p w14:paraId="27E07A8E" w14:textId="77777777" w:rsidR="00A85061" w:rsidRDefault="00F04891">
      <w:pPr>
        <w:jc w:val="center"/>
      </w:pPr>
      <w:r>
        <w:rPr>
          <w:rFonts w:ascii="sans-serif" w:eastAsia="sans-serif" w:hAnsi="sans-serif" w:cs="sans-serif"/>
          <w:b/>
          <w:bCs/>
          <w:color w:val="000000"/>
          <w:sz w:val="20"/>
          <w:szCs w:val="20"/>
        </w:rPr>
        <w:t>(Unaudited)</w:t>
      </w:r>
    </w:p>
    <w:p w14:paraId="27E07A8F" w14:textId="77777777" w:rsidR="00A85061" w:rsidRDefault="00A85061">
      <w:pPr>
        <w:spacing w:after="180"/>
        <w:jc w:val="both"/>
      </w:pPr>
    </w:p>
    <w:p w14:paraId="27E07A90" w14:textId="77777777" w:rsidR="00A85061" w:rsidRDefault="00A85061">
      <w:pPr>
        <w:spacing w:after="180"/>
        <w:jc w:val="center"/>
      </w:pPr>
    </w:p>
    <w:p w14:paraId="27E07A91" w14:textId="77777777" w:rsidR="00A85061" w:rsidRDefault="00F04891">
      <w:pPr>
        <w:spacing w:before="240" w:after="120"/>
        <w:jc w:val="both"/>
      </w:pPr>
      <w:r>
        <w:rPr>
          <w:rFonts w:ascii="sans-serif" w:eastAsia="sans-serif" w:hAnsi="sans-serif" w:cs="sans-serif"/>
          <w:b/>
          <w:bCs/>
          <w:color w:val="76B900"/>
          <w:sz w:val="22"/>
          <w:szCs w:val="22"/>
        </w:rPr>
        <w:t>Note 1 - Summary of Significant Accounting Policies</w:t>
      </w:r>
    </w:p>
    <w:p w14:paraId="27E07A92" w14:textId="77777777" w:rsidR="00A85061" w:rsidRDefault="00F04891">
      <w:pPr>
        <w:spacing w:before="240" w:after="60"/>
        <w:jc w:val="both"/>
      </w:pPr>
      <w:r>
        <w:rPr>
          <w:rFonts w:ascii="sans-serif" w:eastAsia="sans-serif" w:hAnsi="sans-serif" w:cs="sans-serif"/>
          <w:b/>
          <w:bCs/>
          <w:color w:val="76B900"/>
          <w:sz w:val="20"/>
          <w:szCs w:val="20"/>
        </w:rPr>
        <w:t xml:space="preserve">Basis of </w:t>
      </w:r>
      <w:r>
        <w:rPr>
          <w:rFonts w:ascii="sans-serif" w:eastAsia="sans-serif" w:hAnsi="sans-serif" w:cs="sans-serif"/>
          <w:b/>
          <w:bCs/>
          <w:color w:val="76B900"/>
          <w:sz w:val="20"/>
          <w:szCs w:val="20"/>
        </w:rPr>
        <w:t>Presentation</w:t>
      </w:r>
    </w:p>
    <w:p w14:paraId="27E07A93" w14:textId="77777777" w:rsidR="00A85061" w:rsidRDefault="00F04891">
      <w:pPr>
        <w:spacing w:after="180"/>
        <w:jc w:val="both"/>
      </w:pPr>
      <w:r>
        <w:rPr>
          <w:rFonts w:ascii="sans-serif" w:eastAsia="sans-serif" w:hAnsi="sans-serif" w:cs="sans-serif"/>
          <w:color w:val="000000"/>
          <w:sz w:val="20"/>
          <w:szCs w:val="20"/>
        </w:rPr>
        <w:t>The accompanying unaudited condensed consolidated financial statements were prepared in accordance with accounting principles generally accepted in the United States of America, or U.S. GAAP, for interim financial information and with the inst</w:t>
      </w:r>
      <w:r>
        <w:rPr>
          <w:rFonts w:ascii="sans-serif" w:eastAsia="sans-serif" w:hAnsi="sans-serif" w:cs="sans-serif"/>
          <w:color w:val="000000"/>
          <w:sz w:val="20"/>
          <w:szCs w:val="20"/>
        </w:rPr>
        <w:t>ructions to Form 10-Q and Article 10 of Securities and Exchange Commission, or SEC, Regulation S-X. The January 31, 2021 consolidated balance sheet was derived from our audited consolidated financial statements included in our Annual Report on Form 10-K fo</w:t>
      </w:r>
      <w:r>
        <w:rPr>
          <w:rFonts w:ascii="sans-serif" w:eastAsia="sans-serif" w:hAnsi="sans-serif" w:cs="sans-serif"/>
          <w:color w:val="000000"/>
          <w:sz w:val="20"/>
          <w:szCs w:val="20"/>
        </w:rPr>
        <w:t>r the fiscal year ended January 31, 2021, as filed with the SEC, but does not include all disclosures required by U.S. GAAP. In the opinion of management, all adjustments, consisting only of normal recurring adjustments considered necessary for a fair stat</w:t>
      </w:r>
      <w:r>
        <w:rPr>
          <w:rFonts w:ascii="sans-serif" w:eastAsia="sans-serif" w:hAnsi="sans-serif" w:cs="sans-serif"/>
          <w:color w:val="000000"/>
          <w:sz w:val="20"/>
          <w:szCs w:val="20"/>
        </w:rPr>
        <w:t>ement of results of operations and financial position, have been included. The results for the interim periods presented are not necessarily indicative of the results expected for any future period. The following information should be read in conjunction w</w:t>
      </w:r>
      <w:r>
        <w:rPr>
          <w:rFonts w:ascii="sans-serif" w:eastAsia="sans-serif" w:hAnsi="sans-serif" w:cs="sans-serif"/>
          <w:color w:val="000000"/>
          <w:sz w:val="20"/>
          <w:szCs w:val="20"/>
        </w:rPr>
        <w:t>ith the audited consolidated financial statements and notes thereto included in our Annual Report on Form 10-K for the fiscal year ended January 31, 2021.</w:t>
      </w:r>
      <w:r>
        <w:rPr>
          <w:rFonts w:ascii="sans-serif" w:eastAsia="sans-serif" w:hAnsi="sans-serif" w:cs="sans-serif"/>
          <w:b/>
          <w:bCs/>
          <w:color w:val="000000"/>
          <w:sz w:val="20"/>
          <w:szCs w:val="20"/>
        </w:rPr>
        <w:t> </w:t>
      </w:r>
    </w:p>
    <w:p w14:paraId="27E07A94" w14:textId="77777777" w:rsidR="00A85061" w:rsidRDefault="00F04891">
      <w:pPr>
        <w:spacing w:before="240" w:after="60"/>
        <w:jc w:val="both"/>
      </w:pPr>
      <w:r>
        <w:rPr>
          <w:rFonts w:ascii="sans-serif" w:eastAsia="sans-serif" w:hAnsi="sans-serif" w:cs="sans-serif"/>
          <w:b/>
          <w:bCs/>
          <w:color w:val="76B900"/>
          <w:sz w:val="20"/>
          <w:szCs w:val="20"/>
        </w:rPr>
        <w:t>Significant Accounting Policies</w:t>
      </w:r>
    </w:p>
    <w:p w14:paraId="27E07A95" w14:textId="77777777" w:rsidR="00A85061" w:rsidRDefault="00F04891">
      <w:pPr>
        <w:spacing w:after="180"/>
        <w:jc w:val="both"/>
      </w:pPr>
      <w:r>
        <w:rPr>
          <w:rFonts w:ascii="sans-serif" w:eastAsia="sans-serif" w:hAnsi="sans-serif" w:cs="sans-serif"/>
          <w:color w:val="000000"/>
          <w:sz w:val="20"/>
          <w:szCs w:val="20"/>
        </w:rPr>
        <w:t>There have been no material changes to our significant accounting po</w:t>
      </w:r>
      <w:r>
        <w:rPr>
          <w:rFonts w:ascii="sans-serif" w:eastAsia="sans-serif" w:hAnsi="sans-serif" w:cs="sans-serif"/>
          <w:color w:val="000000"/>
          <w:sz w:val="20"/>
          <w:szCs w:val="20"/>
        </w:rPr>
        <w:t>licies disclosed in Note 1 - Organization and Summary of Significant Accounting Policies, of the Notes to the Consolidated Financial Statements included in our Annual Report on Form 10-K for the fiscal year ended January 31, 2021.</w:t>
      </w:r>
    </w:p>
    <w:p w14:paraId="27E07A96" w14:textId="77777777" w:rsidR="00A85061" w:rsidRDefault="00F04891">
      <w:pPr>
        <w:spacing w:before="240" w:after="60"/>
        <w:jc w:val="both"/>
      </w:pPr>
      <w:r>
        <w:rPr>
          <w:rFonts w:ascii="sans-serif" w:eastAsia="sans-serif" w:hAnsi="sans-serif" w:cs="sans-serif"/>
          <w:b/>
          <w:bCs/>
          <w:color w:val="76B900"/>
          <w:sz w:val="20"/>
          <w:szCs w:val="20"/>
        </w:rPr>
        <w:t>Fiscal Year</w:t>
      </w:r>
    </w:p>
    <w:p w14:paraId="27E07A97" w14:textId="77777777" w:rsidR="00A85061" w:rsidRDefault="00F04891">
      <w:pPr>
        <w:spacing w:after="180"/>
        <w:jc w:val="both"/>
      </w:pPr>
      <w:r>
        <w:rPr>
          <w:rFonts w:ascii="sans-serif" w:eastAsia="sans-serif" w:hAnsi="sans-serif" w:cs="sans-serif"/>
          <w:color w:val="000000"/>
          <w:sz w:val="20"/>
          <w:szCs w:val="20"/>
        </w:rPr>
        <w:t>We operate on</w:t>
      </w:r>
      <w:r>
        <w:rPr>
          <w:rFonts w:ascii="sans-serif" w:eastAsia="sans-serif" w:hAnsi="sans-serif" w:cs="sans-serif"/>
          <w:color w:val="000000"/>
          <w:sz w:val="20"/>
          <w:szCs w:val="20"/>
        </w:rPr>
        <w:t xml:space="preserve"> a 52- or 53-week year, ending on the last Sunday in January. Fiscal year 2022 is a 52-week year and fiscal year 2021 was a 53-week year. The first quarters of fiscal years 2022 and 2021 were both 13-week quarters.</w:t>
      </w:r>
    </w:p>
    <w:p w14:paraId="27E07A98" w14:textId="77777777" w:rsidR="00A85061" w:rsidRDefault="00F04891">
      <w:pPr>
        <w:spacing w:before="240" w:after="60"/>
        <w:jc w:val="both"/>
      </w:pPr>
      <w:r>
        <w:rPr>
          <w:rFonts w:ascii="sans-serif" w:eastAsia="sans-serif" w:hAnsi="sans-serif" w:cs="sans-serif"/>
          <w:b/>
          <w:bCs/>
          <w:color w:val="76B900"/>
          <w:sz w:val="20"/>
          <w:szCs w:val="20"/>
        </w:rPr>
        <w:t>Reclassifications</w:t>
      </w:r>
    </w:p>
    <w:p w14:paraId="27E07A99" w14:textId="77777777" w:rsidR="00A85061" w:rsidRDefault="00F04891">
      <w:pPr>
        <w:spacing w:after="180"/>
        <w:jc w:val="both"/>
      </w:pPr>
      <w:r>
        <w:rPr>
          <w:rFonts w:ascii="sans-serif" w:eastAsia="sans-serif" w:hAnsi="sans-serif" w:cs="sans-serif"/>
          <w:color w:val="000000"/>
          <w:sz w:val="20"/>
          <w:szCs w:val="20"/>
        </w:rPr>
        <w:t>Certain prior fiscal ye</w:t>
      </w:r>
      <w:r>
        <w:rPr>
          <w:rFonts w:ascii="sans-serif" w:eastAsia="sans-serif" w:hAnsi="sans-serif" w:cs="sans-serif"/>
          <w:color w:val="000000"/>
          <w:sz w:val="20"/>
          <w:szCs w:val="20"/>
        </w:rPr>
        <w:t>ar balances have been reclassified to conform to the current fiscal year presentation.</w:t>
      </w:r>
    </w:p>
    <w:p w14:paraId="27E07A9A" w14:textId="77777777" w:rsidR="00A85061" w:rsidRDefault="00F04891">
      <w:pPr>
        <w:spacing w:before="240" w:after="60"/>
        <w:jc w:val="both"/>
      </w:pPr>
      <w:r>
        <w:rPr>
          <w:rFonts w:ascii="sans-serif" w:eastAsia="sans-serif" w:hAnsi="sans-serif" w:cs="sans-serif"/>
          <w:b/>
          <w:bCs/>
          <w:color w:val="76B900"/>
          <w:sz w:val="20"/>
          <w:szCs w:val="20"/>
        </w:rPr>
        <w:t>Principles of Consolidation</w:t>
      </w:r>
    </w:p>
    <w:p w14:paraId="27E07A9B" w14:textId="77777777" w:rsidR="00A85061" w:rsidRDefault="00F04891">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w:t>
      </w:r>
      <w:r>
        <w:rPr>
          <w:rFonts w:ascii="sans-serif" w:eastAsia="sans-serif" w:hAnsi="sans-serif" w:cs="sans-serif"/>
          <w:color w:val="000000"/>
          <w:sz w:val="20"/>
          <w:szCs w:val="20"/>
        </w:rPr>
        <w:t>y balances and transactions have been eliminated in consolidation.</w:t>
      </w:r>
    </w:p>
    <w:p w14:paraId="27E07A9C" w14:textId="77777777" w:rsidR="00A85061" w:rsidRDefault="00F04891">
      <w:pPr>
        <w:spacing w:before="240" w:after="60"/>
        <w:jc w:val="both"/>
      </w:pPr>
      <w:r>
        <w:rPr>
          <w:rFonts w:ascii="sans-serif" w:eastAsia="sans-serif" w:hAnsi="sans-serif" w:cs="sans-serif"/>
          <w:b/>
          <w:bCs/>
          <w:color w:val="76B900"/>
          <w:sz w:val="20"/>
          <w:szCs w:val="20"/>
        </w:rPr>
        <w:t>Use of Estimates</w:t>
      </w:r>
    </w:p>
    <w:p w14:paraId="27E07A9D" w14:textId="77777777" w:rsidR="00A85061" w:rsidRDefault="00F04891">
      <w:pPr>
        <w:spacing w:after="180"/>
        <w:jc w:val="both"/>
      </w:pPr>
      <w:r>
        <w:rPr>
          <w:rFonts w:ascii="sans-serif" w:eastAsia="sans-serif" w:hAnsi="sans-serif" w:cs="sans-serif"/>
          <w:color w:val="000000"/>
          <w:sz w:val="20"/>
          <w:szCs w:val="20"/>
        </w:rPr>
        <w:t>The preparation of financial statements in conformity with U.S. GAAP requires management to make estimates and assumptions that affect the reported amounts of assets and li</w:t>
      </w:r>
      <w:r>
        <w:rPr>
          <w:rFonts w:ascii="sans-serif" w:eastAsia="sans-serif" w:hAnsi="sans-serif" w:cs="sans-serif"/>
          <w:color w:val="000000"/>
          <w:sz w:val="20"/>
          <w:szCs w:val="20"/>
        </w:rPr>
        <w:t>abilities and disclosures of contingent assets and liabilities at the date of the financial statements and the reported amounts of revenue and expenses during the reporting period. Actual results could differ materially from our estimates. On an ongoing ba</w:t>
      </w:r>
      <w:r>
        <w:rPr>
          <w:rFonts w:ascii="sans-serif" w:eastAsia="sans-serif" w:hAnsi="sans-serif" w:cs="sans-serif"/>
          <w:color w:val="000000"/>
          <w:sz w:val="20"/>
          <w:szCs w:val="20"/>
        </w:rPr>
        <w:t xml:space="preserve">sis, we evaluate our estimates, including those related to revenue recognition, cash equivalents and marketable securities, accounts receivable, inventories, income taxes, goodwill, stock-based compensation, litigation, investigation and settlement costs, </w:t>
      </w:r>
      <w:r>
        <w:rPr>
          <w:rFonts w:ascii="sans-serif" w:eastAsia="sans-serif" w:hAnsi="sans-serif" w:cs="sans-serif"/>
          <w:color w:val="000000"/>
          <w:sz w:val="20"/>
          <w:szCs w:val="20"/>
        </w:rPr>
        <w:t>restructuring and other charges, and other contingencies. The inputs into our judgments and estimates consider the economic implications of COVID-19. These estimates are based on historical facts and various other assumptions that we believe are reasonable</w:t>
      </w:r>
      <w:r>
        <w:rPr>
          <w:rFonts w:ascii="sans-serif" w:eastAsia="sans-serif" w:hAnsi="sans-serif" w:cs="sans-serif"/>
          <w:color w:val="000000"/>
          <w:sz w:val="20"/>
          <w:szCs w:val="20"/>
        </w:rPr>
        <w:t>.</w:t>
      </w:r>
    </w:p>
    <w:p w14:paraId="27E07A9E" w14:textId="77777777" w:rsidR="00A85061" w:rsidRDefault="00F04891">
      <w:pPr>
        <w:spacing w:before="240" w:after="120"/>
        <w:jc w:val="both"/>
      </w:pPr>
      <w:r>
        <w:rPr>
          <w:rFonts w:ascii="sans-serif" w:eastAsia="sans-serif" w:hAnsi="sans-serif" w:cs="sans-serif"/>
          <w:b/>
          <w:bCs/>
          <w:color w:val="76B900"/>
          <w:sz w:val="22"/>
          <w:szCs w:val="22"/>
        </w:rPr>
        <w:t>Note 2 - Business Combination</w:t>
      </w:r>
    </w:p>
    <w:p w14:paraId="27E07A9F" w14:textId="77777777" w:rsidR="00A85061" w:rsidRDefault="00F04891">
      <w:pPr>
        <w:spacing w:before="240" w:after="60"/>
        <w:jc w:val="both"/>
      </w:pPr>
      <w:r>
        <w:rPr>
          <w:rFonts w:ascii="sans-serif" w:eastAsia="sans-serif" w:hAnsi="sans-serif" w:cs="sans-serif"/>
          <w:b/>
          <w:bCs/>
          <w:color w:val="76B900"/>
          <w:sz w:val="20"/>
          <w:szCs w:val="20"/>
        </w:rPr>
        <w:t>Pending Acquisition of Arm Limited</w:t>
      </w:r>
    </w:p>
    <w:p w14:paraId="27E07AA0" w14:textId="77777777" w:rsidR="00A85061" w:rsidRDefault="00F04891">
      <w:pPr>
        <w:spacing w:after="180"/>
        <w:jc w:val="both"/>
      </w:pPr>
      <w:r>
        <w:rPr>
          <w:rFonts w:ascii="sans-serif" w:eastAsia="sans-serif" w:hAnsi="sans-serif" w:cs="sans-serif"/>
          <w:color w:val="000000"/>
          <w:sz w:val="20"/>
          <w:szCs w:val="20"/>
        </w:rPr>
        <w:t>On September 13, 2020, we entered into a Share Purchase Agreement, or the Purchase Agreement, with Arm Limited, or Arm, and SoftBank Group Capital Limited and SVF Holdco (UK) Limited, or to</w:t>
      </w:r>
      <w:r>
        <w:rPr>
          <w:rFonts w:ascii="sans-serif" w:eastAsia="sans-serif" w:hAnsi="sans-serif" w:cs="sans-serif"/>
          <w:color w:val="000000"/>
          <w:sz w:val="20"/>
          <w:szCs w:val="20"/>
        </w:rPr>
        <w:t>gether, SoftBank, for us to acquire, from SoftBank, all allotted and issued ordinary shares of Arm in a transaction valued at $40 billion. We paid $2 billion in cash at signing, or the Signing Consideration, and will pay upon closing of the acquisition $10</w:t>
      </w:r>
      <w:r>
        <w:rPr>
          <w:rFonts w:ascii="sans-serif" w:eastAsia="sans-serif" w:hAnsi="sans-serif" w:cs="sans-serif"/>
          <w:color w:val="000000"/>
          <w:sz w:val="20"/>
          <w:szCs w:val="20"/>
        </w:rPr>
        <w:t> billion in cash and issue to SoftBank 44.3 million shares of our common stock, which had an aggregate value of $21.5 billion as of the date of the Purchase Agreement. The transaction includes a potential earn out, which is contingent on the achievement of</w:t>
      </w:r>
      <w:r>
        <w:rPr>
          <w:rFonts w:ascii="sans-serif" w:eastAsia="sans-serif" w:hAnsi="sans-serif" w:cs="sans-serif"/>
          <w:color w:val="000000"/>
          <w:sz w:val="20"/>
          <w:szCs w:val="20"/>
        </w:rPr>
        <w:t xml:space="preserve"> certain financial performance targets by Arm during the fiscal year ending March 31, 2022. If the financial targets are achieved, SoftBank can elect to receive either up to an additional $5 billion in cash or up to an additional 10.3 million shares of our</w:t>
      </w:r>
      <w:r>
        <w:rPr>
          <w:rFonts w:ascii="sans-serif" w:eastAsia="sans-serif" w:hAnsi="sans-serif" w:cs="sans-serif"/>
          <w:color w:val="000000"/>
          <w:sz w:val="20"/>
          <w:szCs w:val="20"/>
        </w:rPr>
        <w:t xml:space="preserve"> common stock. We will issue up to $1.5 billion in restricted stock units to Arm employees after closing. The $2 billion </w:t>
      </w:r>
    </w:p>
    <w:p w14:paraId="27E07AA1" w14:textId="77777777" w:rsidR="00A85061" w:rsidRDefault="00F04891">
      <w:pPr>
        <w:spacing w:after="180"/>
        <w:jc w:val="center"/>
      </w:pPr>
      <w:r>
        <w:rPr>
          <w:rFonts w:ascii="sans-serif" w:eastAsia="sans-serif" w:hAnsi="sans-serif" w:cs="sans-serif"/>
          <w:color w:val="000000"/>
          <w:sz w:val="20"/>
          <w:szCs w:val="20"/>
        </w:rPr>
        <w:t>8</w:t>
      </w:r>
    </w:p>
    <w:p w14:paraId="27E07AA2" w14:textId="77777777" w:rsidR="00A85061" w:rsidRDefault="00F04891">
      <w:r>
        <w:pict w14:anchorId="27E08EF9">
          <v:rect id="_x0000_i1032" style="width:415.3pt;height:1.5pt" o:hralign="center" o:hrstd="t" o:hr="t" fillcolor="#a0a0a0" stroked="f"/>
        </w:pict>
      </w:r>
    </w:p>
    <w:p w14:paraId="27E07AA3" w14:textId="77777777" w:rsidR="00A85061" w:rsidRDefault="00F04891">
      <w:pPr>
        <w:jc w:val="center"/>
      </w:pPr>
      <w:r>
        <w:rPr>
          <w:rFonts w:ascii="sans-serif" w:eastAsia="sans-serif" w:hAnsi="sans-serif" w:cs="sans-serif"/>
          <w:b/>
          <w:bCs/>
          <w:color w:val="000000"/>
          <w:sz w:val="20"/>
          <w:szCs w:val="20"/>
        </w:rPr>
        <w:t>NVIDIA CORPORATION AND SUBSIDIARIES</w:t>
      </w:r>
    </w:p>
    <w:p w14:paraId="27E07AA4"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7AA5" w14:textId="77777777" w:rsidR="00A85061" w:rsidRDefault="00F04891">
      <w:pPr>
        <w:jc w:val="center"/>
      </w:pPr>
      <w:r>
        <w:rPr>
          <w:rFonts w:ascii="sans-serif" w:eastAsia="sans-serif" w:hAnsi="sans-serif" w:cs="sans-serif"/>
          <w:b/>
          <w:bCs/>
          <w:color w:val="000000"/>
          <w:sz w:val="20"/>
          <w:szCs w:val="20"/>
        </w:rPr>
        <w:t>(Unaudited)</w:t>
      </w:r>
    </w:p>
    <w:p w14:paraId="27E07AA6" w14:textId="77777777" w:rsidR="00A85061" w:rsidRDefault="00A85061">
      <w:pPr>
        <w:spacing w:after="180"/>
        <w:jc w:val="both"/>
      </w:pPr>
    </w:p>
    <w:p w14:paraId="27E07AA7" w14:textId="77777777" w:rsidR="00A85061" w:rsidRDefault="00A85061">
      <w:pPr>
        <w:spacing w:after="180"/>
        <w:jc w:val="both"/>
      </w:pPr>
    </w:p>
    <w:p w14:paraId="27E07AA8" w14:textId="77777777" w:rsidR="00A85061" w:rsidRDefault="00F04891">
      <w:pPr>
        <w:spacing w:after="180"/>
        <w:jc w:val="both"/>
      </w:pPr>
      <w:r>
        <w:rPr>
          <w:rFonts w:ascii="sans-serif" w:eastAsia="sans-serif" w:hAnsi="sans-serif" w:cs="sans-serif"/>
          <w:color w:val="000000"/>
          <w:sz w:val="20"/>
          <w:szCs w:val="20"/>
        </w:rPr>
        <w:t xml:space="preserve">paid upon </w:t>
      </w:r>
      <w:r>
        <w:rPr>
          <w:rFonts w:ascii="sans-serif" w:eastAsia="sans-serif" w:hAnsi="sans-serif" w:cs="sans-serif"/>
          <w:color w:val="000000"/>
          <w:sz w:val="20"/>
          <w:szCs w:val="20"/>
        </w:rPr>
        <w:t>signing was allocated between advanced consideration for the acquisition of $1.36 billion and the prepayment of intellectual property licenses from Arm of $0.17 billion and royalties of $0.47 billion, both with a 20-year term. The closing of the acquisitio</w:t>
      </w:r>
      <w:r>
        <w:rPr>
          <w:rFonts w:ascii="sans-serif" w:eastAsia="sans-serif" w:hAnsi="sans-serif" w:cs="sans-serif"/>
          <w:color w:val="000000"/>
          <w:sz w:val="20"/>
          <w:szCs w:val="20"/>
        </w:rPr>
        <w:t>n is subject to customary closing conditions, including receipt of specified governmental and regulatory consents and approvals and the expiration of any related mandatory waiting period, and Arm's implementation of the reorganization and distribution of A</w:t>
      </w:r>
      <w:r>
        <w:rPr>
          <w:rFonts w:ascii="sans-serif" w:eastAsia="sans-serif" w:hAnsi="sans-serif" w:cs="sans-serif"/>
          <w:color w:val="000000"/>
          <w:sz w:val="20"/>
          <w:szCs w:val="20"/>
        </w:rPr>
        <w:t>rm’s IoT Services Group and certain other assets and liabilities. We are engaged with regulators in the United States, the United Kingdom, the European Union, China and other jurisdictions. If the Purchase Agreement is terminated under certain circumstance</w:t>
      </w:r>
      <w:r>
        <w:rPr>
          <w:rFonts w:ascii="sans-serif" w:eastAsia="sans-serif" w:hAnsi="sans-serif" w:cs="sans-serif"/>
          <w:color w:val="000000"/>
          <w:sz w:val="20"/>
          <w:szCs w:val="20"/>
        </w:rPr>
        <w:t>s, we will be refunded $1.25 billion of the Signing Consideration. The Signing Consideration was allocated on a fair value basis and any refund of the Signing Consideration will use stated values in the Purchase Agreement. We believe the closing of the acq</w:t>
      </w:r>
      <w:r>
        <w:rPr>
          <w:rFonts w:ascii="sans-serif" w:eastAsia="sans-serif" w:hAnsi="sans-serif" w:cs="sans-serif"/>
          <w:color w:val="000000"/>
          <w:sz w:val="20"/>
          <w:szCs w:val="20"/>
        </w:rPr>
        <w:t>uisition will likely occur in the first quarter of calendar year 2022.</w:t>
      </w:r>
    </w:p>
    <w:p w14:paraId="27E07AA9" w14:textId="77777777" w:rsidR="00A85061" w:rsidRDefault="00F04891">
      <w:pPr>
        <w:spacing w:before="240" w:after="60"/>
      </w:pPr>
      <w:r>
        <w:rPr>
          <w:rFonts w:ascii="sans-serif" w:eastAsia="sans-serif" w:hAnsi="sans-serif" w:cs="sans-serif"/>
          <w:b/>
          <w:bCs/>
          <w:color w:val="76B900"/>
          <w:sz w:val="20"/>
          <w:szCs w:val="20"/>
        </w:rPr>
        <w:t>Acquisition of Mellanox Technologies, Ltd.</w:t>
      </w:r>
    </w:p>
    <w:p w14:paraId="27E07AAA" w14:textId="77777777" w:rsidR="00A85061" w:rsidRDefault="00F04891">
      <w:pPr>
        <w:spacing w:after="180"/>
        <w:jc w:val="both"/>
      </w:pPr>
      <w:r>
        <w:rPr>
          <w:rFonts w:ascii="sans-serif" w:eastAsia="sans-serif" w:hAnsi="sans-serif" w:cs="sans-serif"/>
          <w:color w:val="000000"/>
          <w:sz w:val="20"/>
          <w:szCs w:val="20"/>
        </w:rPr>
        <w:t>On April 27, 2020, we completed the acquisition of all outstanding shares of Mellanox for a total purchase consideration of $7.13 billion. Mel</w:t>
      </w:r>
      <w:r>
        <w:rPr>
          <w:rFonts w:ascii="sans-serif" w:eastAsia="sans-serif" w:hAnsi="sans-serif" w:cs="sans-serif"/>
          <w:color w:val="000000"/>
          <w:sz w:val="20"/>
          <w:szCs w:val="20"/>
        </w:rPr>
        <w:t>lanox is a supplier of high-performance interconnect products for computing, storage and communications applications. We acquired Mellanox to optimize data center workloads to scale across the entire computing, networking, and storage stack.</w:t>
      </w:r>
    </w:p>
    <w:p w14:paraId="27E07AAB" w14:textId="77777777" w:rsidR="00A85061" w:rsidRDefault="00F04891">
      <w:pPr>
        <w:spacing w:before="120" w:after="120"/>
        <w:jc w:val="both"/>
      </w:pPr>
      <w:r>
        <w:rPr>
          <w:rFonts w:ascii="sans-serif" w:eastAsia="sans-serif" w:hAnsi="sans-serif" w:cs="sans-serif"/>
          <w:b/>
          <w:bCs/>
          <w:color w:val="000000"/>
          <w:sz w:val="20"/>
          <w:szCs w:val="20"/>
        </w:rPr>
        <w:t>Supplemental U</w:t>
      </w:r>
      <w:r>
        <w:rPr>
          <w:rFonts w:ascii="sans-serif" w:eastAsia="sans-serif" w:hAnsi="sans-serif" w:cs="sans-serif"/>
          <w:b/>
          <w:bCs/>
          <w:color w:val="000000"/>
          <w:sz w:val="20"/>
          <w:szCs w:val="20"/>
        </w:rPr>
        <w:t>naudited Pro Forma Information</w:t>
      </w:r>
    </w:p>
    <w:p w14:paraId="27E07AAC" w14:textId="77777777" w:rsidR="00A85061" w:rsidRDefault="00F04891">
      <w:pPr>
        <w:spacing w:after="180"/>
        <w:jc w:val="both"/>
      </w:pPr>
      <w:r>
        <w:rPr>
          <w:rFonts w:ascii="sans-serif" w:eastAsia="sans-serif" w:hAnsi="sans-serif" w:cs="sans-serif"/>
          <w:color w:val="000000"/>
          <w:sz w:val="20"/>
          <w:szCs w:val="20"/>
        </w:rPr>
        <w:t>The following unaudited pro forma financial information summarizes the combined results of operations for NVIDIA and Mellanox as if the companies were combined as of the beginning of fiscal year 2020:</w:t>
      </w:r>
    </w:p>
    <w:tbl>
      <w:tblPr>
        <w:tblW w:w="5000" w:type="pct"/>
        <w:tblCellMar>
          <w:top w:w="15" w:type="dxa"/>
          <w:left w:w="15" w:type="dxa"/>
          <w:bottom w:w="15" w:type="dxa"/>
          <w:right w:w="15" w:type="dxa"/>
        </w:tblCellMar>
        <w:tblLook w:val="04A0" w:firstRow="1" w:lastRow="0" w:firstColumn="1" w:lastColumn="0" w:noHBand="0" w:noVBand="1"/>
      </w:tblPr>
      <w:tblGrid>
        <w:gridCol w:w="44"/>
        <w:gridCol w:w="6317"/>
        <w:gridCol w:w="36"/>
        <w:gridCol w:w="123"/>
        <w:gridCol w:w="1347"/>
        <w:gridCol w:w="37"/>
        <w:gridCol w:w="36"/>
        <w:gridCol w:w="36"/>
        <w:gridCol w:w="36"/>
        <w:gridCol w:w="36"/>
        <w:gridCol w:w="36"/>
        <w:gridCol w:w="36"/>
        <w:gridCol w:w="36"/>
        <w:gridCol w:w="36"/>
        <w:gridCol w:w="36"/>
        <w:gridCol w:w="36"/>
        <w:gridCol w:w="36"/>
        <w:gridCol w:w="36"/>
      </w:tblGrid>
      <w:tr w:rsidR="00A85061" w14:paraId="27E07AB7" w14:textId="77777777">
        <w:tc>
          <w:tcPr>
            <w:tcW w:w="50" w:type="pct"/>
            <w:shd w:val="clear" w:color="auto" w:fill="auto"/>
            <w:vAlign w:val="bottom"/>
          </w:tcPr>
          <w:p w14:paraId="27E07AAD" w14:textId="77777777" w:rsidR="00A85061" w:rsidRDefault="00A85061">
            <w:pPr>
              <w:rPr>
                <w:rFonts w:ascii="宋体"/>
              </w:rPr>
            </w:pPr>
          </w:p>
        </w:tc>
        <w:tc>
          <w:tcPr>
            <w:tcW w:w="4016" w:type="pct"/>
            <w:shd w:val="clear" w:color="auto" w:fill="auto"/>
            <w:vAlign w:val="bottom"/>
          </w:tcPr>
          <w:p w14:paraId="27E07AAE" w14:textId="77777777" w:rsidR="00A85061" w:rsidRDefault="00A85061">
            <w:pPr>
              <w:rPr>
                <w:rFonts w:ascii="宋体"/>
              </w:rPr>
            </w:pPr>
          </w:p>
        </w:tc>
        <w:tc>
          <w:tcPr>
            <w:tcW w:w="5" w:type="pct"/>
            <w:shd w:val="clear" w:color="auto" w:fill="auto"/>
            <w:vAlign w:val="bottom"/>
          </w:tcPr>
          <w:p w14:paraId="27E07AAF" w14:textId="77777777" w:rsidR="00A85061" w:rsidRDefault="00A85061">
            <w:pPr>
              <w:rPr>
                <w:rFonts w:ascii="宋体"/>
              </w:rPr>
            </w:pPr>
          </w:p>
        </w:tc>
        <w:tc>
          <w:tcPr>
            <w:tcW w:w="50" w:type="pct"/>
            <w:shd w:val="clear" w:color="auto" w:fill="auto"/>
            <w:vAlign w:val="bottom"/>
          </w:tcPr>
          <w:p w14:paraId="27E07AB0" w14:textId="77777777" w:rsidR="00A85061" w:rsidRDefault="00A85061">
            <w:pPr>
              <w:rPr>
                <w:rFonts w:ascii="宋体"/>
              </w:rPr>
            </w:pPr>
          </w:p>
        </w:tc>
        <w:tc>
          <w:tcPr>
            <w:tcW w:w="873" w:type="pct"/>
            <w:shd w:val="clear" w:color="auto" w:fill="auto"/>
            <w:vAlign w:val="bottom"/>
          </w:tcPr>
          <w:p w14:paraId="27E07AB1" w14:textId="77777777" w:rsidR="00A85061" w:rsidRDefault="00A85061">
            <w:pPr>
              <w:rPr>
                <w:rFonts w:ascii="宋体"/>
              </w:rPr>
            </w:pPr>
          </w:p>
        </w:tc>
        <w:tc>
          <w:tcPr>
            <w:tcW w:w="5" w:type="pct"/>
            <w:shd w:val="clear" w:color="auto" w:fill="auto"/>
            <w:vAlign w:val="bottom"/>
          </w:tcPr>
          <w:p w14:paraId="27E07AB2" w14:textId="77777777" w:rsidR="00A85061" w:rsidRDefault="00A85061">
            <w:pPr>
              <w:rPr>
                <w:rFonts w:ascii="宋体"/>
              </w:rPr>
            </w:pPr>
          </w:p>
        </w:tc>
        <w:tc>
          <w:tcPr>
            <w:tcW w:w="0" w:type="auto"/>
            <w:gridSpan w:val="3"/>
            <w:shd w:val="clear" w:color="auto" w:fill="auto"/>
            <w:vAlign w:val="bottom"/>
          </w:tcPr>
          <w:p w14:paraId="27E07AB3" w14:textId="77777777" w:rsidR="00A85061" w:rsidRDefault="00A85061">
            <w:pPr>
              <w:rPr>
                <w:rFonts w:ascii="宋体"/>
                <w:vanish/>
              </w:rPr>
            </w:pPr>
          </w:p>
        </w:tc>
        <w:tc>
          <w:tcPr>
            <w:tcW w:w="0" w:type="auto"/>
            <w:gridSpan w:val="3"/>
            <w:shd w:val="clear" w:color="auto" w:fill="auto"/>
            <w:vAlign w:val="bottom"/>
          </w:tcPr>
          <w:p w14:paraId="27E07AB4" w14:textId="77777777" w:rsidR="00A85061" w:rsidRDefault="00A85061">
            <w:pPr>
              <w:rPr>
                <w:rFonts w:ascii="宋体"/>
                <w:vanish/>
              </w:rPr>
            </w:pPr>
          </w:p>
        </w:tc>
        <w:tc>
          <w:tcPr>
            <w:tcW w:w="0" w:type="auto"/>
            <w:gridSpan w:val="3"/>
            <w:shd w:val="clear" w:color="auto" w:fill="auto"/>
            <w:vAlign w:val="bottom"/>
          </w:tcPr>
          <w:p w14:paraId="27E07AB5" w14:textId="77777777" w:rsidR="00A85061" w:rsidRDefault="00A85061">
            <w:pPr>
              <w:rPr>
                <w:rFonts w:ascii="宋体"/>
                <w:vanish/>
              </w:rPr>
            </w:pPr>
          </w:p>
        </w:tc>
        <w:tc>
          <w:tcPr>
            <w:tcW w:w="0" w:type="auto"/>
            <w:gridSpan w:val="3"/>
            <w:shd w:val="clear" w:color="auto" w:fill="auto"/>
            <w:vAlign w:val="bottom"/>
          </w:tcPr>
          <w:p w14:paraId="27E07AB6" w14:textId="77777777" w:rsidR="00A85061" w:rsidRDefault="00A85061">
            <w:pPr>
              <w:rPr>
                <w:rFonts w:ascii="宋体"/>
                <w:vanish/>
              </w:rPr>
            </w:pPr>
          </w:p>
        </w:tc>
      </w:tr>
      <w:tr w:rsidR="00A85061" w14:paraId="27E07AC6" w14:textId="77777777">
        <w:tc>
          <w:tcPr>
            <w:tcW w:w="0" w:type="auto"/>
            <w:gridSpan w:val="3"/>
            <w:shd w:val="clear" w:color="auto" w:fill="auto"/>
            <w:tcMar>
              <w:top w:w="0" w:type="dxa"/>
              <w:left w:w="20" w:type="dxa"/>
              <w:bottom w:w="0" w:type="dxa"/>
              <w:right w:w="20" w:type="dxa"/>
            </w:tcMar>
            <w:vAlign w:val="bottom"/>
          </w:tcPr>
          <w:p w14:paraId="27E07AB8"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AB9" w14:textId="77777777" w:rsidR="00A85061" w:rsidRDefault="00F04891">
            <w:pPr>
              <w:jc w:val="center"/>
              <w:textAlignment w:val="bottom"/>
            </w:pPr>
            <w:r>
              <w:rPr>
                <w:rFonts w:ascii="sans-serif" w:eastAsia="sans-serif" w:hAnsi="sans-serif" w:cs="sans-serif"/>
                <w:b/>
                <w:bCs/>
                <w:color w:val="000000"/>
                <w:sz w:val="20"/>
                <w:szCs w:val="20"/>
              </w:rPr>
              <w:t xml:space="preserve">Pro </w:t>
            </w:r>
            <w:r>
              <w:rPr>
                <w:rFonts w:ascii="sans-serif" w:eastAsia="sans-serif" w:hAnsi="sans-serif" w:cs="sans-serif"/>
                <w:b/>
                <w:bCs/>
                <w:color w:val="000000"/>
                <w:sz w:val="20"/>
                <w:szCs w:val="20"/>
              </w:rPr>
              <w:t>Forma</w:t>
            </w:r>
          </w:p>
        </w:tc>
        <w:tc>
          <w:tcPr>
            <w:tcW w:w="0" w:type="auto"/>
            <w:shd w:val="clear" w:color="auto" w:fill="auto"/>
            <w:vAlign w:val="bottom"/>
          </w:tcPr>
          <w:p w14:paraId="27E07ABA" w14:textId="77777777" w:rsidR="00A85061" w:rsidRDefault="00A85061">
            <w:pPr>
              <w:rPr>
                <w:rFonts w:ascii="宋体"/>
              </w:rPr>
            </w:pPr>
          </w:p>
        </w:tc>
        <w:tc>
          <w:tcPr>
            <w:tcW w:w="0" w:type="auto"/>
            <w:shd w:val="clear" w:color="auto" w:fill="auto"/>
            <w:vAlign w:val="bottom"/>
          </w:tcPr>
          <w:p w14:paraId="27E07ABB" w14:textId="77777777" w:rsidR="00A85061" w:rsidRDefault="00A85061">
            <w:pPr>
              <w:rPr>
                <w:rFonts w:ascii="宋体"/>
              </w:rPr>
            </w:pPr>
          </w:p>
        </w:tc>
        <w:tc>
          <w:tcPr>
            <w:tcW w:w="0" w:type="auto"/>
            <w:shd w:val="clear" w:color="auto" w:fill="auto"/>
            <w:vAlign w:val="bottom"/>
          </w:tcPr>
          <w:p w14:paraId="27E07ABC" w14:textId="77777777" w:rsidR="00A85061" w:rsidRDefault="00A85061">
            <w:pPr>
              <w:rPr>
                <w:rFonts w:ascii="宋体"/>
              </w:rPr>
            </w:pPr>
          </w:p>
        </w:tc>
        <w:tc>
          <w:tcPr>
            <w:tcW w:w="0" w:type="auto"/>
            <w:shd w:val="clear" w:color="auto" w:fill="auto"/>
            <w:vAlign w:val="bottom"/>
          </w:tcPr>
          <w:p w14:paraId="27E07ABD" w14:textId="77777777" w:rsidR="00A85061" w:rsidRDefault="00A85061">
            <w:pPr>
              <w:rPr>
                <w:rFonts w:ascii="宋体"/>
              </w:rPr>
            </w:pPr>
          </w:p>
        </w:tc>
        <w:tc>
          <w:tcPr>
            <w:tcW w:w="0" w:type="auto"/>
            <w:shd w:val="clear" w:color="auto" w:fill="auto"/>
            <w:vAlign w:val="bottom"/>
          </w:tcPr>
          <w:p w14:paraId="27E07ABE" w14:textId="77777777" w:rsidR="00A85061" w:rsidRDefault="00A85061">
            <w:pPr>
              <w:rPr>
                <w:rFonts w:ascii="宋体"/>
              </w:rPr>
            </w:pPr>
          </w:p>
        </w:tc>
        <w:tc>
          <w:tcPr>
            <w:tcW w:w="0" w:type="auto"/>
            <w:shd w:val="clear" w:color="auto" w:fill="auto"/>
            <w:vAlign w:val="bottom"/>
          </w:tcPr>
          <w:p w14:paraId="27E07ABF" w14:textId="77777777" w:rsidR="00A85061" w:rsidRDefault="00A85061">
            <w:pPr>
              <w:rPr>
                <w:rFonts w:ascii="宋体"/>
              </w:rPr>
            </w:pPr>
          </w:p>
        </w:tc>
        <w:tc>
          <w:tcPr>
            <w:tcW w:w="0" w:type="auto"/>
            <w:shd w:val="clear" w:color="auto" w:fill="auto"/>
            <w:vAlign w:val="bottom"/>
          </w:tcPr>
          <w:p w14:paraId="27E07AC0" w14:textId="77777777" w:rsidR="00A85061" w:rsidRDefault="00A85061">
            <w:pPr>
              <w:rPr>
                <w:rFonts w:ascii="宋体"/>
              </w:rPr>
            </w:pPr>
          </w:p>
        </w:tc>
        <w:tc>
          <w:tcPr>
            <w:tcW w:w="0" w:type="auto"/>
            <w:shd w:val="clear" w:color="auto" w:fill="auto"/>
            <w:vAlign w:val="bottom"/>
          </w:tcPr>
          <w:p w14:paraId="27E07AC1" w14:textId="77777777" w:rsidR="00A85061" w:rsidRDefault="00A85061">
            <w:pPr>
              <w:rPr>
                <w:rFonts w:ascii="宋体"/>
              </w:rPr>
            </w:pPr>
          </w:p>
        </w:tc>
        <w:tc>
          <w:tcPr>
            <w:tcW w:w="0" w:type="auto"/>
            <w:shd w:val="clear" w:color="auto" w:fill="auto"/>
            <w:vAlign w:val="bottom"/>
          </w:tcPr>
          <w:p w14:paraId="27E07AC2" w14:textId="77777777" w:rsidR="00A85061" w:rsidRDefault="00A85061">
            <w:pPr>
              <w:rPr>
                <w:rFonts w:ascii="宋体"/>
              </w:rPr>
            </w:pPr>
          </w:p>
        </w:tc>
        <w:tc>
          <w:tcPr>
            <w:tcW w:w="0" w:type="auto"/>
            <w:shd w:val="clear" w:color="auto" w:fill="auto"/>
            <w:vAlign w:val="bottom"/>
          </w:tcPr>
          <w:p w14:paraId="27E07AC3" w14:textId="77777777" w:rsidR="00A85061" w:rsidRDefault="00A85061">
            <w:pPr>
              <w:rPr>
                <w:rFonts w:ascii="宋体"/>
              </w:rPr>
            </w:pPr>
          </w:p>
        </w:tc>
        <w:tc>
          <w:tcPr>
            <w:tcW w:w="0" w:type="auto"/>
            <w:shd w:val="clear" w:color="auto" w:fill="auto"/>
            <w:vAlign w:val="bottom"/>
          </w:tcPr>
          <w:p w14:paraId="27E07AC4" w14:textId="77777777" w:rsidR="00A85061" w:rsidRDefault="00A85061">
            <w:pPr>
              <w:rPr>
                <w:rFonts w:ascii="宋体"/>
              </w:rPr>
            </w:pPr>
          </w:p>
        </w:tc>
        <w:tc>
          <w:tcPr>
            <w:tcW w:w="0" w:type="auto"/>
            <w:shd w:val="clear" w:color="auto" w:fill="auto"/>
            <w:vAlign w:val="bottom"/>
          </w:tcPr>
          <w:p w14:paraId="27E07AC5" w14:textId="77777777" w:rsidR="00A85061" w:rsidRDefault="00A85061">
            <w:pPr>
              <w:rPr>
                <w:rFonts w:ascii="宋体"/>
              </w:rPr>
            </w:pPr>
          </w:p>
        </w:tc>
      </w:tr>
      <w:tr w:rsidR="00A85061" w14:paraId="27E07AD1" w14:textId="77777777">
        <w:tc>
          <w:tcPr>
            <w:tcW w:w="0" w:type="auto"/>
            <w:gridSpan w:val="3"/>
            <w:shd w:val="clear" w:color="auto" w:fill="auto"/>
            <w:tcMar>
              <w:top w:w="40" w:type="dxa"/>
              <w:left w:w="20" w:type="dxa"/>
              <w:bottom w:w="40" w:type="dxa"/>
              <w:right w:w="20" w:type="dxa"/>
            </w:tcMar>
            <w:vAlign w:val="bottom"/>
          </w:tcPr>
          <w:p w14:paraId="27E07AC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AC8"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7AC9" w14:textId="77777777" w:rsidR="00A85061" w:rsidRDefault="00A85061">
            <w:pPr>
              <w:rPr>
                <w:rFonts w:ascii="宋体"/>
                <w:vanish/>
              </w:rPr>
            </w:pPr>
          </w:p>
        </w:tc>
        <w:tc>
          <w:tcPr>
            <w:tcW w:w="0" w:type="auto"/>
            <w:gridSpan w:val="3"/>
            <w:shd w:val="clear" w:color="auto" w:fill="auto"/>
            <w:vAlign w:val="bottom"/>
          </w:tcPr>
          <w:p w14:paraId="27E07ACA" w14:textId="77777777" w:rsidR="00A85061" w:rsidRDefault="00A85061">
            <w:pPr>
              <w:rPr>
                <w:rFonts w:ascii="宋体"/>
                <w:vanish/>
              </w:rPr>
            </w:pPr>
          </w:p>
        </w:tc>
        <w:tc>
          <w:tcPr>
            <w:tcW w:w="0" w:type="auto"/>
            <w:shd w:val="clear" w:color="auto" w:fill="auto"/>
            <w:vAlign w:val="bottom"/>
          </w:tcPr>
          <w:p w14:paraId="27E07ACB" w14:textId="77777777" w:rsidR="00A85061" w:rsidRDefault="00A85061">
            <w:pPr>
              <w:rPr>
                <w:rFonts w:ascii="宋体"/>
              </w:rPr>
            </w:pPr>
          </w:p>
        </w:tc>
        <w:tc>
          <w:tcPr>
            <w:tcW w:w="0" w:type="auto"/>
            <w:shd w:val="clear" w:color="auto" w:fill="auto"/>
            <w:vAlign w:val="bottom"/>
          </w:tcPr>
          <w:p w14:paraId="27E07ACC" w14:textId="77777777" w:rsidR="00A85061" w:rsidRDefault="00A85061">
            <w:pPr>
              <w:rPr>
                <w:rFonts w:ascii="宋体"/>
              </w:rPr>
            </w:pPr>
          </w:p>
        </w:tc>
        <w:tc>
          <w:tcPr>
            <w:tcW w:w="0" w:type="auto"/>
            <w:shd w:val="clear" w:color="auto" w:fill="auto"/>
            <w:vAlign w:val="bottom"/>
          </w:tcPr>
          <w:p w14:paraId="27E07ACD" w14:textId="77777777" w:rsidR="00A85061" w:rsidRDefault="00A85061">
            <w:pPr>
              <w:rPr>
                <w:rFonts w:ascii="宋体"/>
              </w:rPr>
            </w:pPr>
          </w:p>
        </w:tc>
        <w:tc>
          <w:tcPr>
            <w:tcW w:w="0" w:type="auto"/>
            <w:shd w:val="clear" w:color="auto" w:fill="auto"/>
            <w:vAlign w:val="bottom"/>
          </w:tcPr>
          <w:p w14:paraId="27E07ACE" w14:textId="77777777" w:rsidR="00A85061" w:rsidRDefault="00A85061">
            <w:pPr>
              <w:rPr>
                <w:rFonts w:ascii="宋体"/>
              </w:rPr>
            </w:pPr>
          </w:p>
        </w:tc>
        <w:tc>
          <w:tcPr>
            <w:tcW w:w="0" w:type="auto"/>
            <w:shd w:val="clear" w:color="auto" w:fill="auto"/>
            <w:vAlign w:val="bottom"/>
          </w:tcPr>
          <w:p w14:paraId="27E07ACF" w14:textId="77777777" w:rsidR="00A85061" w:rsidRDefault="00A85061">
            <w:pPr>
              <w:rPr>
                <w:rFonts w:ascii="宋体"/>
              </w:rPr>
            </w:pPr>
          </w:p>
        </w:tc>
        <w:tc>
          <w:tcPr>
            <w:tcW w:w="0" w:type="auto"/>
            <w:shd w:val="clear" w:color="auto" w:fill="auto"/>
            <w:vAlign w:val="bottom"/>
          </w:tcPr>
          <w:p w14:paraId="27E07AD0" w14:textId="77777777" w:rsidR="00A85061" w:rsidRDefault="00A85061">
            <w:pPr>
              <w:rPr>
                <w:rFonts w:ascii="宋体"/>
              </w:rPr>
            </w:pPr>
          </w:p>
        </w:tc>
      </w:tr>
      <w:tr w:rsidR="00A85061" w14:paraId="27E07AD8" w14:textId="77777777">
        <w:tc>
          <w:tcPr>
            <w:tcW w:w="0" w:type="auto"/>
            <w:gridSpan w:val="3"/>
            <w:shd w:val="clear" w:color="auto" w:fill="FFFFFF"/>
            <w:tcMar>
              <w:top w:w="40" w:type="dxa"/>
              <w:left w:w="20" w:type="dxa"/>
              <w:bottom w:w="40" w:type="dxa"/>
              <w:right w:w="20" w:type="dxa"/>
            </w:tcMar>
            <w:vAlign w:val="bottom"/>
          </w:tcPr>
          <w:p w14:paraId="27E07AD2"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27E07AD3" w14:textId="77777777" w:rsidR="00A85061" w:rsidRDefault="00F04891">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vAlign w:val="bottom"/>
          </w:tcPr>
          <w:p w14:paraId="27E07AD4" w14:textId="77777777" w:rsidR="00A85061" w:rsidRDefault="00A85061">
            <w:pPr>
              <w:rPr>
                <w:rFonts w:ascii="宋体"/>
                <w:vanish/>
              </w:rPr>
            </w:pPr>
          </w:p>
        </w:tc>
        <w:tc>
          <w:tcPr>
            <w:tcW w:w="0" w:type="auto"/>
            <w:gridSpan w:val="3"/>
            <w:shd w:val="clear" w:color="auto" w:fill="auto"/>
            <w:vAlign w:val="bottom"/>
          </w:tcPr>
          <w:p w14:paraId="27E07AD5" w14:textId="77777777" w:rsidR="00A85061" w:rsidRDefault="00A85061">
            <w:pPr>
              <w:rPr>
                <w:rFonts w:ascii="宋体"/>
                <w:vanish/>
              </w:rPr>
            </w:pPr>
          </w:p>
        </w:tc>
        <w:tc>
          <w:tcPr>
            <w:tcW w:w="0" w:type="auto"/>
            <w:gridSpan w:val="3"/>
            <w:shd w:val="clear" w:color="auto" w:fill="auto"/>
            <w:vAlign w:val="bottom"/>
          </w:tcPr>
          <w:p w14:paraId="27E07AD6" w14:textId="77777777" w:rsidR="00A85061" w:rsidRDefault="00A85061">
            <w:pPr>
              <w:rPr>
                <w:rFonts w:ascii="宋体"/>
                <w:vanish/>
              </w:rPr>
            </w:pPr>
          </w:p>
        </w:tc>
        <w:tc>
          <w:tcPr>
            <w:tcW w:w="0" w:type="auto"/>
            <w:gridSpan w:val="3"/>
            <w:shd w:val="clear" w:color="auto" w:fill="auto"/>
            <w:vAlign w:val="bottom"/>
          </w:tcPr>
          <w:p w14:paraId="27E07AD7" w14:textId="77777777" w:rsidR="00A85061" w:rsidRDefault="00A85061">
            <w:pPr>
              <w:rPr>
                <w:rFonts w:ascii="宋体"/>
                <w:vanish/>
              </w:rPr>
            </w:pPr>
          </w:p>
        </w:tc>
      </w:tr>
      <w:tr w:rsidR="00A85061" w14:paraId="27E07ADF" w14:textId="77777777">
        <w:trPr>
          <w:trHeight w:val="60"/>
        </w:trPr>
        <w:tc>
          <w:tcPr>
            <w:tcW w:w="0" w:type="auto"/>
            <w:gridSpan w:val="3"/>
            <w:shd w:val="clear" w:color="auto" w:fill="FFFFFF"/>
            <w:tcMar>
              <w:top w:w="0" w:type="dxa"/>
              <w:left w:w="20" w:type="dxa"/>
              <w:bottom w:w="0" w:type="dxa"/>
              <w:right w:w="20" w:type="dxa"/>
            </w:tcMar>
            <w:vAlign w:val="bottom"/>
          </w:tcPr>
          <w:p w14:paraId="27E07AD9"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ADA" w14:textId="77777777" w:rsidR="00A85061" w:rsidRDefault="00A85061">
            <w:pPr>
              <w:rPr>
                <w:rFonts w:ascii="宋体"/>
              </w:rPr>
            </w:pPr>
          </w:p>
        </w:tc>
        <w:tc>
          <w:tcPr>
            <w:tcW w:w="0" w:type="auto"/>
            <w:gridSpan w:val="3"/>
            <w:shd w:val="clear" w:color="auto" w:fill="auto"/>
            <w:vAlign w:val="bottom"/>
          </w:tcPr>
          <w:p w14:paraId="27E07ADB" w14:textId="77777777" w:rsidR="00A85061" w:rsidRDefault="00A85061">
            <w:pPr>
              <w:rPr>
                <w:rFonts w:ascii="宋体"/>
                <w:vanish/>
              </w:rPr>
            </w:pPr>
          </w:p>
        </w:tc>
        <w:tc>
          <w:tcPr>
            <w:tcW w:w="0" w:type="auto"/>
            <w:gridSpan w:val="3"/>
            <w:shd w:val="clear" w:color="auto" w:fill="auto"/>
            <w:vAlign w:val="bottom"/>
          </w:tcPr>
          <w:p w14:paraId="27E07ADC" w14:textId="77777777" w:rsidR="00A85061" w:rsidRDefault="00A85061">
            <w:pPr>
              <w:rPr>
                <w:rFonts w:ascii="宋体"/>
                <w:vanish/>
              </w:rPr>
            </w:pPr>
          </w:p>
        </w:tc>
        <w:tc>
          <w:tcPr>
            <w:tcW w:w="0" w:type="auto"/>
            <w:gridSpan w:val="3"/>
            <w:shd w:val="clear" w:color="auto" w:fill="auto"/>
            <w:vAlign w:val="bottom"/>
          </w:tcPr>
          <w:p w14:paraId="27E07ADD" w14:textId="77777777" w:rsidR="00A85061" w:rsidRDefault="00A85061">
            <w:pPr>
              <w:rPr>
                <w:rFonts w:ascii="宋体"/>
                <w:vanish/>
              </w:rPr>
            </w:pPr>
          </w:p>
        </w:tc>
        <w:tc>
          <w:tcPr>
            <w:tcW w:w="0" w:type="auto"/>
            <w:gridSpan w:val="3"/>
            <w:shd w:val="clear" w:color="auto" w:fill="auto"/>
            <w:vAlign w:val="bottom"/>
          </w:tcPr>
          <w:p w14:paraId="27E07ADE" w14:textId="77777777" w:rsidR="00A85061" w:rsidRDefault="00A85061">
            <w:pPr>
              <w:rPr>
                <w:rFonts w:ascii="宋体"/>
                <w:vanish/>
              </w:rPr>
            </w:pPr>
          </w:p>
        </w:tc>
      </w:tr>
      <w:tr w:rsidR="00A85061" w14:paraId="27E07AEE" w14:textId="77777777">
        <w:tc>
          <w:tcPr>
            <w:tcW w:w="0" w:type="auto"/>
            <w:gridSpan w:val="3"/>
            <w:shd w:val="clear" w:color="auto" w:fill="FFFFFF"/>
            <w:tcMar>
              <w:top w:w="0" w:type="dxa"/>
              <w:left w:w="20" w:type="dxa"/>
              <w:bottom w:w="0" w:type="dxa"/>
              <w:right w:w="20" w:type="dxa"/>
            </w:tcMar>
            <w:vAlign w:val="bottom"/>
          </w:tcPr>
          <w:p w14:paraId="27E07AE0"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AE1" w14:textId="77777777" w:rsidR="00A85061" w:rsidRDefault="00F04891">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27E07AE2" w14:textId="77777777" w:rsidR="00A85061" w:rsidRDefault="00A85061">
            <w:pPr>
              <w:rPr>
                <w:rFonts w:ascii="宋体"/>
              </w:rPr>
            </w:pPr>
          </w:p>
        </w:tc>
        <w:tc>
          <w:tcPr>
            <w:tcW w:w="0" w:type="auto"/>
            <w:shd w:val="clear" w:color="auto" w:fill="auto"/>
            <w:vAlign w:val="bottom"/>
          </w:tcPr>
          <w:p w14:paraId="27E07AE3" w14:textId="77777777" w:rsidR="00A85061" w:rsidRDefault="00A85061">
            <w:pPr>
              <w:rPr>
                <w:rFonts w:ascii="宋体"/>
              </w:rPr>
            </w:pPr>
          </w:p>
        </w:tc>
        <w:tc>
          <w:tcPr>
            <w:tcW w:w="0" w:type="auto"/>
            <w:shd w:val="clear" w:color="auto" w:fill="auto"/>
            <w:vAlign w:val="bottom"/>
          </w:tcPr>
          <w:p w14:paraId="27E07AE4" w14:textId="77777777" w:rsidR="00A85061" w:rsidRDefault="00A85061">
            <w:pPr>
              <w:rPr>
                <w:rFonts w:ascii="宋体"/>
              </w:rPr>
            </w:pPr>
          </w:p>
        </w:tc>
        <w:tc>
          <w:tcPr>
            <w:tcW w:w="0" w:type="auto"/>
            <w:shd w:val="clear" w:color="auto" w:fill="auto"/>
            <w:vAlign w:val="bottom"/>
          </w:tcPr>
          <w:p w14:paraId="27E07AE5" w14:textId="77777777" w:rsidR="00A85061" w:rsidRDefault="00A85061">
            <w:pPr>
              <w:rPr>
                <w:rFonts w:ascii="宋体"/>
              </w:rPr>
            </w:pPr>
          </w:p>
        </w:tc>
        <w:tc>
          <w:tcPr>
            <w:tcW w:w="0" w:type="auto"/>
            <w:shd w:val="clear" w:color="auto" w:fill="auto"/>
            <w:vAlign w:val="bottom"/>
          </w:tcPr>
          <w:p w14:paraId="27E07AE6" w14:textId="77777777" w:rsidR="00A85061" w:rsidRDefault="00A85061">
            <w:pPr>
              <w:rPr>
                <w:rFonts w:ascii="宋体"/>
              </w:rPr>
            </w:pPr>
          </w:p>
        </w:tc>
        <w:tc>
          <w:tcPr>
            <w:tcW w:w="0" w:type="auto"/>
            <w:shd w:val="clear" w:color="auto" w:fill="auto"/>
            <w:vAlign w:val="bottom"/>
          </w:tcPr>
          <w:p w14:paraId="27E07AE7" w14:textId="77777777" w:rsidR="00A85061" w:rsidRDefault="00A85061">
            <w:pPr>
              <w:rPr>
                <w:rFonts w:ascii="宋体"/>
              </w:rPr>
            </w:pPr>
          </w:p>
        </w:tc>
        <w:tc>
          <w:tcPr>
            <w:tcW w:w="0" w:type="auto"/>
            <w:shd w:val="clear" w:color="auto" w:fill="auto"/>
            <w:vAlign w:val="bottom"/>
          </w:tcPr>
          <w:p w14:paraId="27E07AE8" w14:textId="77777777" w:rsidR="00A85061" w:rsidRDefault="00A85061">
            <w:pPr>
              <w:rPr>
                <w:rFonts w:ascii="宋体"/>
              </w:rPr>
            </w:pPr>
          </w:p>
        </w:tc>
        <w:tc>
          <w:tcPr>
            <w:tcW w:w="0" w:type="auto"/>
            <w:shd w:val="clear" w:color="auto" w:fill="auto"/>
            <w:vAlign w:val="bottom"/>
          </w:tcPr>
          <w:p w14:paraId="27E07AE9" w14:textId="77777777" w:rsidR="00A85061" w:rsidRDefault="00A85061">
            <w:pPr>
              <w:rPr>
                <w:rFonts w:ascii="宋体"/>
              </w:rPr>
            </w:pPr>
          </w:p>
        </w:tc>
        <w:tc>
          <w:tcPr>
            <w:tcW w:w="0" w:type="auto"/>
            <w:shd w:val="clear" w:color="auto" w:fill="auto"/>
            <w:vAlign w:val="bottom"/>
          </w:tcPr>
          <w:p w14:paraId="27E07AEA" w14:textId="77777777" w:rsidR="00A85061" w:rsidRDefault="00A85061">
            <w:pPr>
              <w:rPr>
                <w:rFonts w:ascii="宋体"/>
              </w:rPr>
            </w:pPr>
          </w:p>
        </w:tc>
        <w:tc>
          <w:tcPr>
            <w:tcW w:w="0" w:type="auto"/>
            <w:shd w:val="clear" w:color="auto" w:fill="auto"/>
            <w:vAlign w:val="bottom"/>
          </w:tcPr>
          <w:p w14:paraId="27E07AEB" w14:textId="77777777" w:rsidR="00A85061" w:rsidRDefault="00A85061">
            <w:pPr>
              <w:rPr>
                <w:rFonts w:ascii="宋体"/>
              </w:rPr>
            </w:pPr>
          </w:p>
        </w:tc>
        <w:tc>
          <w:tcPr>
            <w:tcW w:w="0" w:type="auto"/>
            <w:shd w:val="clear" w:color="auto" w:fill="auto"/>
            <w:vAlign w:val="bottom"/>
          </w:tcPr>
          <w:p w14:paraId="27E07AEC" w14:textId="77777777" w:rsidR="00A85061" w:rsidRDefault="00A85061">
            <w:pPr>
              <w:rPr>
                <w:rFonts w:ascii="宋体"/>
              </w:rPr>
            </w:pPr>
          </w:p>
        </w:tc>
        <w:tc>
          <w:tcPr>
            <w:tcW w:w="0" w:type="auto"/>
            <w:shd w:val="clear" w:color="auto" w:fill="auto"/>
            <w:vAlign w:val="bottom"/>
          </w:tcPr>
          <w:p w14:paraId="27E07AED" w14:textId="77777777" w:rsidR="00A85061" w:rsidRDefault="00A85061">
            <w:pPr>
              <w:rPr>
                <w:rFonts w:ascii="宋体"/>
              </w:rPr>
            </w:pPr>
          </w:p>
        </w:tc>
      </w:tr>
      <w:tr w:rsidR="00A85061" w14:paraId="27E07AF7" w14:textId="77777777">
        <w:tc>
          <w:tcPr>
            <w:tcW w:w="0" w:type="auto"/>
            <w:gridSpan w:val="3"/>
            <w:shd w:val="clear" w:color="auto" w:fill="E2EFD9"/>
            <w:tcMar>
              <w:top w:w="40" w:type="dxa"/>
              <w:left w:w="20" w:type="dxa"/>
              <w:bottom w:w="40" w:type="dxa"/>
              <w:right w:w="20" w:type="dxa"/>
            </w:tcMar>
            <w:vAlign w:val="bottom"/>
          </w:tcPr>
          <w:p w14:paraId="27E07AEF" w14:textId="77777777" w:rsidR="00A85061" w:rsidRDefault="00F04891">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27E07AF0"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AF1" w14:textId="77777777" w:rsidR="00A85061" w:rsidRDefault="00F04891">
            <w:pPr>
              <w:jc w:val="right"/>
              <w:textAlignment w:val="bottom"/>
            </w:pPr>
            <w:r>
              <w:rPr>
                <w:rFonts w:ascii="sans-serif" w:eastAsia="sans-serif" w:hAnsi="sans-serif" w:cs="sans-serif"/>
                <w:color w:val="000000"/>
                <w:sz w:val="20"/>
                <w:szCs w:val="20"/>
              </w:rPr>
              <w:t>3,509 </w:t>
            </w:r>
          </w:p>
        </w:tc>
        <w:tc>
          <w:tcPr>
            <w:tcW w:w="0" w:type="auto"/>
            <w:shd w:val="clear" w:color="auto" w:fill="E2EFD9"/>
            <w:tcMar>
              <w:top w:w="40" w:type="dxa"/>
              <w:left w:w="0" w:type="dxa"/>
              <w:bottom w:w="40" w:type="dxa"/>
              <w:right w:w="20" w:type="dxa"/>
            </w:tcMar>
            <w:vAlign w:val="bottom"/>
          </w:tcPr>
          <w:p w14:paraId="27E07AF2" w14:textId="77777777" w:rsidR="00A85061" w:rsidRDefault="00A85061">
            <w:pPr>
              <w:jc w:val="right"/>
              <w:rPr>
                <w:rFonts w:ascii="宋体"/>
              </w:rPr>
            </w:pPr>
          </w:p>
        </w:tc>
        <w:tc>
          <w:tcPr>
            <w:tcW w:w="0" w:type="auto"/>
            <w:gridSpan w:val="3"/>
            <w:shd w:val="clear" w:color="auto" w:fill="auto"/>
            <w:vAlign w:val="bottom"/>
          </w:tcPr>
          <w:p w14:paraId="27E07AF3" w14:textId="77777777" w:rsidR="00A85061" w:rsidRDefault="00A85061">
            <w:pPr>
              <w:rPr>
                <w:rFonts w:ascii="宋体"/>
                <w:vanish/>
              </w:rPr>
            </w:pPr>
          </w:p>
        </w:tc>
        <w:tc>
          <w:tcPr>
            <w:tcW w:w="0" w:type="auto"/>
            <w:gridSpan w:val="3"/>
            <w:shd w:val="clear" w:color="auto" w:fill="auto"/>
            <w:vAlign w:val="bottom"/>
          </w:tcPr>
          <w:p w14:paraId="27E07AF4" w14:textId="77777777" w:rsidR="00A85061" w:rsidRDefault="00A85061">
            <w:pPr>
              <w:rPr>
                <w:rFonts w:ascii="宋体"/>
                <w:vanish/>
              </w:rPr>
            </w:pPr>
          </w:p>
        </w:tc>
        <w:tc>
          <w:tcPr>
            <w:tcW w:w="0" w:type="auto"/>
            <w:gridSpan w:val="3"/>
            <w:shd w:val="clear" w:color="auto" w:fill="auto"/>
            <w:vAlign w:val="bottom"/>
          </w:tcPr>
          <w:p w14:paraId="27E07AF5" w14:textId="77777777" w:rsidR="00A85061" w:rsidRDefault="00A85061">
            <w:pPr>
              <w:rPr>
                <w:rFonts w:ascii="宋体"/>
                <w:vanish/>
              </w:rPr>
            </w:pPr>
          </w:p>
        </w:tc>
        <w:tc>
          <w:tcPr>
            <w:tcW w:w="0" w:type="auto"/>
            <w:gridSpan w:val="3"/>
            <w:shd w:val="clear" w:color="auto" w:fill="auto"/>
            <w:vAlign w:val="bottom"/>
          </w:tcPr>
          <w:p w14:paraId="27E07AF6" w14:textId="77777777" w:rsidR="00A85061" w:rsidRDefault="00A85061">
            <w:pPr>
              <w:rPr>
                <w:rFonts w:ascii="宋体"/>
                <w:vanish/>
              </w:rPr>
            </w:pPr>
          </w:p>
        </w:tc>
      </w:tr>
      <w:tr w:rsidR="00A85061" w14:paraId="27E07B00" w14:textId="77777777">
        <w:tc>
          <w:tcPr>
            <w:tcW w:w="0" w:type="auto"/>
            <w:gridSpan w:val="3"/>
            <w:shd w:val="clear" w:color="auto" w:fill="FFFFFF"/>
            <w:tcMar>
              <w:top w:w="40" w:type="dxa"/>
              <w:left w:w="20" w:type="dxa"/>
              <w:bottom w:w="40" w:type="dxa"/>
              <w:right w:w="20" w:type="dxa"/>
            </w:tcMar>
            <w:vAlign w:val="bottom"/>
          </w:tcPr>
          <w:p w14:paraId="27E07AF8" w14:textId="77777777" w:rsidR="00A85061" w:rsidRDefault="00F04891">
            <w:pPr>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27E07AF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AFA" w14:textId="77777777" w:rsidR="00A85061" w:rsidRDefault="00F04891">
            <w:pPr>
              <w:jc w:val="right"/>
              <w:textAlignment w:val="bottom"/>
            </w:pPr>
            <w:r>
              <w:rPr>
                <w:rFonts w:ascii="sans-serif" w:eastAsia="sans-serif" w:hAnsi="sans-serif" w:cs="sans-serif"/>
                <w:color w:val="000000"/>
                <w:sz w:val="20"/>
                <w:szCs w:val="20"/>
              </w:rPr>
              <w:t>918 </w:t>
            </w:r>
          </w:p>
        </w:tc>
        <w:tc>
          <w:tcPr>
            <w:tcW w:w="0" w:type="auto"/>
            <w:shd w:val="clear" w:color="auto" w:fill="FFFFFF"/>
            <w:tcMar>
              <w:top w:w="40" w:type="dxa"/>
              <w:left w:w="0" w:type="dxa"/>
              <w:bottom w:w="40" w:type="dxa"/>
              <w:right w:w="20" w:type="dxa"/>
            </w:tcMar>
            <w:vAlign w:val="bottom"/>
          </w:tcPr>
          <w:p w14:paraId="27E07AFB" w14:textId="77777777" w:rsidR="00A85061" w:rsidRDefault="00A85061">
            <w:pPr>
              <w:jc w:val="right"/>
              <w:rPr>
                <w:rFonts w:ascii="宋体"/>
              </w:rPr>
            </w:pPr>
          </w:p>
        </w:tc>
        <w:tc>
          <w:tcPr>
            <w:tcW w:w="0" w:type="auto"/>
            <w:gridSpan w:val="3"/>
            <w:shd w:val="clear" w:color="auto" w:fill="auto"/>
            <w:vAlign w:val="bottom"/>
          </w:tcPr>
          <w:p w14:paraId="27E07AFC" w14:textId="77777777" w:rsidR="00A85061" w:rsidRDefault="00A85061">
            <w:pPr>
              <w:rPr>
                <w:rFonts w:ascii="宋体"/>
                <w:vanish/>
              </w:rPr>
            </w:pPr>
          </w:p>
        </w:tc>
        <w:tc>
          <w:tcPr>
            <w:tcW w:w="0" w:type="auto"/>
            <w:gridSpan w:val="3"/>
            <w:shd w:val="clear" w:color="auto" w:fill="auto"/>
            <w:vAlign w:val="bottom"/>
          </w:tcPr>
          <w:p w14:paraId="27E07AFD" w14:textId="77777777" w:rsidR="00A85061" w:rsidRDefault="00A85061">
            <w:pPr>
              <w:rPr>
                <w:rFonts w:ascii="宋体"/>
                <w:vanish/>
              </w:rPr>
            </w:pPr>
          </w:p>
        </w:tc>
        <w:tc>
          <w:tcPr>
            <w:tcW w:w="0" w:type="auto"/>
            <w:gridSpan w:val="3"/>
            <w:shd w:val="clear" w:color="auto" w:fill="auto"/>
            <w:vAlign w:val="bottom"/>
          </w:tcPr>
          <w:p w14:paraId="27E07AFE" w14:textId="77777777" w:rsidR="00A85061" w:rsidRDefault="00A85061">
            <w:pPr>
              <w:rPr>
                <w:rFonts w:ascii="宋体"/>
                <w:vanish/>
              </w:rPr>
            </w:pPr>
          </w:p>
        </w:tc>
        <w:tc>
          <w:tcPr>
            <w:tcW w:w="0" w:type="auto"/>
            <w:gridSpan w:val="3"/>
            <w:shd w:val="clear" w:color="auto" w:fill="auto"/>
            <w:vAlign w:val="bottom"/>
          </w:tcPr>
          <w:p w14:paraId="27E07AFF" w14:textId="77777777" w:rsidR="00A85061" w:rsidRDefault="00A85061">
            <w:pPr>
              <w:rPr>
                <w:rFonts w:ascii="宋体"/>
                <w:vanish/>
              </w:rPr>
            </w:pPr>
          </w:p>
        </w:tc>
      </w:tr>
    </w:tbl>
    <w:p w14:paraId="27E07B01" w14:textId="77777777" w:rsidR="00A85061" w:rsidRDefault="00F04891">
      <w:pPr>
        <w:spacing w:after="180"/>
        <w:jc w:val="both"/>
      </w:pPr>
      <w:r>
        <w:rPr>
          <w:rFonts w:ascii="sans-serif" w:eastAsia="sans-serif" w:hAnsi="sans-serif" w:cs="sans-serif"/>
          <w:color w:val="000000"/>
          <w:sz w:val="20"/>
          <w:szCs w:val="20"/>
        </w:rPr>
        <w:t xml:space="preserve">The unaudited pro forma information includes adjustments related to amortization of acquired </w:t>
      </w:r>
      <w:r>
        <w:rPr>
          <w:rFonts w:ascii="sans-serif" w:eastAsia="sans-serif" w:hAnsi="sans-serif" w:cs="sans-serif"/>
          <w:color w:val="000000"/>
          <w:sz w:val="20"/>
          <w:szCs w:val="20"/>
        </w:rPr>
        <w:t>intangible assets, adjustments to stock-based compensation expense, fair value of acquired inventory, and transaction costs. The unaudited pro forma information presented above is for informational purposes only and is not necessarily indicative of our con</w:t>
      </w:r>
      <w:r>
        <w:rPr>
          <w:rFonts w:ascii="sans-serif" w:eastAsia="sans-serif" w:hAnsi="sans-serif" w:cs="sans-serif"/>
          <w:color w:val="000000"/>
          <w:sz w:val="20"/>
          <w:szCs w:val="20"/>
        </w:rPr>
        <w:t>solidated results of operations of the combined business had the acquisition occurred at the beginning of fiscal year 2020 or of the results of our future operations of the combined businesses.</w:t>
      </w:r>
    </w:p>
    <w:p w14:paraId="27E07B02" w14:textId="77777777" w:rsidR="00A85061" w:rsidRDefault="00F04891">
      <w:pPr>
        <w:spacing w:before="240" w:after="120"/>
        <w:jc w:val="both"/>
      </w:pPr>
      <w:r>
        <w:rPr>
          <w:rFonts w:ascii="sans-serif" w:eastAsia="sans-serif" w:hAnsi="sans-serif" w:cs="sans-serif"/>
          <w:b/>
          <w:bCs/>
          <w:color w:val="76B900"/>
          <w:sz w:val="22"/>
          <w:szCs w:val="22"/>
        </w:rPr>
        <w:t>Note 3 - Leases</w:t>
      </w:r>
    </w:p>
    <w:p w14:paraId="27E07B03" w14:textId="77777777" w:rsidR="00A85061" w:rsidRDefault="00F04891">
      <w:pPr>
        <w:spacing w:before="240" w:after="60"/>
        <w:jc w:val="both"/>
      </w:pPr>
      <w:r>
        <w:rPr>
          <w:rFonts w:ascii="sans-serif" w:eastAsia="sans-serif" w:hAnsi="sans-serif" w:cs="sans-serif"/>
          <w:color w:val="000000"/>
          <w:sz w:val="20"/>
          <w:szCs w:val="20"/>
        </w:rPr>
        <w:t xml:space="preserve">Our lease obligations primarily consist of </w:t>
      </w:r>
      <w:r>
        <w:rPr>
          <w:rFonts w:ascii="sans-serif" w:eastAsia="sans-serif" w:hAnsi="sans-serif" w:cs="sans-serif"/>
          <w:color w:val="000000"/>
          <w:sz w:val="20"/>
          <w:szCs w:val="20"/>
        </w:rPr>
        <w:t>operating leases for our headquarters complex, domestic and international office facilities, and data center space, with lease periods expiring between fiscal years 2022 and 2035.</w:t>
      </w:r>
    </w:p>
    <w:p w14:paraId="27E07B04" w14:textId="77777777" w:rsidR="00A85061" w:rsidRDefault="00F04891">
      <w:pPr>
        <w:spacing w:after="180"/>
        <w:jc w:val="center"/>
      </w:pPr>
      <w:r>
        <w:rPr>
          <w:rFonts w:ascii="sans-serif" w:eastAsia="sans-serif" w:hAnsi="sans-serif" w:cs="sans-serif"/>
          <w:color w:val="000000"/>
          <w:sz w:val="20"/>
          <w:szCs w:val="20"/>
        </w:rPr>
        <w:t>9</w:t>
      </w:r>
    </w:p>
    <w:p w14:paraId="27E07B05" w14:textId="77777777" w:rsidR="00A85061" w:rsidRDefault="00F04891">
      <w:r>
        <w:pict w14:anchorId="27E08EFA">
          <v:rect id="_x0000_i1033" style="width:415.3pt;height:1.5pt" o:hralign="center" o:hrstd="t" o:hr="t" fillcolor="#a0a0a0" stroked="f"/>
        </w:pict>
      </w:r>
    </w:p>
    <w:p w14:paraId="27E07B06" w14:textId="77777777" w:rsidR="00A85061" w:rsidRDefault="00F04891">
      <w:pPr>
        <w:jc w:val="center"/>
      </w:pPr>
      <w:r>
        <w:rPr>
          <w:rFonts w:ascii="sans-serif" w:eastAsia="sans-serif" w:hAnsi="sans-serif" w:cs="sans-serif"/>
          <w:b/>
          <w:bCs/>
          <w:color w:val="000000"/>
          <w:sz w:val="20"/>
          <w:szCs w:val="20"/>
        </w:rPr>
        <w:t>NVIDIA CORPORATION AND SUBSIDIARIES</w:t>
      </w:r>
    </w:p>
    <w:p w14:paraId="27E07B07" w14:textId="77777777" w:rsidR="00A85061" w:rsidRDefault="00F04891">
      <w:pPr>
        <w:jc w:val="center"/>
      </w:pPr>
      <w:r>
        <w:rPr>
          <w:rFonts w:ascii="sans-serif" w:eastAsia="sans-serif" w:hAnsi="sans-serif" w:cs="sans-serif"/>
          <w:b/>
          <w:bCs/>
          <w:color w:val="000000"/>
          <w:sz w:val="20"/>
          <w:szCs w:val="20"/>
        </w:rPr>
        <w:t xml:space="preserve">NOTES TO CONDENSED </w:t>
      </w:r>
      <w:r>
        <w:rPr>
          <w:rFonts w:ascii="sans-serif" w:eastAsia="sans-serif" w:hAnsi="sans-serif" w:cs="sans-serif"/>
          <w:b/>
          <w:bCs/>
          <w:color w:val="000000"/>
          <w:sz w:val="20"/>
          <w:szCs w:val="20"/>
        </w:rPr>
        <w:t>CONSOLIDATED FINANCIAL STATEMENTS (Continued)</w:t>
      </w:r>
    </w:p>
    <w:p w14:paraId="27E07B08" w14:textId="77777777" w:rsidR="00A85061" w:rsidRDefault="00F04891">
      <w:pPr>
        <w:jc w:val="center"/>
      </w:pPr>
      <w:r>
        <w:rPr>
          <w:rFonts w:ascii="sans-serif" w:eastAsia="sans-serif" w:hAnsi="sans-serif" w:cs="sans-serif"/>
          <w:b/>
          <w:bCs/>
          <w:color w:val="000000"/>
          <w:sz w:val="20"/>
          <w:szCs w:val="20"/>
        </w:rPr>
        <w:t>(Unaudited)</w:t>
      </w:r>
    </w:p>
    <w:p w14:paraId="27E07B09" w14:textId="77777777" w:rsidR="00A85061" w:rsidRDefault="00A85061">
      <w:pPr>
        <w:spacing w:after="180"/>
        <w:jc w:val="both"/>
      </w:pPr>
    </w:p>
    <w:p w14:paraId="27E07B0A" w14:textId="77777777" w:rsidR="00A85061" w:rsidRDefault="00A85061">
      <w:pPr>
        <w:spacing w:after="180"/>
        <w:jc w:val="both"/>
      </w:pPr>
    </w:p>
    <w:p w14:paraId="27E07B0B" w14:textId="77777777" w:rsidR="00A85061" w:rsidRDefault="00F04891">
      <w:pPr>
        <w:spacing w:before="180" w:after="360"/>
        <w:jc w:val="both"/>
      </w:pPr>
      <w:r>
        <w:rPr>
          <w:rFonts w:ascii="sans-serif" w:eastAsia="sans-serif" w:hAnsi="sans-serif" w:cs="sans-serif"/>
          <w:color w:val="000000"/>
          <w:sz w:val="20"/>
          <w:szCs w:val="20"/>
        </w:rPr>
        <w:t xml:space="preserve">Future minimum lease payments under our non-cancelable operating leases as of May 2, 2021,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A85061" w14:paraId="27E07B12" w14:textId="77777777">
        <w:tc>
          <w:tcPr>
            <w:tcW w:w="50" w:type="pct"/>
            <w:shd w:val="clear" w:color="auto" w:fill="auto"/>
            <w:vAlign w:val="bottom"/>
          </w:tcPr>
          <w:p w14:paraId="27E07B0C" w14:textId="77777777" w:rsidR="00A85061" w:rsidRDefault="00A85061">
            <w:pPr>
              <w:rPr>
                <w:rFonts w:ascii="宋体"/>
              </w:rPr>
            </w:pPr>
          </w:p>
        </w:tc>
        <w:tc>
          <w:tcPr>
            <w:tcW w:w="4009" w:type="pct"/>
            <w:shd w:val="clear" w:color="auto" w:fill="auto"/>
            <w:vAlign w:val="bottom"/>
          </w:tcPr>
          <w:p w14:paraId="27E07B0D" w14:textId="77777777" w:rsidR="00A85061" w:rsidRDefault="00A85061">
            <w:pPr>
              <w:rPr>
                <w:rFonts w:ascii="宋体"/>
              </w:rPr>
            </w:pPr>
          </w:p>
        </w:tc>
        <w:tc>
          <w:tcPr>
            <w:tcW w:w="5" w:type="pct"/>
            <w:shd w:val="clear" w:color="auto" w:fill="auto"/>
            <w:vAlign w:val="bottom"/>
          </w:tcPr>
          <w:p w14:paraId="27E07B0E" w14:textId="77777777" w:rsidR="00A85061" w:rsidRDefault="00A85061">
            <w:pPr>
              <w:rPr>
                <w:rFonts w:ascii="宋体"/>
              </w:rPr>
            </w:pPr>
          </w:p>
        </w:tc>
        <w:tc>
          <w:tcPr>
            <w:tcW w:w="50" w:type="pct"/>
            <w:shd w:val="clear" w:color="auto" w:fill="auto"/>
            <w:vAlign w:val="bottom"/>
          </w:tcPr>
          <w:p w14:paraId="27E07B0F" w14:textId="77777777" w:rsidR="00A85061" w:rsidRDefault="00A85061">
            <w:pPr>
              <w:rPr>
                <w:rFonts w:ascii="宋体"/>
              </w:rPr>
            </w:pPr>
          </w:p>
        </w:tc>
        <w:tc>
          <w:tcPr>
            <w:tcW w:w="880" w:type="pct"/>
            <w:shd w:val="clear" w:color="auto" w:fill="auto"/>
            <w:vAlign w:val="bottom"/>
          </w:tcPr>
          <w:p w14:paraId="27E07B10" w14:textId="77777777" w:rsidR="00A85061" w:rsidRDefault="00A85061">
            <w:pPr>
              <w:rPr>
                <w:rFonts w:ascii="宋体"/>
              </w:rPr>
            </w:pPr>
          </w:p>
        </w:tc>
        <w:tc>
          <w:tcPr>
            <w:tcW w:w="5" w:type="pct"/>
            <w:shd w:val="clear" w:color="auto" w:fill="auto"/>
            <w:vAlign w:val="bottom"/>
          </w:tcPr>
          <w:p w14:paraId="27E07B11" w14:textId="77777777" w:rsidR="00A85061" w:rsidRDefault="00A85061">
            <w:pPr>
              <w:rPr>
                <w:rFonts w:ascii="宋体"/>
              </w:rPr>
            </w:pPr>
          </w:p>
        </w:tc>
      </w:tr>
      <w:tr w:rsidR="00A85061" w14:paraId="27E07B15" w14:textId="77777777">
        <w:tc>
          <w:tcPr>
            <w:tcW w:w="0" w:type="auto"/>
            <w:gridSpan w:val="3"/>
            <w:shd w:val="clear" w:color="auto" w:fill="auto"/>
            <w:tcMar>
              <w:top w:w="0" w:type="dxa"/>
              <w:left w:w="20" w:type="dxa"/>
              <w:bottom w:w="0" w:type="dxa"/>
              <w:right w:w="20" w:type="dxa"/>
            </w:tcMar>
            <w:vAlign w:val="bottom"/>
          </w:tcPr>
          <w:p w14:paraId="27E07B13"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7B14" w14:textId="77777777" w:rsidR="00A85061" w:rsidRDefault="00F04891">
            <w:pPr>
              <w:jc w:val="center"/>
              <w:textAlignment w:val="bottom"/>
            </w:pPr>
            <w:r>
              <w:rPr>
                <w:rFonts w:ascii="sans-serif" w:eastAsia="sans-serif" w:hAnsi="sans-serif" w:cs="sans-serif"/>
                <w:b/>
                <w:bCs/>
                <w:color w:val="000000"/>
                <w:sz w:val="20"/>
                <w:szCs w:val="20"/>
              </w:rPr>
              <w:t>Operating Lease Obligations</w:t>
            </w:r>
          </w:p>
        </w:tc>
      </w:tr>
      <w:tr w:rsidR="00A85061" w14:paraId="27E07B18" w14:textId="77777777">
        <w:tc>
          <w:tcPr>
            <w:tcW w:w="0" w:type="auto"/>
            <w:gridSpan w:val="3"/>
            <w:shd w:val="clear" w:color="auto" w:fill="auto"/>
            <w:tcMar>
              <w:top w:w="40" w:type="dxa"/>
              <w:left w:w="20" w:type="dxa"/>
              <w:bottom w:w="40" w:type="dxa"/>
              <w:right w:w="20" w:type="dxa"/>
            </w:tcMar>
            <w:vAlign w:val="bottom"/>
          </w:tcPr>
          <w:p w14:paraId="27E07B16"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B17"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B1B" w14:textId="77777777">
        <w:tc>
          <w:tcPr>
            <w:tcW w:w="0" w:type="auto"/>
            <w:gridSpan w:val="3"/>
            <w:shd w:val="clear" w:color="auto" w:fill="E2EFD9"/>
            <w:tcMar>
              <w:top w:w="40" w:type="dxa"/>
              <w:left w:w="20" w:type="dxa"/>
              <w:bottom w:w="40" w:type="dxa"/>
              <w:right w:w="20" w:type="dxa"/>
            </w:tcMar>
            <w:vAlign w:val="bottom"/>
          </w:tcPr>
          <w:p w14:paraId="27E07B19" w14:textId="77777777" w:rsidR="00A85061" w:rsidRDefault="00F04891">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27E07B1A" w14:textId="77777777" w:rsidR="00A85061" w:rsidRDefault="00F04891">
            <w:pPr>
              <w:textAlignment w:val="bottom"/>
            </w:pPr>
            <w:r>
              <w:rPr>
                <w:rFonts w:ascii="sans-serif" w:eastAsia="sans-serif" w:hAnsi="sans-serif" w:cs="sans-serif"/>
                <w:color w:val="000000"/>
                <w:sz w:val="20"/>
                <w:szCs w:val="20"/>
              </w:rPr>
              <w:t> </w:t>
            </w:r>
          </w:p>
        </w:tc>
      </w:tr>
      <w:tr w:rsidR="00A85061" w14:paraId="27E07B20" w14:textId="77777777">
        <w:tc>
          <w:tcPr>
            <w:tcW w:w="0" w:type="auto"/>
            <w:gridSpan w:val="3"/>
            <w:shd w:val="clear" w:color="auto" w:fill="FFFFFF"/>
            <w:tcMar>
              <w:top w:w="40" w:type="dxa"/>
              <w:left w:w="20" w:type="dxa"/>
              <w:bottom w:w="40" w:type="dxa"/>
              <w:right w:w="20" w:type="dxa"/>
            </w:tcMar>
            <w:vAlign w:val="bottom"/>
          </w:tcPr>
          <w:p w14:paraId="27E07B1C" w14:textId="77777777" w:rsidR="00A85061" w:rsidRDefault="00F04891">
            <w:pPr>
              <w:textAlignment w:val="bottom"/>
            </w:pPr>
            <w:r>
              <w:rPr>
                <w:rFonts w:ascii="sans-serif" w:eastAsia="sans-serif" w:hAnsi="sans-serif" w:cs="sans-serif"/>
                <w:color w:val="000000"/>
                <w:sz w:val="20"/>
                <w:szCs w:val="20"/>
              </w:rPr>
              <w:t xml:space="preserve">2022 </w:t>
            </w:r>
            <w:r>
              <w:rPr>
                <w:rFonts w:ascii="sans-serif" w:eastAsia="sans-serif" w:hAnsi="sans-serif" w:cs="sans-serif"/>
                <w:color w:val="000000"/>
                <w:sz w:val="20"/>
                <w:szCs w:val="20"/>
              </w:rPr>
              <w:t>(excluding first quarter of fiscal year 2022)</w:t>
            </w:r>
          </w:p>
        </w:tc>
        <w:tc>
          <w:tcPr>
            <w:tcW w:w="0" w:type="auto"/>
            <w:shd w:val="clear" w:color="auto" w:fill="FFFFFF"/>
            <w:tcMar>
              <w:top w:w="40" w:type="dxa"/>
              <w:left w:w="20" w:type="dxa"/>
              <w:bottom w:w="40" w:type="dxa"/>
              <w:right w:w="0" w:type="dxa"/>
            </w:tcMar>
            <w:vAlign w:val="bottom"/>
          </w:tcPr>
          <w:p w14:paraId="27E07B1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B1E" w14:textId="77777777" w:rsidR="00A85061" w:rsidRDefault="00F04891">
            <w:pPr>
              <w:jc w:val="right"/>
              <w:textAlignment w:val="bottom"/>
            </w:pPr>
            <w:r>
              <w:rPr>
                <w:rFonts w:ascii="sans-serif" w:eastAsia="sans-serif" w:hAnsi="sans-serif" w:cs="sans-serif"/>
                <w:color w:val="000000"/>
                <w:sz w:val="20"/>
                <w:szCs w:val="20"/>
              </w:rPr>
              <w:t>106 </w:t>
            </w:r>
          </w:p>
        </w:tc>
        <w:tc>
          <w:tcPr>
            <w:tcW w:w="0" w:type="auto"/>
            <w:shd w:val="clear" w:color="auto" w:fill="FFFFFF"/>
            <w:tcMar>
              <w:top w:w="40" w:type="dxa"/>
              <w:left w:w="0" w:type="dxa"/>
              <w:bottom w:w="40" w:type="dxa"/>
              <w:right w:w="20" w:type="dxa"/>
            </w:tcMar>
            <w:vAlign w:val="bottom"/>
          </w:tcPr>
          <w:p w14:paraId="27E07B1F" w14:textId="77777777" w:rsidR="00A85061" w:rsidRDefault="00A85061">
            <w:pPr>
              <w:jc w:val="right"/>
              <w:rPr>
                <w:rFonts w:ascii="宋体"/>
              </w:rPr>
            </w:pPr>
          </w:p>
        </w:tc>
      </w:tr>
      <w:tr w:rsidR="00A85061" w14:paraId="27E07B24" w14:textId="77777777">
        <w:tc>
          <w:tcPr>
            <w:tcW w:w="0" w:type="auto"/>
            <w:gridSpan w:val="3"/>
            <w:shd w:val="clear" w:color="auto" w:fill="E2EFD9"/>
            <w:tcMar>
              <w:top w:w="40" w:type="dxa"/>
              <w:left w:w="20" w:type="dxa"/>
              <w:bottom w:w="40" w:type="dxa"/>
              <w:right w:w="20" w:type="dxa"/>
            </w:tcMar>
            <w:vAlign w:val="bottom"/>
          </w:tcPr>
          <w:p w14:paraId="27E07B21" w14:textId="77777777" w:rsidR="00A85061" w:rsidRDefault="00F04891">
            <w:pPr>
              <w:textAlignment w:val="bottom"/>
            </w:pPr>
            <w:r>
              <w:rPr>
                <w:rFonts w:ascii="sans-serif" w:eastAsia="sans-serif" w:hAnsi="sans-serif" w:cs="sans-serif"/>
                <w:color w:val="000000"/>
                <w:sz w:val="20"/>
                <w:szCs w:val="20"/>
              </w:rPr>
              <w:t>2023</w:t>
            </w:r>
          </w:p>
        </w:tc>
        <w:tc>
          <w:tcPr>
            <w:tcW w:w="0" w:type="auto"/>
            <w:gridSpan w:val="2"/>
            <w:shd w:val="clear" w:color="auto" w:fill="E2EFD9"/>
            <w:tcMar>
              <w:top w:w="40" w:type="dxa"/>
              <w:left w:w="20" w:type="dxa"/>
              <w:bottom w:w="40" w:type="dxa"/>
              <w:right w:w="0" w:type="dxa"/>
            </w:tcMar>
            <w:vAlign w:val="bottom"/>
          </w:tcPr>
          <w:p w14:paraId="27E07B22" w14:textId="77777777" w:rsidR="00A85061" w:rsidRDefault="00F04891">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27E07B23" w14:textId="77777777" w:rsidR="00A85061" w:rsidRDefault="00A85061">
            <w:pPr>
              <w:jc w:val="right"/>
              <w:rPr>
                <w:rFonts w:ascii="宋体"/>
              </w:rPr>
            </w:pPr>
          </w:p>
        </w:tc>
      </w:tr>
      <w:tr w:rsidR="00A85061" w14:paraId="27E07B28" w14:textId="77777777">
        <w:tc>
          <w:tcPr>
            <w:tcW w:w="0" w:type="auto"/>
            <w:gridSpan w:val="3"/>
            <w:shd w:val="clear" w:color="auto" w:fill="FFFFFF"/>
            <w:tcMar>
              <w:top w:w="40" w:type="dxa"/>
              <w:left w:w="20" w:type="dxa"/>
              <w:bottom w:w="40" w:type="dxa"/>
              <w:right w:w="20" w:type="dxa"/>
            </w:tcMar>
            <w:vAlign w:val="bottom"/>
          </w:tcPr>
          <w:p w14:paraId="27E07B25" w14:textId="77777777" w:rsidR="00A85061" w:rsidRDefault="00F04891">
            <w:pPr>
              <w:textAlignment w:val="bottom"/>
            </w:pPr>
            <w:r>
              <w:rPr>
                <w:rFonts w:ascii="sans-serif" w:eastAsia="sans-serif" w:hAnsi="sans-serif" w:cs="sans-serif"/>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27E07B26" w14:textId="77777777" w:rsidR="00A85061" w:rsidRDefault="00F04891">
            <w:pPr>
              <w:jc w:val="right"/>
              <w:textAlignment w:val="bottom"/>
            </w:pPr>
            <w:r>
              <w:rPr>
                <w:rFonts w:ascii="sans-serif" w:eastAsia="sans-serif" w:hAnsi="sans-serif" w:cs="sans-serif"/>
                <w:color w:val="000000"/>
                <w:sz w:val="20"/>
                <w:szCs w:val="20"/>
              </w:rPr>
              <w:t>123 </w:t>
            </w:r>
          </w:p>
        </w:tc>
        <w:tc>
          <w:tcPr>
            <w:tcW w:w="0" w:type="auto"/>
            <w:shd w:val="clear" w:color="auto" w:fill="FFFFFF"/>
            <w:tcMar>
              <w:top w:w="40" w:type="dxa"/>
              <w:left w:w="0" w:type="dxa"/>
              <w:bottom w:w="40" w:type="dxa"/>
              <w:right w:w="20" w:type="dxa"/>
            </w:tcMar>
            <w:vAlign w:val="bottom"/>
          </w:tcPr>
          <w:p w14:paraId="27E07B27" w14:textId="77777777" w:rsidR="00A85061" w:rsidRDefault="00A85061">
            <w:pPr>
              <w:jc w:val="right"/>
              <w:rPr>
                <w:rFonts w:ascii="宋体"/>
              </w:rPr>
            </w:pPr>
          </w:p>
        </w:tc>
      </w:tr>
      <w:tr w:rsidR="00A85061" w14:paraId="27E07B2C" w14:textId="77777777">
        <w:tc>
          <w:tcPr>
            <w:tcW w:w="0" w:type="auto"/>
            <w:gridSpan w:val="3"/>
            <w:shd w:val="clear" w:color="auto" w:fill="E2EFD9"/>
            <w:tcMar>
              <w:top w:w="40" w:type="dxa"/>
              <w:left w:w="20" w:type="dxa"/>
              <w:bottom w:w="40" w:type="dxa"/>
              <w:right w:w="20" w:type="dxa"/>
            </w:tcMar>
            <w:vAlign w:val="bottom"/>
          </w:tcPr>
          <w:p w14:paraId="27E07B29" w14:textId="77777777" w:rsidR="00A85061" w:rsidRDefault="00F04891">
            <w:pPr>
              <w:textAlignment w:val="bottom"/>
            </w:pPr>
            <w:r>
              <w:rPr>
                <w:rFonts w:ascii="sans-serif" w:eastAsia="sans-serif" w:hAnsi="sans-serif" w:cs="sans-serif"/>
                <w:color w:val="000000"/>
                <w:sz w:val="20"/>
                <w:szCs w:val="20"/>
              </w:rPr>
              <w:t>2025</w:t>
            </w:r>
          </w:p>
        </w:tc>
        <w:tc>
          <w:tcPr>
            <w:tcW w:w="0" w:type="auto"/>
            <w:gridSpan w:val="2"/>
            <w:shd w:val="clear" w:color="auto" w:fill="E2EFD9"/>
            <w:tcMar>
              <w:top w:w="40" w:type="dxa"/>
              <w:left w:w="20" w:type="dxa"/>
              <w:bottom w:w="40" w:type="dxa"/>
              <w:right w:w="0" w:type="dxa"/>
            </w:tcMar>
            <w:vAlign w:val="bottom"/>
          </w:tcPr>
          <w:p w14:paraId="27E07B2A" w14:textId="77777777" w:rsidR="00A85061" w:rsidRDefault="00F04891">
            <w:pPr>
              <w:jc w:val="right"/>
              <w:textAlignment w:val="bottom"/>
            </w:pPr>
            <w:r>
              <w:rPr>
                <w:rFonts w:ascii="sans-serif" w:eastAsia="sans-serif" w:hAnsi="sans-serif" w:cs="sans-serif"/>
                <w:color w:val="000000"/>
                <w:sz w:val="20"/>
                <w:szCs w:val="20"/>
              </w:rPr>
              <w:t>102 </w:t>
            </w:r>
          </w:p>
        </w:tc>
        <w:tc>
          <w:tcPr>
            <w:tcW w:w="0" w:type="auto"/>
            <w:shd w:val="clear" w:color="auto" w:fill="E2EFD9"/>
            <w:tcMar>
              <w:top w:w="40" w:type="dxa"/>
              <w:left w:w="0" w:type="dxa"/>
              <w:bottom w:w="40" w:type="dxa"/>
              <w:right w:w="20" w:type="dxa"/>
            </w:tcMar>
            <w:vAlign w:val="bottom"/>
          </w:tcPr>
          <w:p w14:paraId="27E07B2B" w14:textId="77777777" w:rsidR="00A85061" w:rsidRDefault="00A85061">
            <w:pPr>
              <w:jc w:val="right"/>
              <w:rPr>
                <w:rFonts w:ascii="宋体"/>
              </w:rPr>
            </w:pPr>
          </w:p>
        </w:tc>
      </w:tr>
      <w:tr w:rsidR="00A85061" w14:paraId="27E07B30" w14:textId="77777777">
        <w:tc>
          <w:tcPr>
            <w:tcW w:w="0" w:type="auto"/>
            <w:gridSpan w:val="3"/>
            <w:shd w:val="clear" w:color="auto" w:fill="FFFFFF"/>
            <w:tcMar>
              <w:top w:w="40" w:type="dxa"/>
              <w:left w:w="20" w:type="dxa"/>
              <w:bottom w:w="40" w:type="dxa"/>
              <w:right w:w="20" w:type="dxa"/>
            </w:tcMar>
            <w:vAlign w:val="bottom"/>
          </w:tcPr>
          <w:p w14:paraId="27E07B2D" w14:textId="77777777" w:rsidR="00A85061" w:rsidRDefault="00F04891">
            <w:pPr>
              <w:textAlignment w:val="bottom"/>
            </w:pPr>
            <w:r>
              <w:rPr>
                <w:rFonts w:ascii="sans-serif" w:eastAsia="sans-serif" w:hAnsi="sans-serif" w:cs="sans-serif"/>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27E07B2E" w14:textId="77777777" w:rsidR="00A85061" w:rsidRDefault="00F04891">
            <w:pPr>
              <w:jc w:val="right"/>
              <w:textAlignment w:val="bottom"/>
            </w:pPr>
            <w:r>
              <w:rPr>
                <w:rFonts w:ascii="sans-serif" w:eastAsia="sans-serif" w:hAnsi="sans-serif" w:cs="sans-serif"/>
                <w:color w:val="000000"/>
                <w:sz w:val="20"/>
                <w:szCs w:val="20"/>
              </w:rPr>
              <w:t>94 </w:t>
            </w:r>
          </w:p>
        </w:tc>
        <w:tc>
          <w:tcPr>
            <w:tcW w:w="0" w:type="auto"/>
            <w:shd w:val="clear" w:color="auto" w:fill="FFFFFF"/>
            <w:tcMar>
              <w:top w:w="40" w:type="dxa"/>
              <w:left w:w="0" w:type="dxa"/>
              <w:bottom w:w="40" w:type="dxa"/>
              <w:right w:w="20" w:type="dxa"/>
            </w:tcMar>
            <w:vAlign w:val="bottom"/>
          </w:tcPr>
          <w:p w14:paraId="27E07B2F" w14:textId="77777777" w:rsidR="00A85061" w:rsidRDefault="00A85061">
            <w:pPr>
              <w:jc w:val="right"/>
              <w:rPr>
                <w:rFonts w:ascii="宋体"/>
              </w:rPr>
            </w:pPr>
          </w:p>
        </w:tc>
      </w:tr>
      <w:tr w:rsidR="00A85061" w14:paraId="27E07B34" w14:textId="77777777">
        <w:tc>
          <w:tcPr>
            <w:tcW w:w="0" w:type="auto"/>
            <w:gridSpan w:val="3"/>
            <w:shd w:val="clear" w:color="auto" w:fill="E2EFD9"/>
            <w:tcMar>
              <w:top w:w="40" w:type="dxa"/>
              <w:left w:w="20" w:type="dxa"/>
              <w:bottom w:w="40" w:type="dxa"/>
              <w:right w:w="20" w:type="dxa"/>
            </w:tcMar>
            <w:vAlign w:val="bottom"/>
          </w:tcPr>
          <w:p w14:paraId="27E07B31" w14:textId="77777777" w:rsidR="00A85061" w:rsidRDefault="00F04891">
            <w:pPr>
              <w:textAlignment w:val="bottom"/>
            </w:pPr>
            <w:r>
              <w:rPr>
                <w:rFonts w:ascii="sans-serif" w:eastAsia="sans-serif" w:hAnsi="sans-serif" w:cs="sans-serif"/>
                <w:color w:val="000000"/>
                <w:sz w:val="20"/>
                <w:szCs w:val="20"/>
              </w:rPr>
              <w:t>2027 and thereafter</w:t>
            </w:r>
          </w:p>
        </w:tc>
        <w:tc>
          <w:tcPr>
            <w:tcW w:w="0" w:type="auto"/>
            <w:gridSpan w:val="2"/>
            <w:shd w:val="clear" w:color="auto" w:fill="E2EFD9"/>
            <w:tcMar>
              <w:top w:w="40" w:type="dxa"/>
              <w:left w:w="20" w:type="dxa"/>
              <w:bottom w:w="40" w:type="dxa"/>
              <w:right w:w="0" w:type="dxa"/>
            </w:tcMar>
            <w:vAlign w:val="bottom"/>
          </w:tcPr>
          <w:p w14:paraId="27E07B32" w14:textId="77777777" w:rsidR="00A85061" w:rsidRDefault="00F04891">
            <w:pPr>
              <w:jc w:val="right"/>
              <w:textAlignment w:val="bottom"/>
            </w:pPr>
            <w:r>
              <w:rPr>
                <w:rFonts w:ascii="sans-serif" w:eastAsia="sans-serif" w:hAnsi="sans-serif" w:cs="sans-serif"/>
                <w:color w:val="000000"/>
                <w:sz w:val="20"/>
                <w:szCs w:val="20"/>
              </w:rPr>
              <w:t>306 </w:t>
            </w:r>
          </w:p>
        </w:tc>
        <w:tc>
          <w:tcPr>
            <w:tcW w:w="0" w:type="auto"/>
            <w:shd w:val="clear" w:color="auto" w:fill="E2EFD9"/>
            <w:tcMar>
              <w:top w:w="40" w:type="dxa"/>
              <w:left w:w="0" w:type="dxa"/>
              <w:bottom w:w="40" w:type="dxa"/>
              <w:right w:w="20" w:type="dxa"/>
            </w:tcMar>
            <w:vAlign w:val="bottom"/>
          </w:tcPr>
          <w:p w14:paraId="27E07B33" w14:textId="77777777" w:rsidR="00A85061" w:rsidRDefault="00A85061">
            <w:pPr>
              <w:jc w:val="right"/>
              <w:rPr>
                <w:rFonts w:ascii="宋体"/>
              </w:rPr>
            </w:pPr>
          </w:p>
        </w:tc>
      </w:tr>
      <w:tr w:rsidR="00A85061" w14:paraId="27E07B38" w14:textId="77777777">
        <w:tc>
          <w:tcPr>
            <w:tcW w:w="0" w:type="auto"/>
            <w:gridSpan w:val="3"/>
            <w:shd w:val="clear" w:color="auto" w:fill="FFFFFF"/>
            <w:tcMar>
              <w:top w:w="40" w:type="dxa"/>
              <w:left w:w="245" w:type="dxa"/>
              <w:bottom w:w="40" w:type="dxa"/>
              <w:right w:w="20" w:type="dxa"/>
            </w:tcMar>
            <w:vAlign w:val="bottom"/>
          </w:tcPr>
          <w:p w14:paraId="27E07B35" w14:textId="77777777" w:rsidR="00A85061" w:rsidRDefault="00F04891">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B36" w14:textId="77777777" w:rsidR="00A85061" w:rsidRDefault="00F04891">
            <w:pPr>
              <w:jc w:val="right"/>
              <w:textAlignment w:val="bottom"/>
            </w:pPr>
            <w:r>
              <w:rPr>
                <w:rFonts w:ascii="sans-serif" w:eastAsia="sans-serif" w:hAnsi="sans-serif" w:cs="sans-serif"/>
                <w:color w:val="000000"/>
                <w:sz w:val="20"/>
                <w:szCs w:val="20"/>
              </w:rPr>
              <w:t>875 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B37" w14:textId="77777777" w:rsidR="00A85061" w:rsidRDefault="00A85061">
            <w:pPr>
              <w:jc w:val="right"/>
              <w:rPr>
                <w:rFonts w:ascii="宋体"/>
              </w:rPr>
            </w:pPr>
          </w:p>
        </w:tc>
      </w:tr>
      <w:tr w:rsidR="00A85061" w14:paraId="27E07B3C" w14:textId="77777777">
        <w:tc>
          <w:tcPr>
            <w:tcW w:w="0" w:type="auto"/>
            <w:gridSpan w:val="3"/>
            <w:shd w:val="clear" w:color="auto" w:fill="E2EFD9"/>
            <w:tcMar>
              <w:top w:w="40" w:type="dxa"/>
              <w:left w:w="20" w:type="dxa"/>
              <w:bottom w:w="40" w:type="dxa"/>
              <w:right w:w="20" w:type="dxa"/>
            </w:tcMar>
            <w:vAlign w:val="bottom"/>
          </w:tcPr>
          <w:p w14:paraId="27E07B39" w14:textId="77777777" w:rsidR="00A85061" w:rsidRDefault="00F04891">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27E07B3A" w14:textId="77777777" w:rsidR="00A85061" w:rsidRDefault="00F04891">
            <w:pPr>
              <w:jc w:val="right"/>
              <w:textAlignment w:val="bottom"/>
            </w:pPr>
            <w:r>
              <w:rPr>
                <w:rFonts w:ascii="sans-serif" w:eastAsia="sans-serif" w:hAnsi="sans-serif" w:cs="sans-serif"/>
                <w:color w:val="000000"/>
                <w:sz w:val="20"/>
                <w:szCs w:val="20"/>
              </w:rPr>
              <w:t>100 </w:t>
            </w:r>
          </w:p>
        </w:tc>
        <w:tc>
          <w:tcPr>
            <w:tcW w:w="0" w:type="auto"/>
            <w:shd w:val="clear" w:color="auto" w:fill="E2EFD9"/>
            <w:tcMar>
              <w:top w:w="40" w:type="dxa"/>
              <w:left w:w="0" w:type="dxa"/>
              <w:bottom w:w="40" w:type="dxa"/>
              <w:right w:w="20" w:type="dxa"/>
            </w:tcMar>
            <w:vAlign w:val="bottom"/>
          </w:tcPr>
          <w:p w14:paraId="27E07B3B" w14:textId="77777777" w:rsidR="00A85061" w:rsidRDefault="00A85061">
            <w:pPr>
              <w:jc w:val="right"/>
              <w:rPr>
                <w:rFonts w:ascii="宋体"/>
              </w:rPr>
            </w:pPr>
          </w:p>
        </w:tc>
      </w:tr>
      <w:tr w:rsidR="00A85061" w14:paraId="27E07B40" w14:textId="77777777">
        <w:tc>
          <w:tcPr>
            <w:tcW w:w="0" w:type="auto"/>
            <w:gridSpan w:val="3"/>
            <w:shd w:val="clear" w:color="auto" w:fill="FFFFFF"/>
            <w:tcMar>
              <w:top w:w="40" w:type="dxa"/>
              <w:left w:w="20" w:type="dxa"/>
              <w:bottom w:w="40" w:type="dxa"/>
              <w:right w:w="20" w:type="dxa"/>
            </w:tcMar>
            <w:vAlign w:val="bottom"/>
          </w:tcPr>
          <w:p w14:paraId="27E07B3D" w14:textId="77777777" w:rsidR="00A85061" w:rsidRDefault="00F04891">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B3E" w14:textId="77777777" w:rsidR="00A85061" w:rsidRDefault="00F04891">
            <w:pPr>
              <w:jc w:val="right"/>
              <w:textAlignment w:val="bottom"/>
            </w:pPr>
            <w:r>
              <w:rPr>
                <w:rFonts w:ascii="sans-serif" w:eastAsia="sans-serif" w:hAnsi="sans-serif" w:cs="sans-serif"/>
                <w:color w:val="000000"/>
                <w:sz w:val="20"/>
                <w:szCs w:val="20"/>
              </w:rPr>
              <w:t>775 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B3F" w14:textId="77777777" w:rsidR="00A85061" w:rsidRDefault="00A85061">
            <w:pPr>
              <w:jc w:val="right"/>
              <w:rPr>
                <w:rFonts w:ascii="宋体"/>
              </w:rPr>
            </w:pPr>
          </w:p>
        </w:tc>
      </w:tr>
      <w:tr w:rsidR="00A85061" w14:paraId="27E07B44" w14:textId="77777777">
        <w:tc>
          <w:tcPr>
            <w:tcW w:w="0" w:type="auto"/>
            <w:gridSpan w:val="3"/>
            <w:shd w:val="clear" w:color="auto" w:fill="E2EFD9"/>
            <w:tcMar>
              <w:top w:w="40" w:type="dxa"/>
              <w:left w:w="20" w:type="dxa"/>
              <w:bottom w:w="40" w:type="dxa"/>
              <w:right w:w="20" w:type="dxa"/>
            </w:tcMar>
            <w:vAlign w:val="bottom"/>
          </w:tcPr>
          <w:p w14:paraId="27E07B41" w14:textId="77777777" w:rsidR="00A85061" w:rsidRDefault="00F04891">
            <w:pPr>
              <w:textAlignment w:val="bottom"/>
            </w:pPr>
            <w:r>
              <w:rPr>
                <w:rFonts w:ascii="sans-serif" w:eastAsia="sans-serif" w:hAnsi="sans-serif" w:cs="sans-serif"/>
                <w:color w:val="000000"/>
                <w:sz w:val="20"/>
                <w:szCs w:val="20"/>
              </w:rPr>
              <w:t xml:space="preserve">Less short-term </w:t>
            </w:r>
            <w:r>
              <w:rPr>
                <w:rFonts w:ascii="sans-serif" w:eastAsia="sans-serif" w:hAnsi="sans-serif" w:cs="sans-serif"/>
                <w:color w:val="000000"/>
                <w:sz w:val="20"/>
                <w:szCs w:val="20"/>
              </w:rPr>
              <w:t>operating lease liabilities</w:t>
            </w:r>
          </w:p>
        </w:tc>
        <w:tc>
          <w:tcPr>
            <w:tcW w:w="0" w:type="auto"/>
            <w:gridSpan w:val="2"/>
            <w:shd w:val="clear" w:color="auto" w:fill="E2EFD9"/>
            <w:tcMar>
              <w:top w:w="40" w:type="dxa"/>
              <w:left w:w="20" w:type="dxa"/>
              <w:bottom w:w="40" w:type="dxa"/>
              <w:right w:w="0" w:type="dxa"/>
            </w:tcMar>
            <w:vAlign w:val="bottom"/>
          </w:tcPr>
          <w:p w14:paraId="27E07B42" w14:textId="77777777" w:rsidR="00A85061" w:rsidRDefault="00F04891">
            <w:pPr>
              <w:jc w:val="right"/>
              <w:textAlignment w:val="bottom"/>
            </w:pPr>
            <w:r>
              <w:rPr>
                <w:rFonts w:ascii="sans-serif" w:eastAsia="sans-serif" w:hAnsi="sans-serif" w:cs="sans-serif"/>
                <w:color w:val="000000"/>
                <w:sz w:val="20"/>
                <w:szCs w:val="20"/>
              </w:rPr>
              <w:t>135 </w:t>
            </w:r>
          </w:p>
        </w:tc>
        <w:tc>
          <w:tcPr>
            <w:tcW w:w="0" w:type="auto"/>
            <w:shd w:val="clear" w:color="auto" w:fill="E2EFD9"/>
            <w:tcMar>
              <w:top w:w="40" w:type="dxa"/>
              <w:left w:w="0" w:type="dxa"/>
              <w:bottom w:w="40" w:type="dxa"/>
              <w:right w:w="20" w:type="dxa"/>
            </w:tcMar>
            <w:vAlign w:val="bottom"/>
          </w:tcPr>
          <w:p w14:paraId="27E07B43" w14:textId="77777777" w:rsidR="00A85061" w:rsidRDefault="00A85061">
            <w:pPr>
              <w:jc w:val="right"/>
              <w:rPr>
                <w:rFonts w:ascii="宋体"/>
              </w:rPr>
            </w:pPr>
          </w:p>
        </w:tc>
      </w:tr>
      <w:tr w:rsidR="00A85061" w14:paraId="27E07B49" w14:textId="77777777">
        <w:tc>
          <w:tcPr>
            <w:tcW w:w="0" w:type="auto"/>
            <w:gridSpan w:val="3"/>
            <w:shd w:val="clear" w:color="auto" w:fill="FFFFFF"/>
            <w:tcMar>
              <w:top w:w="40" w:type="dxa"/>
              <w:left w:w="245" w:type="dxa"/>
              <w:bottom w:w="40" w:type="dxa"/>
              <w:right w:w="20" w:type="dxa"/>
            </w:tcMar>
            <w:vAlign w:val="bottom"/>
          </w:tcPr>
          <w:p w14:paraId="27E07B45" w14:textId="77777777" w:rsidR="00A85061" w:rsidRDefault="00F04891">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B46"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B47" w14:textId="77777777" w:rsidR="00A85061" w:rsidRDefault="00F04891">
            <w:pPr>
              <w:jc w:val="right"/>
              <w:textAlignment w:val="bottom"/>
            </w:pPr>
            <w:r>
              <w:rPr>
                <w:rFonts w:ascii="sans-serif" w:eastAsia="sans-serif" w:hAnsi="sans-serif" w:cs="sans-serif"/>
                <w:color w:val="000000"/>
                <w:sz w:val="20"/>
                <w:szCs w:val="20"/>
              </w:rPr>
              <w:t>640 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B48" w14:textId="77777777" w:rsidR="00A85061" w:rsidRDefault="00A85061">
            <w:pPr>
              <w:jc w:val="right"/>
              <w:rPr>
                <w:rFonts w:ascii="宋体"/>
              </w:rPr>
            </w:pPr>
          </w:p>
        </w:tc>
      </w:tr>
    </w:tbl>
    <w:p w14:paraId="27E07B4A" w14:textId="77777777" w:rsidR="00A85061" w:rsidRDefault="00F04891">
      <w:pPr>
        <w:spacing w:before="360" w:after="180"/>
        <w:jc w:val="both"/>
      </w:pPr>
      <w:r>
        <w:rPr>
          <w:rFonts w:ascii="sans-serif" w:eastAsia="sans-serif" w:hAnsi="sans-serif" w:cs="sans-serif"/>
          <w:color w:val="000000"/>
          <w:sz w:val="20"/>
          <w:szCs w:val="20"/>
        </w:rPr>
        <w:t xml:space="preserve">Operating lease expenses were $39 million and $31 million for the first quarter of fiscal years 2022 and 2021, respectively. Short-term and variable lease expenses for the first quarter of fiscal years 2022 and 2021 were not significant. </w:t>
      </w:r>
    </w:p>
    <w:p w14:paraId="27E07B4B" w14:textId="77777777" w:rsidR="00A85061" w:rsidRDefault="00F04891">
      <w:pPr>
        <w:spacing w:after="180"/>
        <w:jc w:val="both"/>
      </w:pPr>
      <w:r>
        <w:rPr>
          <w:rFonts w:ascii="sans-serif" w:eastAsia="sans-serif" w:hAnsi="sans-serif" w:cs="sans-serif"/>
          <w:color w:val="000000"/>
          <w:sz w:val="20"/>
          <w:szCs w:val="20"/>
        </w:rPr>
        <w:t>Other information</w:t>
      </w:r>
      <w:r>
        <w:rPr>
          <w:rFonts w:ascii="sans-serif" w:eastAsia="sans-serif" w:hAnsi="sans-serif" w:cs="sans-serif"/>
          <w:color w:val="000000"/>
          <w:sz w:val="20"/>
          <w:szCs w:val="20"/>
        </w:rPr>
        <w:t xml:space="preserve">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A85061" w14:paraId="27E07B58" w14:textId="77777777">
        <w:tc>
          <w:tcPr>
            <w:tcW w:w="50" w:type="pct"/>
            <w:shd w:val="clear" w:color="auto" w:fill="auto"/>
            <w:vAlign w:val="bottom"/>
          </w:tcPr>
          <w:p w14:paraId="27E07B4C" w14:textId="77777777" w:rsidR="00A85061" w:rsidRDefault="00A85061">
            <w:pPr>
              <w:rPr>
                <w:rFonts w:ascii="宋体"/>
              </w:rPr>
            </w:pPr>
          </w:p>
        </w:tc>
        <w:tc>
          <w:tcPr>
            <w:tcW w:w="3292" w:type="pct"/>
            <w:shd w:val="clear" w:color="auto" w:fill="auto"/>
            <w:vAlign w:val="bottom"/>
          </w:tcPr>
          <w:p w14:paraId="27E07B4D" w14:textId="77777777" w:rsidR="00A85061" w:rsidRDefault="00A85061">
            <w:pPr>
              <w:rPr>
                <w:rFonts w:ascii="宋体"/>
              </w:rPr>
            </w:pPr>
          </w:p>
        </w:tc>
        <w:tc>
          <w:tcPr>
            <w:tcW w:w="5" w:type="pct"/>
            <w:shd w:val="clear" w:color="auto" w:fill="auto"/>
            <w:vAlign w:val="bottom"/>
          </w:tcPr>
          <w:p w14:paraId="27E07B4E" w14:textId="77777777" w:rsidR="00A85061" w:rsidRDefault="00A85061">
            <w:pPr>
              <w:rPr>
                <w:rFonts w:ascii="宋体"/>
              </w:rPr>
            </w:pPr>
          </w:p>
        </w:tc>
        <w:tc>
          <w:tcPr>
            <w:tcW w:w="50" w:type="pct"/>
            <w:shd w:val="clear" w:color="auto" w:fill="auto"/>
            <w:vAlign w:val="bottom"/>
          </w:tcPr>
          <w:p w14:paraId="27E07B4F" w14:textId="77777777" w:rsidR="00A85061" w:rsidRDefault="00A85061">
            <w:pPr>
              <w:rPr>
                <w:rFonts w:ascii="宋体"/>
              </w:rPr>
            </w:pPr>
          </w:p>
        </w:tc>
        <w:tc>
          <w:tcPr>
            <w:tcW w:w="741" w:type="pct"/>
            <w:shd w:val="clear" w:color="auto" w:fill="auto"/>
            <w:vAlign w:val="bottom"/>
          </w:tcPr>
          <w:p w14:paraId="27E07B50" w14:textId="77777777" w:rsidR="00A85061" w:rsidRDefault="00A85061">
            <w:pPr>
              <w:rPr>
                <w:rFonts w:ascii="宋体"/>
              </w:rPr>
            </w:pPr>
          </w:p>
        </w:tc>
        <w:tc>
          <w:tcPr>
            <w:tcW w:w="5" w:type="pct"/>
            <w:shd w:val="clear" w:color="auto" w:fill="auto"/>
            <w:vAlign w:val="bottom"/>
          </w:tcPr>
          <w:p w14:paraId="27E07B51" w14:textId="77777777" w:rsidR="00A85061" w:rsidRDefault="00A85061">
            <w:pPr>
              <w:rPr>
                <w:rFonts w:ascii="宋体"/>
              </w:rPr>
            </w:pPr>
          </w:p>
        </w:tc>
        <w:tc>
          <w:tcPr>
            <w:tcW w:w="5" w:type="pct"/>
            <w:shd w:val="clear" w:color="auto" w:fill="auto"/>
            <w:vAlign w:val="bottom"/>
          </w:tcPr>
          <w:p w14:paraId="27E07B52" w14:textId="77777777" w:rsidR="00A85061" w:rsidRDefault="00A85061">
            <w:pPr>
              <w:rPr>
                <w:rFonts w:ascii="宋体"/>
              </w:rPr>
            </w:pPr>
          </w:p>
        </w:tc>
        <w:tc>
          <w:tcPr>
            <w:tcW w:w="48" w:type="pct"/>
            <w:shd w:val="clear" w:color="auto" w:fill="auto"/>
            <w:vAlign w:val="bottom"/>
          </w:tcPr>
          <w:p w14:paraId="27E07B53" w14:textId="77777777" w:rsidR="00A85061" w:rsidRDefault="00A85061">
            <w:pPr>
              <w:rPr>
                <w:rFonts w:ascii="宋体"/>
              </w:rPr>
            </w:pPr>
          </w:p>
        </w:tc>
        <w:tc>
          <w:tcPr>
            <w:tcW w:w="5" w:type="pct"/>
            <w:shd w:val="clear" w:color="auto" w:fill="auto"/>
            <w:vAlign w:val="bottom"/>
          </w:tcPr>
          <w:p w14:paraId="27E07B54" w14:textId="77777777" w:rsidR="00A85061" w:rsidRDefault="00A85061">
            <w:pPr>
              <w:rPr>
                <w:rFonts w:ascii="宋体"/>
              </w:rPr>
            </w:pPr>
          </w:p>
        </w:tc>
        <w:tc>
          <w:tcPr>
            <w:tcW w:w="50" w:type="pct"/>
            <w:shd w:val="clear" w:color="auto" w:fill="auto"/>
            <w:vAlign w:val="bottom"/>
          </w:tcPr>
          <w:p w14:paraId="27E07B55" w14:textId="77777777" w:rsidR="00A85061" w:rsidRDefault="00A85061">
            <w:pPr>
              <w:rPr>
                <w:rFonts w:ascii="宋体"/>
              </w:rPr>
            </w:pPr>
          </w:p>
        </w:tc>
        <w:tc>
          <w:tcPr>
            <w:tcW w:w="741" w:type="pct"/>
            <w:shd w:val="clear" w:color="auto" w:fill="auto"/>
            <w:vAlign w:val="bottom"/>
          </w:tcPr>
          <w:p w14:paraId="27E07B56" w14:textId="77777777" w:rsidR="00A85061" w:rsidRDefault="00A85061">
            <w:pPr>
              <w:rPr>
                <w:rFonts w:ascii="宋体"/>
              </w:rPr>
            </w:pPr>
          </w:p>
        </w:tc>
        <w:tc>
          <w:tcPr>
            <w:tcW w:w="5" w:type="pct"/>
            <w:shd w:val="clear" w:color="auto" w:fill="auto"/>
            <w:vAlign w:val="bottom"/>
          </w:tcPr>
          <w:p w14:paraId="27E07B57" w14:textId="77777777" w:rsidR="00A85061" w:rsidRDefault="00A85061">
            <w:pPr>
              <w:rPr>
                <w:rFonts w:ascii="宋体"/>
              </w:rPr>
            </w:pPr>
          </w:p>
        </w:tc>
      </w:tr>
      <w:tr w:rsidR="00A85061" w14:paraId="27E07B5B" w14:textId="77777777">
        <w:tc>
          <w:tcPr>
            <w:tcW w:w="0" w:type="auto"/>
            <w:gridSpan w:val="3"/>
            <w:shd w:val="clear" w:color="auto" w:fill="auto"/>
            <w:tcMar>
              <w:top w:w="0" w:type="dxa"/>
              <w:left w:w="20" w:type="dxa"/>
              <w:bottom w:w="0" w:type="dxa"/>
              <w:right w:w="20" w:type="dxa"/>
            </w:tcMar>
            <w:vAlign w:val="bottom"/>
          </w:tcPr>
          <w:p w14:paraId="27E07B59"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B5A" w14:textId="77777777" w:rsidR="00A85061" w:rsidRDefault="00F04891">
            <w:pPr>
              <w:jc w:val="center"/>
              <w:textAlignment w:val="bottom"/>
            </w:pPr>
            <w:r>
              <w:rPr>
                <w:rFonts w:ascii="sans-serif" w:eastAsia="sans-serif" w:hAnsi="sans-serif" w:cs="sans-serif"/>
                <w:b/>
                <w:bCs/>
                <w:color w:val="000000"/>
                <w:sz w:val="20"/>
                <w:szCs w:val="20"/>
              </w:rPr>
              <w:t>Three Months Ended</w:t>
            </w:r>
          </w:p>
        </w:tc>
      </w:tr>
      <w:tr w:rsidR="00A85061" w14:paraId="27E07B60" w14:textId="77777777">
        <w:tc>
          <w:tcPr>
            <w:tcW w:w="0" w:type="auto"/>
            <w:gridSpan w:val="3"/>
            <w:shd w:val="clear" w:color="auto" w:fill="auto"/>
            <w:tcMar>
              <w:top w:w="0" w:type="dxa"/>
              <w:left w:w="20" w:type="dxa"/>
              <w:bottom w:w="0" w:type="dxa"/>
              <w:right w:w="20" w:type="dxa"/>
            </w:tcMar>
            <w:vAlign w:val="bottom"/>
          </w:tcPr>
          <w:p w14:paraId="27E07B5C"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B5D"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5E"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B5F" w14:textId="77777777" w:rsidR="00A85061" w:rsidRDefault="00F04891">
            <w:pPr>
              <w:jc w:val="center"/>
              <w:textAlignment w:val="bottom"/>
            </w:pPr>
            <w:r>
              <w:rPr>
                <w:rFonts w:ascii="sans-serif" w:eastAsia="sans-serif" w:hAnsi="sans-serif" w:cs="sans-serif"/>
                <w:b/>
                <w:bCs/>
                <w:color w:val="000000"/>
                <w:sz w:val="20"/>
                <w:szCs w:val="20"/>
              </w:rPr>
              <w:t>April 26, 2020</w:t>
            </w:r>
          </w:p>
        </w:tc>
      </w:tr>
      <w:tr w:rsidR="00A85061" w14:paraId="27E07B65" w14:textId="77777777">
        <w:trPr>
          <w:trHeight w:val="60"/>
        </w:trPr>
        <w:tc>
          <w:tcPr>
            <w:tcW w:w="0" w:type="auto"/>
            <w:gridSpan w:val="3"/>
            <w:shd w:val="clear" w:color="auto" w:fill="auto"/>
            <w:tcMar>
              <w:top w:w="0" w:type="dxa"/>
              <w:left w:w="20" w:type="dxa"/>
              <w:bottom w:w="0" w:type="dxa"/>
              <w:right w:w="20" w:type="dxa"/>
            </w:tcMar>
            <w:vAlign w:val="bottom"/>
          </w:tcPr>
          <w:p w14:paraId="27E07B6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6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B6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64" w14:textId="77777777" w:rsidR="00A85061" w:rsidRDefault="00A85061">
            <w:pPr>
              <w:rPr>
                <w:rFonts w:ascii="宋体"/>
              </w:rPr>
            </w:pPr>
          </w:p>
        </w:tc>
      </w:tr>
      <w:tr w:rsidR="00A85061" w14:paraId="27E07B68" w14:textId="77777777">
        <w:tc>
          <w:tcPr>
            <w:tcW w:w="0" w:type="auto"/>
            <w:gridSpan w:val="3"/>
            <w:shd w:val="clear" w:color="auto" w:fill="auto"/>
            <w:tcMar>
              <w:top w:w="40" w:type="dxa"/>
              <w:left w:w="20" w:type="dxa"/>
              <w:bottom w:w="40" w:type="dxa"/>
              <w:right w:w="20" w:type="dxa"/>
            </w:tcMar>
            <w:vAlign w:val="bottom"/>
          </w:tcPr>
          <w:p w14:paraId="27E07B66"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B67"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B6D" w14:textId="77777777">
        <w:tc>
          <w:tcPr>
            <w:tcW w:w="0" w:type="auto"/>
            <w:gridSpan w:val="3"/>
            <w:shd w:val="clear" w:color="auto" w:fill="E2EFD9"/>
            <w:tcMar>
              <w:top w:w="40" w:type="dxa"/>
              <w:left w:w="20" w:type="dxa"/>
              <w:bottom w:w="40" w:type="dxa"/>
              <w:right w:w="20" w:type="dxa"/>
            </w:tcMar>
            <w:vAlign w:val="bottom"/>
          </w:tcPr>
          <w:p w14:paraId="27E07B69" w14:textId="77777777" w:rsidR="00A85061" w:rsidRDefault="00F04891">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27E07B6A"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B6B"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7B6C" w14:textId="77777777" w:rsidR="00A85061" w:rsidRDefault="00F04891">
            <w:pPr>
              <w:textAlignment w:val="bottom"/>
            </w:pPr>
            <w:r>
              <w:rPr>
                <w:rFonts w:ascii="sans-serif" w:eastAsia="sans-serif" w:hAnsi="sans-serif" w:cs="sans-serif"/>
                <w:color w:val="000000"/>
                <w:sz w:val="20"/>
                <w:szCs w:val="20"/>
              </w:rPr>
              <w:t> </w:t>
            </w:r>
          </w:p>
        </w:tc>
      </w:tr>
      <w:tr w:rsidR="00A85061" w14:paraId="27E07B76" w14:textId="77777777">
        <w:tc>
          <w:tcPr>
            <w:tcW w:w="0" w:type="auto"/>
            <w:gridSpan w:val="3"/>
            <w:shd w:val="clear" w:color="auto" w:fill="FFFFFF"/>
            <w:tcMar>
              <w:top w:w="40" w:type="dxa"/>
              <w:left w:w="20" w:type="dxa"/>
              <w:bottom w:w="40" w:type="dxa"/>
              <w:right w:w="20" w:type="dxa"/>
            </w:tcMar>
            <w:vAlign w:val="bottom"/>
          </w:tcPr>
          <w:p w14:paraId="27E07B6E" w14:textId="77777777" w:rsidR="00A85061" w:rsidRDefault="00F04891">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27E07B6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B70" w14:textId="77777777" w:rsidR="00A85061" w:rsidRDefault="00F04891">
            <w:pPr>
              <w:jc w:val="right"/>
              <w:textAlignment w:val="bottom"/>
            </w:pPr>
            <w:r>
              <w:rPr>
                <w:rFonts w:ascii="sans-serif" w:eastAsia="sans-serif" w:hAnsi="sans-serif" w:cs="sans-serif"/>
                <w:color w:val="000000"/>
                <w:sz w:val="20"/>
                <w:szCs w:val="20"/>
              </w:rPr>
              <w:t>39 </w:t>
            </w:r>
          </w:p>
        </w:tc>
        <w:tc>
          <w:tcPr>
            <w:tcW w:w="0" w:type="auto"/>
            <w:shd w:val="clear" w:color="auto" w:fill="FFFFFF"/>
            <w:tcMar>
              <w:top w:w="40" w:type="dxa"/>
              <w:left w:w="0" w:type="dxa"/>
              <w:bottom w:w="40" w:type="dxa"/>
              <w:right w:w="20" w:type="dxa"/>
            </w:tcMar>
            <w:vAlign w:val="bottom"/>
          </w:tcPr>
          <w:p w14:paraId="27E07B7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B72"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B7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B74" w14:textId="77777777" w:rsidR="00A85061" w:rsidRDefault="00F04891">
            <w:pPr>
              <w:jc w:val="right"/>
              <w:textAlignment w:val="bottom"/>
            </w:pPr>
            <w:r>
              <w:rPr>
                <w:rFonts w:ascii="sans-serif" w:eastAsia="sans-serif" w:hAnsi="sans-serif" w:cs="sans-serif"/>
                <w:color w:val="000000"/>
                <w:sz w:val="20"/>
                <w:szCs w:val="20"/>
              </w:rPr>
              <w:t>31 </w:t>
            </w:r>
          </w:p>
        </w:tc>
        <w:tc>
          <w:tcPr>
            <w:tcW w:w="0" w:type="auto"/>
            <w:shd w:val="clear" w:color="auto" w:fill="FFFFFF"/>
            <w:tcMar>
              <w:top w:w="40" w:type="dxa"/>
              <w:left w:w="0" w:type="dxa"/>
              <w:bottom w:w="40" w:type="dxa"/>
              <w:right w:w="20" w:type="dxa"/>
            </w:tcMar>
            <w:vAlign w:val="bottom"/>
          </w:tcPr>
          <w:p w14:paraId="27E07B75" w14:textId="77777777" w:rsidR="00A85061" w:rsidRDefault="00A85061">
            <w:pPr>
              <w:jc w:val="right"/>
              <w:rPr>
                <w:rFonts w:ascii="宋体"/>
              </w:rPr>
            </w:pPr>
          </w:p>
        </w:tc>
      </w:tr>
      <w:tr w:rsidR="00A85061" w14:paraId="27E07B7F" w14:textId="77777777">
        <w:tc>
          <w:tcPr>
            <w:tcW w:w="0" w:type="auto"/>
            <w:gridSpan w:val="3"/>
            <w:shd w:val="clear" w:color="auto" w:fill="E2EFD9"/>
            <w:tcMar>
              <w:top w:w="40" w:type="dxa"/>
              <w:left w:w="20" w:type="dxa"/>
              <w:bottom w:w="40" w:type="dxa"/>
              <w:right w:w="20" w:type="dxa"/>
            </w:tcMar>
            <w:vAlign w:val="bottom"/>
          </w:tcPr>
          <w:p w14:paraId="27E07B77" w14:textId="77777777" w:rsidR="00A85061" w:rsidRDefault="00F04891">
            <w:pPr>
              <w:textAlignment w:val="bottom"/>
            </w:pPr>
            <w:r>
              <w:rPr>
                <w:rFonts w:ascii="sans-serif" w:eastAsia="sans-serif" w:hAnsi="sans-serif" w:cs="sans-serif"/>
                <w:color w:val="000000"/>
                <w:sz w:val="20"/>
                <w:szCs w:val="20"/>
              </w:rPr>
              <w:t xml:space="preserve">Operating lease assets </w:t>
            </w:r>
            <w:r>
              <w:rPr>
                <w:rFonts w:ascii="sans-serif" w:eastAsia="sans-serif" w:hAnsi="sans-serif" w:cs="sans-serif"/>
                <w:color w:val="000000"/>
                <w:sz w:val="20"/>
                <w:szCs w:val="20"/>
              </w:rPr>
              <w:t>obtained in exchange for lease obligations</w:t>
            </w:r>
          </w:p>
        </w:tc>
        <w:tc>
          <w:tcPr>
            <w:tcW w:w="0" w:type="auto"/>
            <w:shd w:val="clear" w:color="auto" w:fill="E2EFD9"/>
            <w:tcMar>
              <w:top w:w="40" w:type="dxa"/>
              <w:left w:w="20" w:type="dxa"/>
              <w:bottom w:w="40" w:type="dxa"/>
              <w:right w:w="0" w:type="dxa"/>
            </w:tcMar>
            <w:vAlign w:val="bottom"/>
          </w:tcPr>
          <w:p w14:paraId="27E07B78"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B79" w14:textId="77777777" w:rsidR="00A85061" w:rsidRDefault="00F04891">
            <w:pPr>
              <w:jc w:val="right"/>
              <w:textAlignment w:val="bottom"/>
            </w:pPr>
            <w:r>
              <w:rPr>
                <w:rFonts w:ascii="sans-serif" w:eastAsia="sans-serif" w:hAnsi="sans-serif" w:cs="sans-serif"/>
                <w:color w:val="000000"/>
                <w:sz w:val="20"/>
                <w:szCs w:val="20"/>
              </w:rPr>
              <w:t>54 </w:t>
            </w:r>
          </w:p>
        </w:tc>
        <w:tc>
          <w:tcPr>
            <w:tcW w:w="0" w:type="auto"/>
            <w:shd w:val="clear" w:color="auto" w:fill="E2EFD9"/>
            <w:tcMar>
              <w:top w:w="40" w:type="dxa"/>
              <w:left w:w="0" w:type="dxa"/>
              <w:bottom w:w="40" w:type="dxa"/>
              <w:right w:w="20" w:type="dxa"/>
            </w:tcMar>
            <w:vAlign w:val="bottom"/>
          </w:tcPr>
          <w:p w14:paraId="27E07B7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B7B"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B7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B7D" w14:textId="77777777" w:rsidR="00A85061" w:rsidRDefault="00F04891">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27E07B7E" w14:textId="77777777" w:rsidR="00A85061" w:rsidRDefault="00A85061">
            <w:pPr>
              <w:jc w:val="right"/>
              <w:rPr>
                <w:rFonts w:ascii="宋体"/>
              </w:rPr>
            </w:pPr>
          </w:p>
        </w:tc>
      </w:tr>
    </w:tbl>
    <w:p w14:paraId="27E07B80" w14:textId="77777777" w:rsidR="00A85061" w:rsidRDefault="00F04891">
      <w:pPr>
        <w:jc w:val="both"/>
      </w:pPr>
      <w:r>
        <w:rPr>
          <w:rFonts w:ascii="sans-serif" w:eastAsia="sans-serif" w:hAnsi="sans-serif" w:cs="sans-serif"/>
          <w:color w:val="000000"/>
          <w:sz w:val="20"/>
          <w:szCs w:val="20"/>
        </w:rPr>
        <w:t xml:space="preserve">As of May 2, 2021, our operating leases had a weighted average remaining lease term of 7.5 years and a weighted average discount rate of 2.77%. As of January 31, 2021, our operating leases had a </w:t>
      </w:r>
      <w:r>
        <w:rPr>
          <w:rFonts w:ascii="sans-serif" w:eastAsia="sans-serif" w:hAnsi="sans-serif" w:cs="sans-serif"/>
          <w:color w:val="000000"/>
          <w:sz w:val="20"/>
          <w:szCs w:val="20"/>
        </w:rPr>
        <w:t>weighted average remaining lease term of 7.6 years and a weighted average discount rate of 2.87%.</w:t>
      </w:r>
    </w:p>
    <w:p w14:paraId="27E07B81" w14:textId="77777777" w:rsidR="00A85061" w:rsidRDefault="00A85061">
      <w:pPr>
        <w:spacing w:before="240" w:after="120"/>
        <w:jc w:val="both"/>
      </w:pPr>
    </w:p>
    <w:p w14:paraId="27E07B82" w14:textId="77777777" w:rsidR="00A85061" w:rsidRDefault="00F04891">
      <w:pPr>
        <w:spacing w:after="180"/>
        <w:jc w:val="center"/>
      </w:pPr>
      <w:r>
        <w:rPr>
          <w:rFonts w:ascii="sans-serif" w:eastAsia="sans-serif" w:hAnsi="sans-serif" w:cs="sans-serif"/>
          <w:color w:val="000000"/>
          <w:sz w:val="20"/>
          <w:szCs w:val="20"/>
        </w:rPr>
        <w:t>10</w:t>
      </w:r>
    </w:p>
    <w:p w14:paraId="27E07B83" w14:textId="77777777" w:rsidR="00A85061" w:rsidRDefault="00F04891">
      <w:r>
        <w:pict w14:anchorId="27E08EFB">
          <v:rect id="_x0000_i1034" style="width:415.3pt;height:1.5pt" o:hralign="center" o:hrstd="t" o:hr="t" fillcolor="#a0a0a0" stroked="f"/>
        </w:pict>
      </w:r>
    </w:p>
    <w:p w14:paraId="27E07B84" w14:textId="77777777" w:rsidR="00A85061" w:rsidRDefault="00F04891">
      <w:pPr>
        <w:jc w:val="center"/>
      </w:pPr>
      <w:r>
        <w:rPr>
          <w:rFonts w:ascii="sans-serif" w:eastAsia="sans-serif" w:hAnsi="sans-serif" w:cs="sans-serif"/>
          <w:b/>
          <w:bCs/>
          <w:color w:val="000000"/>
          <w:sz w:val="20"/>
          <w:szCs w:val="20"/>
        </w:rPr>
        <w:t>NVIDIA CORPORATION AND SUBSIDIARIES</w:t>
      </w:r>
    </w:p>
    <w:p w14:paraId="27E07B85"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7B86" w14:textId="77777777" w:rsidR="00A85061" w:rsidRDefault="00F04891">
      <w:pPr>
        <w:jc w:val="center"/>
      </w:pPr>
      <w:r>
        <w:rPr>
          <w:rFonts w:ascii="sans-serif" w:eastAsia="sans-serif" w:hAnsi="sans-serif" w:cs="sans-serif"/>
          <w:b/>
          <w:bCs/>
          <w:color w:val="000000"/>
          <w:sz w:val="20"/>
          <w:szCs w:val="20"/>
        </w:rPr>
        <w:t>(Unaudited)</w:t>
      </w:r>
    </w:p>
    <w:p w14:paraId="27E07B87" w14:textId="77777777" w:rsidR="00A85061" w:rsidRDefault="00A85061">
      <w:pPr>
        <w:spacing w:after="180"/>
        <w:jc w:val="both"/>
      </w:pPr>
    </w:p>
    <w:p w14:paraId="27E07B88" w14:textId="77777777" w:rsidR="00A85061" w:rsidRDefault="00A85061">
      <w:pPr>
        <w:spacing w:after="180"/>
        <w:jc w:val="both"/>
      </w:pPr>
    </w:p>
    <w:p w14:paraId="27E07B89" w14:textId="77777777" w:rsidR="00A85061" w:rsidRDefault="00F04891">
      <w:pPr>
        <w:spacing w:before="240" w:after="120"/>
        <w:jc w:val="both"/>
      </w:pPr>
      <w:r>
        <w:rPr>
          <w:rFonts w:ascii="sans-serif" w:eastAsia="sans-serif" w:hAnsi="sans-serif" w:cs="sans-serif"/>
          <w:b/>
          <w:bCs/>
          <w:color w:val="76B900"/>
          <w:sz w:val="22"/>
          <w:szCs w:val="22"/>
        </w:rPr>
        <w:t xml:space="preserve">Note 4 - Stock-Based </w:t>
      </w:r>
      <w:r>
        <w:rPr>
          <w:rFonts w:ascii="sans-serif" w:eastAsia="sans-serif" w:hAnsi="sans-serif" w:cs="sans-serif"/>
          <w:b/>
          <w:bCs/>
          <w:color w:val="76B900"/>
          <w:sz w:val="22"/>
          <w:szCs w:val="22"/>
        </w:rPr>
        <w:t>Compensation</w:t>
      </w:r>
    </w:p>
    <w:p w14:paraId="27E07B8A" w14:textId="77777777" w:rsidR="00A85061" w:rsidRDefault="00F04891">
      <w:pPr>
        <w:spacing w:after="180"/>
        <w:jc w:val="both"/>
      </w:pPr>
      <w:r>
        <w:rPr>
          <w:rFonts w:ascii="sans-serif" w:eastAsia="sans-serif" w:hAnsi="sans-serif" w:cs="sans-serif"/>
          <w:color w:val="000000"/>
          <w:sz w:val="20"/>
          <w:szCs w:val="20"/>
        </w:rPr>
        <w:t>Our stock-based compensation expense is associated with restricted stock units, or RSUs, performance stock units that are based on our corporate financial performance targets, or PSUs, performance stock units that are based on market condition</w:t>
      </w:r>
      <w:r>
        <w:rPr>
          <w:rFonts w:ascii="sans-serif" w:eastAsia="sans-serif" w:hAnsi="sans-serif" w:cs="sans-serif"/>
          <w:color w:val="000000"/>
          <w:sz w:val="20"/>
          <w:szCs w:val="20"/>
        </w:rPr>
        <w:t>s, or market-based PSUs, and our employee stock purchase plan, or ESPP.</w:t>
      </w:r>
    </w:p>
    <w:p w14:paraId="27E07B8B" w14:textId="77777777" w:rsidR="00A85061" w:rsidRDefault="00F04891">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95"/>
        <w:gridCol w:w="38"/>
        <w:gridCol w:w="122"/>
        <w:gridCol w:w="1173"/>
        <w:gridCol w:w="36"/>
        <w:gridCol w:w="36"/>
        <w:gridCol w:w="36"/>
        <w:gridCol w:w="36"/>
        <w:gridCol w:w="122"/>
        <w:gridCol w:w="1135"/>
        <w:gridCol w:w="36"/>
        <w:gridCol w:w="36"/>
        <w:gridCol w:w="36"/>
        <w:gridCol w:w="36"/>
        <w:gridCol w:w="36"/>
        <w:gridCol w:w="36"/>
        <w:gridCol w:w="36"/>
        <w:gridCol w:w="36"/>
        <w:gridCol w:w="36"/>
        <w:gridCol w:w="36"/>
        <w:gridCol w:w="36"/>
        <w:gridCol w:w="36"/>
        <w:gridCol w:w="36"/>
      </w:tblGrid>
      <w:tr w:rsidR="00A85061" w14:paraId="27E07B9C" w14:textId="77777777">
        <w:tc>
          <w:tcPr>
            <w:tcW w:w="50" w:type="pct"/>
            <w:shd w:val="clear" w:color="auto" w:fill="auto"/>
            <w:vAlign w:val="bottom"/>
          </w:tcPr>
          <w:p w14:paraId="27E07B8C" w14:textId="77777777" w:rsidR="00A85061" w:rsidRDefault="00A85061">
            <w:pPr>
              <w:rPr>
                <w:rFonts w:ascii="宋体"/>
              </w:rPr>
            </w:pPr>
          </w:p>
        </w:tc>
        <w:tc>
          <w:tcPr>
            <w:tcW w:w="3256" w:type="pct"/>
            <w:shd w:val="clear" w:color="auto" w:fill="auto"/>
            <w:vAlign w:val="bottom"/>
          </w:tcPr>
          <w:p w14:paraId="27E07B8D" w14:textId="77777777" w:rsidR="00A85061" w:rsidRDefault="00A85061">
            <w:pPr>
              <w:rPr>
                <w:rFonts w:ascii="宋体"/>
              </w:rPr>
            </w:pPr>
          </w:p>
        </w:tc>
        <w:tc>
          <w:tcPr>
            <w:tcW w:w="5" w:type="pct"/>
            <w:shd w:val="clear" w:color="auto" w:fill="auto"/>
            <w:vAlign w:val="bottom"/>
          </w:tcPr>
          <w:p w14:paraId="27E07B8E" w14:textId="77777777" w:rsidR="00A85061" w:rsidRDefault="00A85061">
            <w:pPr>
              <w:rPr>
                <w:rFonts w:ascii="宋体"/>
              </w:rPr>
            </w:pPr>
          </w:p>
        </w:tc>
        <w:tc>
          <w:tcPr>
            <w:tcW w:w="50" w:type="pct"/>
            <w:shd w:val="clear" w:color="auto" w:fill="auto"/>
            <w:vAlign w:val="bottom"/>
          </w:tcPr>
          <w:p w14:paraId="27E07B8F" w14:textId="77777777" w:rsidR="00A85061" w:rsidRDefault="00A85061">
            <w:pPr>
              <w:rPr>
                <w:rFonts w:ascii="宋体"/>
              </w:rPr>
            </w:pPr>
          </w:p>
        </w:tc>
        <w:tc>
          <w:tcPr>
            <w:tcW w:w="771" w:type="pct"/>
            <w:shd w:val="clear" w:color="auto" w:fill="auto"/>
            <w:vAlign w:val="bottom"/>
          </w:tcPr>
          <w:p w14:paraId="27E07B90" w14:textId="77777777" w:rsidR="00A85061" w:rsidRDefault="00A85061">
            <w:pPr>
              <w:rPr>
                <w:rFonts w:ascii="宋体"/>
              </w:rPr>
            </w:pPr>
          </w:p>
        </w:tc>
        <w:tc>
          <w:tcPr>
            <w:tcW w:w="5" w:type="pct"/>
            <w:shd w:val="clear" w:color="auto" w:fill="auto"/>
            <w:vAlign w:val="bottom"/>
          </w:tcPr>
          <w:p w14:paraId="27E07B91" w14:textId="77777777" w:rsidR="00A85061" w:rsidRDefault="00A85061">
            <w:pPr>
              <w:rPr>
                <w:rFonts w:ascii="宋体"/>
              </w:rPr>
            </w:pPr>
          </w:p>
        </w:tc>
        <w:tc>
          <w:tcPr>
            <w:tcW w:w="5" w:type="pct"/>
            <w:shd w:val="clear" w:color="auto" w:fill="auto"/>
            <w:vAlign w:val="bottom"/>
          </w:tcPr>
          <w:p w14:paraId="27E07B92" w14:textId="77777777" w:rsidR="00A85061" w:rsidRDefault="00A85061">
            <w:pPr>
              <w:rPr>
                <w:rFonts w:ascii="宋体"/>
              </w:rPr>
            </w:pPr>
          </w:p>
        </w:tc>
        <w:tc>
          <w:tcPr>
            <w:tcW w:w="26" w:type="pct"/>
            <w:shd w:val="clear" w:color="auto" w:fill="auto"/>
            <w:vAlign w:val="bottom"/>
          </w:tcPr>
          <w:p w14:paraId="27E07B93" w14:textId="77777777" w:rsidR="00A85061" w:rsidRDefault="00A85061">
            <w:pPr>
              <w:rPr>
                <w:rFonts w:ascii="宋体"/>
              </w:rPr>
            </w:pPr>
          </w:p>
        </w:tc>
        <w:tc>
          <w:tcPr>
            <w:tcW w:w="5" w:type="pct"/>
            <w:shd w:val="clear" w:color="auto" w:fill="auto"/>
            <w:vAlign w:val="bottom"/>
          </w:tcPr>
          <w:p w14:paraId="27E07B94" w14:textId="77777777" w:rsidR="00A85061" w:rsidRDefault="00A85061">
            <w:pPr>
              <w:rPr>
                <w:rFonts w:ascii="宋体"/>
              </w:rPr>
            </w:pPr>
          </w:p>
        </w:tc>
        <w:tc>
          <w:tcPr>
            <w:tcW w:w="50" w:type="pct"/>
            <w:shd w:val="clear" w:color="auto" w:fill="auto"/>
            <w:vAlign w:val="bottom"/>
          </w:tcPr>
          <w:p w14:paraId="27E07B95" w14:textId="77777777" w:rsidR="00A85061" w:rsidRDefault="00A85061">
            <w:pPr>
              <w:rPr>
                <w:rFonts w:ascii="宋体"/>
              </w:rPr>
            </w:pPr>
          </w:p>
        </w:tc>
        <w:tc>
          <w:tcPr>
            <w:tcW w:w="771" w:type="pct"/>
            <w:shd w:val="clear" w:color="auto" w:fill="auto"/>
            <w:vAlign w:val="bottom"/>
          </w:tcPr>
          <w:p w14:paraId="27E07B96" w14:textId="77777777" w:rsidR="00A85061" w:rsidRDefault="00A85061">
            <w:pPr>
              <w:rPr>
                <w:rFonts w:ascii="宋体"/>
              </w:rPr>
            </w:pPr>
          </w:p>
        </w:tc>
        <w:tc>
          <w:tcPr>
            <w:tcW w:w="5" w:type="pct"/>
            <w:shd w:val="clear" w:color="auto" w:fill="auto"/>
            <w:vAlign w:val="bottom"/>
          </w:tcPr>
          <w:p w14:paraId="27E07B97" w14:textId="77777777" w:rsidR="00A85061" w:rsidRDefault="00A85061">
            <w:pPr>
              <w:rPr>
                <w:rFonts w:ascii="宋体"/>
              </w:rPr>
            </w:pPr>
          </w:p>
        </w:tc>
        <w:tc>
          <w:tcPr>
            <w:tcW w:w="0" w:type="auto"/>
            <w:gridSpan w:val="3"/>
            <w:shd w:val="clear" w:color="auto" w:fill="auto"/>
            <w:vAlign w:val="bottom"/>
          </w:tcPr>
          <w:p w14:paraId="27E07B98" w14:textId="77777777" w:rsidR="00A85061" w:rsidRDefault="00A85061">
            <w:pPr>
              <w:rPr>
                <w:rFonts w:ascii="宋体"/>
                <w:vanish/>
              </w:rPr>
            </w:pPr>
          </w:p>
        </w:tc>
        <w:tc>
          <w:tcPr>
            <w:tcW w:w="0" w:type="auto"/>
            <w:gridSpan w:val="3"/>
            <w:shd w:val="clear" w:color="auto" w:fill="auto"/>
            <w:vAlign w:val="bottom"/>
          </w:tcPr>
          <w:p w14:paraId="27E07B99" w14:textId="77777777" w:rsidR="00A85061" w:rsidRDefault="00A85061">
            <w:pPr>
              <w:rPr>
                <w:rFonts w:ascii="宋体"/>
                <w:vanish/>
              </w:rPr>
            </w:pPr>
          </w:p>
        </w:tc>
        <w:tc>
          <w:tcPr>
            <w:tcW w:w="0" w:type="auto"/>
            <w:gridSpan w:val="3"/>
            <w:shd w:val="clear" w:color="auto" w:fill="auto"/>
            <w:vAlign w:val="bottom"/>
          </w:tcPr>
          <w:p w14:paraId="27E07B9A" w14:textId="77777777" w:rsidR="00A85061" w:rsidRDefault="00A85061">
            <w:pPr>
              <w:rPr>
                <w:rFonts w:ascii="宋体"/>
                <w:vanish/>
              </w:rPr>
            </w:pPr>
          </w:p>
        </w:tc>
        <w:tc>
          <w:tcPr>
            <w:tcW w:w="0" w:type="auto"/>
            <w:gridSpan w:val="3"/>
            <w:shd w:val="clear" w:color="auto" w:fill="auto"/>
            <w:vAlign w:val="bottom"/>
          </w:tcPr>
          <w:p w14:paraId="27E07B9B" w14:textId="77777777" w:rsidR="00A85061" w:rsidRDefault="00A85061">
            <w:pPr>
              <w:rPr>
                <w:rFonts w:ascii="宋体"/>
                <w:vanish/>
              </w:rPr>
            </w:pPr>
          </w:p>
        </w:tc>
      </w:tr>
      <w:tr w:rsidR="00A85061" w14:paraId="27E07BA7" w14:textId="77777777">
        <w:tc>
          <w:tcPr>
            <w:tcW w:w="0" w:type="auto"/>
            <w:gridSpan w:val="3"/>
            <w:shd w:val="clear" w:color="auto" w:fill="auto"/>
            <w:tcMar>
              <w:top w:w="40" w:type="dxa"/>
              <w:left w:w="20" w:type="dxa"/>
              <w:bottom w:w="40" w:type="dxa"/>
              <w:right w:w="20" w:type="dxa"/>
            </w:tcMar>
            <w:vAlign w:val="bottom"/>
          </w:tcPr>
          <w:p w14:paraId="27E07B9D"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B9E"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7B9F" w14:textId="77777777" w:rsidR="00A85061" w:rsidRDefault="00A85061">
            <w:pPr>
              <w:rPr>
                <w:rFonts w:ascii="宋体"/>
                <w:vanish/>
              </w:rPr>
            </w:pPr>
          </w:p>
        </w:tc>
        <w:tc>
          <w:tcPr>
            <w:tcW w:w="0" w:type="auto"/>
            <w:gridSpan w:val="3"/>
            <w:shd w:val="clear" w:color="auto" w:fill="auto"/>
            <w:vAlign w:val="bottom"/>
          </w:tcPr>
          <w:p w14:paraId="27E07BA0" w14:textId="77777777" w:rsidR="00A85061" w:rsidRDefault="00A85061">
            <w:pPr>
              <w:rPr>
                <w:rFonts w:ascii="宋体"/>
                <w:vanish/>
              </w:rPr>
            </w:pPr>
          </w:p>
        </w:tc>
        <w:tc>
          <w:tcPr>
            <w:tcW w:w="0" w:type="auto"/>
            <w:shd w:val="clear" w:color="auto" w:fill="auto"/>
            <w:vAlign w:val="bottom"/>
          </w:tcPr>
          <w:p w14:paraId="27E07BA1" w14:textId="77777777" w:rsidR="00A85061" w:rsidRDefault="00A85061">
            <w:pPr>
              <w:rPr>
                <w:rFonts w:ascii="宋体"/>
              </w:rPr>
            </w:pPr>
          </w:p>
        </w:tc>
        <w:tc>
          <w:tcPr>
            <w:tcW w:w="0" w:type="auto"/>
            <w:shd w:val="clear" w:color="auto" w:fill="auto"/>
            <w:vAlign w:val="bottom"/>
          </w:tcPr>
          <w:p w14:paraId="27E07BA2" w14:textId="77777777" w:rsidR="00A85061" w:rsidRDefault="00A85061">
            <w:pPr>
              <w:rPr>
                <w:rFonts w:ascii="宋体"/>
              </w:rPr>
            </w:pPr>
          </w:p>
        </w:tc>
        <w:tc>
          <w:tcPr>
            <w:tcW w:w="0" w:type="auto"/>
            <w:shd w:val="clear" w:color="auto" w:fill="auto"/>
            <w:vAlign w:val="bottom"/>
          </w:tcPr>
          <w:p w14:paraId="27E07BA3" w14:textId="77777777" w:rsidR="00A85061" w:rsidRDefault="00A85061">
            <w:pPr>
              <w:rPr>
                <w:rFonts w:ascii="宋体"/>
              </w:rPr>
            </w:pPr>
          </w:p>
        </w:tc>
        <w:tc>
          <w:tcPr>
            <w:tcW w:w="0" w:type="auto"/>
            <w:shd w:val="clear" w:color="auto" w:fill="auto"/>
            <w:vAlign w:val="bottom"/>
          </w:tcPr>
          <w:p w14:paraId="27E07BA4" w14:textId="77777777" w:rsidR="00A85061" w:rsidRDefault="00A85061">
            <w:pPr>
              <w:rPr>
                <w:rFonts w:ascii="宋体"/>
              </w:rPr>
            </w:pPr>
          </w:p>
        </w:tc>
        <w:tc>
          <w:tcPr>
            <w:tcW w:w="0" w:type="auto"/>
            <w:shd w:val="clear" w:color="auto" w:fill="auto"/>
            <w:vAlign w:val="bottom"/>
          </w:tcPr>
          <w:p w14:paraId="27E07BA5" w14:textId="77777777" w:rsidR="00A85061" w:rsidRDefault="00A85061">
            <w:pPr>
              <w:rPr>
                <w:rFonts w:ascii="宋体"/>
              </w:rPr>
            </w:pPr>
          </w:p>
        </w:tc>
        <w:tc>
          <w:tcPr>
            <w:tcW w:w="0" w:type="auto"/>
            <w:shd w:val="clear" w:color="auto" w:fill="auto"/>
            <w:vAlign w:val="bottom"/>
          </w:tcPr>
          <w:p w14:paraId="27E07BA6" w14:textId="77777777" w:rsidR="00A85061" w:rsidRDefault="00A85061">
            <w:pPr>
              <w:rPr>
                <w:rFonts w:ascii="宋体"/>
              </w:rPr>
            </w:pPr>
          </w:p>
        </w:tc>
      </w:tr>
      <w:tr w:rsidR="00A85061" w14:paraId="27E07BB0" w14:textId="77777777">
        <w:tc>
          <w:tcPr>
            <w:tcW w:w="0" w:type="auto"/>
            <w:gridSpan w:val="3"/>
            <w:shd w:val="clear" w:color="auto" w:fill="auto"/>
            <w:tcMar>
              <w:top w:w="40" w:type="dxa"/>
              <w:left w:w="20" w:type="dxa"/>
              <w:bottom w:w="40" w:type="dxa"/>
              <w:right w:w="20" w:type="dxa"/>
            </w:tcMar>
            <w:vAlign w:val="bottom"/>
          </w:tcPr>
          <w:p w14:paraId="27E07BA8"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BA9" w14:textId="77777777" w:rsidR="00A85061" w:rsidRDefault="00F04891">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AA"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BAB" w14:textId="77777777" w:rsidR="00A85061" w:rsidRDefault="00F04891">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shd w:val="clear" w:color="auto" w:fill="auto"/>
            <w:vAlign w:val="bottom"/>
          </w:tcPr>
          <w:p w14:paraId="27E07BAC" w14:textId="77777777" w:rsidR="00A85061" w:rsidRDefault="00A85061">
            <w:pPr>
              <w:rPr>
                <w:rFonts w:ascii="宋体"/>
                <w:vanish/>
              </w:rPr>
            </w:pPr>
          </w:p>
        </w:tc>
        <w:tc>
          <w:tcPr>
            <w:tcW w:w="0" w:type="auto"/>
            <w:gridSpan w:val="3"/>
            <w:shd w:val="clear" w:color="auto" w:fill="auto"/>
            <w:vAlign w:val="bottom"/>
          </w:tcPr>
          <w:p w14:paraId="27E07BAD" w14:textId="77777777" w:rsidR="00A85061" w:rsidRDefault="00A85061">
            <w:pPr>
              <w:rPr>
                <w:rFonts w:ascii="宋体"/>
                <w:vanish/>
              </w:rPr>
            </w:pPr>
          </w:p>
        </w:tc>
        <w:tc>
          <w:tcPr>
            <w:tcW w:w="0" w:type="auto"/>
            <w:gridSpan w:val="3"/>
            <w:shd w:val="clear" w:color="auto" w:fill="auto"/>
            <w:vAlign w:val="bottom"/>
          </w:tcPr>
          <w:p w14:paraId="27E07BAE" w14:textId="77777777" w:rsidR="00A85061" w:rsidRDefault="00A85061">
            <w:pPr>
              <w:rPr>
                <w:rFonts w:ascii="宋体"/>
                <w:vanish/>
              </w:rPr>
            </w:pPr>
          </w:p>
        </w:tc>
        <w:tc>
          <w:tcPr>
            <w:tcW w:w="0" w:type="auto"/>
            <w:gridSpan w:val="3"/>
            <w:shd w:val="clear" w:color="auto" w:fill="auto"/>
            <w:vAlign w:val="bottom"/>
          </w:tcPr>
          <w:p w14:paraId="27E07BAF" w14:textId="77777777" w:rsidR="00A85061" w:rsidRDefault="00A85061">
            <w:pPr>
              <w:rPr>
                <w:rFonts w:ascii="宋体"/>
                <w:vanish/>
              </w:rPr>
            </w:pPr>
          </w:p>
        </w:tc>
      </w:tr>
      <w:tr w:rsidR="00A85061" w14:paraId="27E07BB9" w14:textId="77777777">
        <w:trPr>
          <w:trHeight w:val="60"/>
        </w:trPr>
        <w:tc>
          <w:tcPr>
            <w:tcW w:w="0" w:type="auto"/>
            <w:gridSpan w:val="3"/>
            <w:shd w:val="clear" w:color="auto" w:fill="auto"/>
            <w:tcMar>
              <w:top w:w="0" w:type="dxa"/>
              <w:left w:w="20" w:type="dxa"/>
              <w:bottom w:w="0" w:type="dxa"/>
              <w:right w:w="20" w:type="dxa"/>
            </w:tcMar>
            <w:vAlign w:val="bottom"/>
          </w:tcPr>
          <w:p w14:paraId="27E07BB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B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BB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BB4" w14:textId="77777777" w:rsidR="00A85061" w:rsidRDefault="00A85061">
            <w:pPr>
              <w:rPr>
                <w:rFonts w:ascii="宋体"/>
              </w:rPr>
            </w:pPr>
          </w:p>
        </w:tc>
        <w:tc>
          <w:tcPr>
            <w:tcW w:w="0" w:type="auto"/>
            <w:gridSpan w:val="3"/>
            <w:shd w:val="clear" w:color="auto" w:fill="auto"/>
            <w:vAlign w:val="bottom"/>
          </w:tcPr>
          <w:p w14:paraId="27E07BB5" w14:textId="77777777" w:rsidR="00A85061" w:rsidRDefault="00A85061">
            <w:pPr>
              <w:rPr>
                <w:rFonts w:ascii="宋体"/>
                <w:vanish/>
              </w:rPr>
            </w:pPr>
          </w:p>
        </w:tc>
        <w:tc>
          <w:tcPr>
            <w:tcW w:w="0" w:type="auto"/>
            <w:gridSpan w:val="3"/>
            <w:shd w:val="clear" w:color="auto" w:fill="auto"/>
            <w:vAlign w:val="bottom"/>
          </w:tcPr>
          <w:p w14:paraId="27E07BB6" w14:textId="77777777" w:rsidR="00A85061" w:rsidRDefault="00A85061">
            <w:pPr>
              <w:rPr>
                <w:rFonts w:ascii="宋体"/>
                <w:vanish/>
              </w:rPr>
            </w:pPr>
          </w:p>
        </w:tc>
        <w:tc>
          <w:tcPr>
            <w:tcW w:w="0" w:type="auto"/>
            <w:gridSpan w:val="3"/>
            <w:shd w:val="clear" w:color="auto" w:fill="auto"/>
            <w:vAlign w:val="bottom"/>
          </w:tcPr>
          <w:p w14:paraId="27E07BB7" w14:textId="77777777" w:rsidR="00A85061" w:rsidRDefault="00A85061">
            <w:pPr>
              <w:rPr>
                <w:rFonts w:ascii="宋体"/>
                <w:vanish/>
              </w:rPr>
            </w:pPr>
          </w:p>
        </w:tc>
        <w:tc>
          <w:tcPr>
            <w:tcW w:w="0" w:type="auto"/>
            <w:gridSpan w:val="3"/>
            <w:shd w:val="clear" w:color="auto" w:fill="auto"/>
            <w:vAlign w:val="bottom"/>
          </w:tcPr>
          <w:p w14:paraId="27E07BB8" w14:textId="77777777" w:rsidR="00A85061" w:rsidRDefault="00A85061">
            <w:pPr>
              <w:rPr>
                <w:rFonts w:ascii="宋体"/>
                <w:vanish/>
              </w:rPr>
            </w:pPr>
          </w:p>
        </w:tc>
      </w:tr>
      <w:tr w:rsidR="00A85061" w14:paraId="27E07BC8" w14:textId="77777777">
        <w:tc>
          <w:tcPr>
            <w:tcW w:w="0" w:type="auto"/>
            <w:gridSpan w:val="3"/>
            <w:shd w:val="clear" w:color="auto" w:fill="auto"/>
            <w:tcMar>
              <w:top w:w="0" w:type="dxa"/>
              <w:left w:w="20" w:type="dxa"/>
              <w:bottom w:w="0" w:type="dxa"/>
              <w:right w:w="20" w:type="dxa"/>
            </w:tcMar>
            <w:vAlign w:val="bottom"/>
          </w:tcPr>
          <w:p w14:paraId="27E07BBA" w14:textId="77777777" w:rsidR="00A85061" w:rsidRDefault="00A85061">
            <w:pPr>
              <w:rPr>
                <w:rFonts w:ascii="宋体"/>
              </w:rPr>
            </w:pPr>
          </w:p>
        </w:tc>
        <w:tc>
          <w:tcPr>
            <w:tcW w:w="0" w:type="auto"/>
            <w:gridSpan w:val="9"/>
            <w:shd w:val="clear" w:color="auto" w:fill="FFFFFF"/>
            <w:tcMar>
              <w:top w:w="40" w:type="dxa"/>
              <w:left w:w="20" w:type="dxa"/>
              <w:bottom w:w="40" w:type="dxa"/>
              <w:right w:w="20" w:type="dxa"/>
            </w:tcMar>
            <w:vAlign w:val="bottom"/>
          </w:tcPr>
          <w:p w14:paraId="27E07BBB" w14:textId="77777777" w:rsidR="00A85061" w:rsidRDefault="00F04891">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27E07BBC" w14:textId="77777777" w:rsidR="00A85061" w:rsidRDefault="00A85061">
            <w:pPr>
              <w:rPr>
                <w:rFonts w:ascii="宋体"/>
              </w:rPr>
            </w:pPr>
          </w:p>
        </w:tc>
        <w:tc>
          <w:tcPr>
            <w:tcW w:w="0" w:type="auto"/>
            <w:shd w:val="clear" w:color="auto" w:fill="auto"/>
            <w:vAlign w:val="bottom"/>
          </w:tcPr>
          <w:p w14:paraId="27E07BBD" w14:textId="77777777" w:rsidR="00A85061" w:rsidRDefault="00A85061">
            <w:pPr>
              <w:rPr>
                <w:rFonts w:ascii="宋体"/>
              </w:rPr>
            </w:pPr>
          </w:p>
        </w:tc>
        <w:tc>
          <w:tcPr>
            <w:tcW w:w="0" w:type="auto"/>
            <w:shd w:val="clear" w:color="auto" w:fill="auto"/>
            <w:vAlign w:val="bottom"/>
          </w:tcPr>
          <w:p w14:paraId="27E07BBE" w14:textId="77777777" w:rsidR="00A85061" w:rsidRDefault="00A85061">
            <w:pPr>
              <w:rPr>
                <w:rFonts w:ascii="宋体"/>
              </w:rPr>
            </w:pPr>
          </w:p>
        </w:tc>
        <w:tc>
          <w:tcPr>
            <w:tcW w:w="0" w:type="auto"/>
            <w:shd w:val="clear" w:color="auto" w:fill="auto"/>
            <w:vAlign w:val="bottom"/>
          </w:tcPr>
          <w:p w14:paraId="27E07BBF" w14:textId="77777777" w:rsidR="00A85061" w:rsidRDefault="00A85061">
            <w:pPr>
              <w:rPr>
                <w:rFonts w:ascii="宋体"/>
              </w:rPr>
            </w:pPr>
          </w:p>
        </w:tc>
        <w:tc>
          <w:tcPr>
            <w:tcW w:w="0" w:type="auto"/>
            <w:shd w:val="clear" w:color="auto" w:fill="auto"/>
            <w:vAlign w:val="bottom"/>
          </w:tcPr>
          <w:p w14:paraId="27E07BC0" w14:textId="77777777" w:rsidR="00A85061" w:rsidRDefault="00A85061">
            <w:pPr>
              <w:rPr>
                <w:rFonts w:ascii="宋体"/>
              </w:rPr>
            </w:pPr>
          </w:p>
        </w:tc>
        <w:tc>
          <w:tcPr>
            <w:tcW w:w="0" w:type="auto"/>
            <w:shd w:val="clear" w:color="auto" w:fill="auto"/>
            <w:vAlign w:val="bottom"/>
          </w:tcPr>
          <w:p w14:paraId="27E07BC1" w14:textId="77777777" w:rsidR="00A85061" w:rsidRDefault="00A85061">
            <w:pPr>
              <w:rPr>
                <w:rFonts w:ascii="宋体"/>
              </w:rPr>
            </w:pPr>
          </w:p>
        </w:tc>
        <w:tc>
          <w:tcPr>
            <w:tcW w:w="0" w:type="auto"/>
            <w:shd w:val="clear" w:color="auto" w:fill="auto"/>
            <w:vAlign w:val="bottom"/>
          </w:tcPr>
          <w:p w14:paraId="27E07BC2" w14:textId="77777777" w:rsidR="00A85061" w:rsidRDefault="00A85061">
            <w:pPr>
              <w:rPr>
                <w:rFonts w:ascii="宋体"/>
              </w:rPr>
            </w:pPr>
          </w:p>
        </w:tc>
        <w:tc>
          <w:tcPr>
            <w:tcW w:w="0" w:type="auto"/>
            <w:shd w:val="clear" w:color="auto" w:fill="auto"/>
            <w:vAlign w:val="bottom"/>
          </w:tcPr>
          <w:p w14:paraId="27E07BC3" w14:textId="77777777" w:rsidR="00A85061" w:rsidRDefault="00A85061">
            <w:pPr>
              <w:rPr>
                <w:rFonts w:ascii="宋体"/>
              </w:rPr>
            </w:pPr>
          </w:p>
        </w:tc>
        <w:tc>
          <w:tcPr>
            <w:tcW w:w="0" w:type="auto"/>
            <w:shd w:val="clear" w:color="auto" w:fill="auto"/>
            <w:vAlign w:val="bottom"/>
          </w:tcPr>
          <w:p w14:paraId="27E07BC4" w14:textId="77777777" w:rsidR="00A85061" w:rsidRDefault="00A85061">
            <w:pPr>
              <w:rPr>
                <w:rFonts w:ascii="宋体"/>
              </w:rPr>
            </w:pPr>
          </w:p>
        </w:tc>
        <w:tc>
          <w:tcPr>
            <w:tcW w:w="0" w:type="auto"/>
            <w:shd w:val="clear" w:color="auto" w:fill="auto"/>
            <w:vAlign w:val="bottom"/>
          </w:tcPr>
          <w:p w14:paraId="27E07BC5" w14:textId="77777777" w:rsidR="00A85061" w:rsidRDefault="00A85061">
            <w:pPr>
              <w:rPr>
                <w:rFonts w:ascii="宋体"/>
              </w:rPr>
            </w:pPr>
          </w:p>
        </w:tc>
        <w:tc>
          <w:tcPr>
            <w:tcW w:w="0" w:type="auto"/>
            <w:shd w:val="clear" w:color="auto" w:fill="auto"/>
            <w:vAlign w:val="bottom"/>
          </w:tcPr>
          <w:p w14:paraId="27E07BC6" w14:textId="77777777" w:rsidR="00A85061" w:rsidRDefault="00A85061">
            <w:pPr>
              <w:rPr>
                <w:rFonts w:ascii="宋体"/>
              </w:rPr>
            </w:pPr>
          </w:p>
        </w:tc>
        <w:tc>
          <w:tcPr>
            <w:tcW w:w="0" w:type="auto"/>
            <w:shd w:val="clear" w:color="auto" w:fill="auto"/>
            <w:vAlign w:val="bottom"/>
          </w:tcPr>
          <w:p w14:paraId="27E07BC7" w14:textId="77777777" w:rsidR="00A85061" w:rsidRDefault="00A85061">
            <w:pPr>
              <w:rPr>
                <w:rFonts w:ascii="宋体"/>
              </w:rPr>
            </w:pPr>
          </w:p>
        </w:tc>
      </w:tr>
      <w:tr w:rsidR="00A85061" w14:paraId="27E07BD5" w14:textId="77777777">
        <w:tc>
          <w:tcPr>
            <w:tcW w:w="0" w:type="auto"/>
            <w:gridSpan w:val="3"/>
            <w:shd w:val="clear" w:color="auto" w:fill="E2EFD9"/>
            <w:tcMar>
              <w:top w:w="40" w:type="dxa"/>
              <w:left w:w="20" w:type="dxa"/>
              <w:bottom w:w="40" w:type="dxa"/>
              <w:right w:w="20" w:type="dxa"/>
            </w:tcMar>
            <w:vAlign w:val="bottom"/>
          </w:tcPr>
          <w:p w14:paraId="27E07BC9" w14:textId="77777777" w:rsidR="00A85061" w:rsidRDefault="00F04891">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27E07BC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BCB" w14:textId="77777777" w:rsidR="00A85061" w:rsidRDefault="00F04891">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27E07BC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BCD"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BC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BCF" w14:textId="77777777" w:rsidR="00A85061" w:rsidRDefault="00F04891">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left w:w="0" w:type="dxa"/>
              <w:bottom w:w="40" w:type="dxa"/>
              <w:right w:w="20" w:type="dxa"/>
            </w:tcMar>
            <w:vAlign w:val="bottom"/>
          </w:tcPr>
          <w:p w14:paraId="27E07BD0" w14:textId="77777777" w:rsidR="00A85061" w:rsidRDefault="00A85061">
            <w:pPr>
              <w:jc w:val="right"/>
              <w:rPr>
                <w:rFonts w:ascii="宋体"/>
              </w:rPr>
            </w:pPr>
          </w:p>
        </w:tc>
        <w:tc>
          <w:tcPr>
            <w:tcW w:w="0" w:type="auto"/>
            <w:gridSpan w:val="3"/>
            <w:shd w:val="clear" w:color="auto" w:fill="auto"/>
            <w:vAlign w:val="bottom"/>
          </w:tcPr>
          <w:p w14:paraId="27E07BD1" w14:textId="77777777" w:rsidR="00A85061" w:rsidRDefault="00A85061">
            <w:pPr>
              <w:rPr>
                <w:rFonts w:ascii="宋体"/>
                <w:vanish/>
              </w:rPr>
            </w:pPr>
          </w:p>
        </w:tc>
        <w:tc>
          <w:tcPr>
            <w:tcW w:w="0" w:type="auto"/>
            <w:gridSpan w:val="3"/>
            <w:shd w:val="clear" w:color="auto" w:fill="auto"/>
            <w:vAlign w:val="bottom"/>
          </w:tcPr>
          <w:p w14:paraId="27E07BD2" w14:textId="77777777" w:rsidR="00A85061" w:rsidRDefault="00A85061">
            <w:pPr>
              <w:rPr>
                <w:rFonts w:ascii="宋体"/>
                <w:vanish/>
              </w:rPr>
            </w:pPr>
          </w:p>
        </w:tc>
        <w:tc>
          <w:tcPr>
            <w:tcW w:w="0" w:type="auto"/>
            <w:gridSpan w:val="3"/>
            <w:shd w:val="clear" w:color="auto" w:fill="auto"/>
            <w:vAlign w:val="bottom"/>
          </w:tcPr>
          <w:p w14:paraId="27E07BD3" w14:textId="77777777" w:rsidR="00A85061" w:rsidRDefault="00A85061">
            <w:pPr>
              <w:rPr>
                <w:rFonts w:ascii="宋体"/>
                <w:vanish/>
              </w:rPr>
            </w:pPr>
          </w:p>
        </w:tc>
        <w:tc>
          <w:tcPr>
            <w:tcW w:w="0" w:type="auto"/>
            <w:gridSpan w:val="3"/>
            <w:shd w:val="clear" w:color="auto" w:fill="auto"/>
            <w:vAlign w:val="bottom"/>
          </w:tcPr>
          <w:p w14:paraId="27E07BD4" w14:textId="77777777" w:rsidR="00A85061" w:rsidRDefault="00A85061">
            <w:pPr>
              <w:rPr>
                <w:rFonts w:ascii="宋体"/>
                <w:vanish/>
              </w:rPr>
            </w:pPr>
          </w:p>
        </w:tc>
      </w:tr>
      <w:tr w:rsidR="00A85061" w14:paraId="27E07BE0" w14:textId="77777777">
        <w:tc>
          <w:tcPr>
            <w:tcW w:w="0" w:type="auto"/>
            <w:gridSpan w:val="3"/>
            <w:shd w:val="clear" w:color="auto" w:fill="FFFFFF"/>
            <w:tcMar>
              <w:top w:w="40" w:type="dxa"/>
              <w:left w:w="20" w:type="dxa"/>
              <w:bottom w:w="40" w:type="dxa"/>
              <w:right w:w="20" w:type="dxa"/>
            </w:tcMar>
            <w:vAlign w:val="bottom"/>
          </w:tcPr>
          <w:p w14:paraId="27E07BD6" w14:textId="77777777" w:rsidR="00A85061" w:rsidRDefault="00F04891">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27E07BD7" w14:textId="77777777" w:rsidR="00A85061" w:rsidRDefault="00F04891">
            <w:pPr>
              <w:jc w:val="right"/>
              <w:textAlignment w:val="bottom"/>
            </w:pPr>
            <w:r>
              <w:rPr>
                <w:rFonts w:ascii="sans-serif" w:eastAsia="sans-serif" w:hAnsi="sans-serif" w:cs="sans-serif"/>
                <w:color w:val="000000"/>
                <w:sz w:val="20"/>
                <w:szCs w:val="20"/>
              </w:rPr>
              <w:t>276 </w:t>
            </w:r>
          </w:p>
        </w:tc>
        <w:tc>
          <w:tcPr>
            <w:tcW w:w="0" w:type="auto"/>
            <w:shd w:val="clear" w:color="auto" w:fill="FFFFFF"/>
            <w:tcMar>
              <w:top w:w="40" w:type="dxa"/>
              <w:left w:w="0" w:type="dxa"/>
              <w:bottom w:w="40" w:type="dxa"/>
              <w:right w:w="20" w:type="dxa"/>
            </w:tcMar>
            <w:vAlign w:val="bottom"/>
          </w:tcPr>
          <w:p w14:paraId="27E07BD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BD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BDA" w14:textId="77777777" w:rsidR="00A85061" w:rsidRDefault="00F04891">
            <w:pPr>
              <w:jc w:val="right"/>
              <w:textAlignment w:val="bottom"/>
            </w:pPr>
            <w:r>
              <w:rPr>
                <w:rFonts w:ascii="sans-serif" w:eastAsia="sans-serif" w:hAnsi="sans-serif" w:cs="sans-serif"/>
                <w:color w:val="000000"/>
                <w:sz w:val="20"/>
                <w:szCs w:val="20"/>
              </w:rPr>
              <w:t>134 </w:t>
            </w:r>
          </w:p>
        </w:tc>
        <w:tc>
          <w:tcPr>
            <w:tcW w:w="0" w:type="auto"/>
            <w:shd w:val="clear" w:color="auto" w:fill="FFFFFF"/>
            <w:tcMar>
              <w:top w:w="40" w:type="dxa"/>
              <w:left w:w="0" w:type="dxa"/>
              <w:bottom w:w="40" w:type="dxa"/>
              <w:right w:w="20" w:type="dxa"/>
            </w:tcMar>
            <w:vAlign w:val="bottom"/>
          </w:tcPr>
          <w:p w14:paraId="27E07BDB" w14:textId="77777777" w:rsidR="00A85061" w:rsidRDefault="00A85061">
            <w:pPr>
              <w:jc w:val="right"/>
              <w:rPr>
                <w:rFonts w:ascii="宋体"/>
              </w:rPr>
            </w:pPr>
          </w:p>
        </w:tc>
        <w:tc>
          <w:tcPr>
            <w:tcW w:w="0" w:type="auto"/>
            <w:gridSpan w:val="3"/>
            <w:shd w:val="clear" w:color="auto" w:fill="auto"/>
            <w:vAlign w:val="bottom"/>
          </w:tcPr>
          <w:p w14:paraId="27E07BDC" w14:textId="77777777" w:rsidR="00A85061" w:rsidRDefault="00A85061">
            <w:pPr>
              <w:rPr>
                <w:rFonts w:ascii="宋体"/>
                <w:vanish/>
              </w:rPr>
            </w:pPr>
          </w:p>
        </w:tc>
        <w:tc>
          <w:tcPr>
            <w:tcW w:w="0" w:type="auto"/>
            <w:gridSpan w:val="3"/>
            <w:shd w:val="clear" w:color="auto" w:fill="auto"/>
            <w:vAlign w:val="bottom"/>
          </w:tcPr>
          <w:p w14:paraId="27E07BDD" w14:textId="77777777" w:rsidR="00A85061" w:rsidRDefault="00A85061">
            <w:pPr>
              <w:rPr>
                <w:rFonts w:ascii="宋体"/>
                <w:vanish/>
              </w:rPr>
            </w:pPr>
          </w:p>
        </w:tc>
        <w:tc>
          <w:tcPr>
            <w:tcW w:w="0" w:type="auto"/>
            <w:gridSpan w:val="3"/>
            <w:shd w:val="clear" w:color="auto" w:fill="auto"/>
            <w:vAlign w:val="bottom"/>
          </w:tcPr>
          <w:p w14:paraId="27E07BDE" w14:textId="77777777" w:rsidR="00A85061" w:rsidRDefault="00A85061">
            <w:pPr>
              <w:rPr>
                <w:rFonts w:ascii="宋体"/>
                <w:vanish/>
              </w:rPr>
            </w:pPr>
          </w:p>
        </w:tc>
        <w:tc>
          <w:tcPr>
            <w:tcW w:w="0" w:type="auto"/>
            <w:gridSpan w:val="3"/>
            <w:shd w:val="clear" w:color="auto" w:fill="auto"/>
            <w:vAlign w:val="bottom"/>
          </w:tcPr>
          <w:p w14:paraId="27E07BDF" w14:textId="77777777" w:rsidR="00A85061" w:rsidRDefault="00A85061">
            <w:pPr>
              <w:rPr>
                <w:rFonts w:ascii="宋体"/>
                <w:vanish/>
              </w:rPr>
            </w:pPr>
          </w:p>
        </w:tc>
      </w:tr>
      <w:tr w:rsidR="00A85061" w14:paraId="27E07BEB" w14:textId="77777777">
        <w:tc>
          <w:tcPr>
            <w:tcW w:w="0" w:type="auto"/>
            <w:gridSpan w:val="3"/>
            <w:shd w:val="clear" w:color="auto" w:fill="E2EFD9"/>
            <w:tcMar>
              <w:top w:w="40" w:type="dxa"/>
              <w:left w:w="20" w:type="dxa"/>
              <w:bottom w:w="40" w:type="dxa"/>
              <w:right w:w="20" w:type="dxa"/>
            </w:tcMar>
            <w:vAlign w:val="bottom"/>
          </w:tcPr>
          <w:p w14:paraId="27E07BE1" w14:textId="77777777" w:rsidR="00A85061" w:rsidRDefault="00F04891">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27E07BE2" w14:textId="77777777" w:rsidR="00A85061" w:rsidRDefault="00F04891">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27E07BE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BE4"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BE5" w14:textId="77777777" w:rsidR="00A85061" w:rsidRDefault="00F04891">
            <w:pPr>
              <w:jc w:val="right"/>
              <w:textAlignment w:val="bottom"/>
            </w:pPr>
            <w:r>
              <w:rPr>
                <w:rFonts w:ascii="sans-serif" w:eastAsia="sans-serif" w:hAnsi="sans-serif" w:cs="sans-serif"/>
                <w:color w:val="000000"/>
                <w:sz w:val="20"/>
                <w:szCs w:val="20"/>
              </w:rPr>
              <w:t>69 </w:t>
            </w:r>
          </w:p>
        </w:tc>
        <w:tc>
          <w:tcPr>
            <w:tcW w:w="0" w:type="auto"/>
            <w:shd w:val="clear" w:color="auto" w:fill="E2EFD9"/>
            <w:tcMar>
              <w:top w:w="40" w:type="dxa"/>
              <w:left w:w="0" w:type="dxa"/>
              <w:bottom w:w="40" w:type="dxa"/>
              <w:right w:w="20" w:type="dxa"/>
            </w:tcMar>
            <w:vAlign w:val="bottom"/>
          </w:tcPr>
          <w:p w14:paraId="27E07BE6" w14:textId="77777777" w:rsidR="00A85061" w:rsidRDefault="00A85061">
            <w:pPr>
              <w:jc w:val="right"/>
              <w:rPr>
                <w:rFonts w:ascii="宋体"/>
              </w:rPr>
            </w:pPr>
          </w:p>
        </w:tc>
        <w:tc>
          <w:tcPr>
            <w:tcW w:w="0" w:type="auto"/>
            <w:gridSpan w:val="3"/>
            <w:shd w:val="clear" w:color="auto" w:fill="auto"/>
            <w:vAlign w:val="bottom"/>
          </w:tcPr>
          <w:p w14:paraId="27E07BE7" w14:textId="77777777" w:rsidR="00A85061" w:rsidRDefault="00A85061">
            <w:pPr>
              <w:rPr>
                <w:rFonts w:ascii="宋体"/>
                <w:vanish/>
              </w:rPr>
            </w:pPr>
          </w:p>
        </w:tc>
        <w:tc>
          <w:tcPr>
            <w:tcW w:w="0" w:type="auto"/>
            <w:gridSpan w:val="3"/>
            <w:shd w:val="clear" w:color="auto" w:fill="auto"/>
            <w:vAlign w:val="bottom"/>
          </w:tcPr>
          <w:p w14:paraId="27E07BE8" w14:textId="77777777" w:rsidR="00A85061" w:rsidRDefault="00A85061">
            <w:pPr>
              <w:rPr>
                <w:rFonts w:ascii="宋体"/>
                <w:vanish/>
              </w:rPr>
            </w:pPr>
          </w:p>
        </w:tc>
        <w:tc>
          <w:tcPr>
            <w:tcW w:w="0" w:type="auto"/>
            <w:gridSpan w:val="3"/>
            <w:shd w:val="clear" w:color="auto" w:fill="auto"/>
            <w:vAlign w:val="bottom"/>
          </w:tcPr>
          <w:p w14:paraId="27E07BE9" w14:textId="77777777" w:rsidR="00A85061" w:rsidRDefault="00A85061">
            <w:pPr>
              <w:rPr>
                <w:rFonts w:ascii="宋体"/>
                <w:vanish/>
              </w:rPr>
            </w:pPr>
          </w:p>
        </w:tc>
        <w:tc>
          <w:tcPr>
            <w:tcW w:w="0" w:type="auto"/>
            <w:gridSpan w:val="3"/>
            <w:shd w:val="clear" w:color="auto" w:fill="auto"/>
            <w:vAlign w:val="bottom"/>
          </w:tcPr>
          <w:p w14:paraId="27E07BEA" w14:textId="77777777" w:rsidR="00A85061" w:rsidRDefault="00A85061">
            <w:pPr>
              <w:rPr>
                <w:rFonts w:ascii="宋体"/>
                <w:vanish/>
              </w:rPr>
            </w:pPr>
          </w:p>
        </w:tc>
      </w:tr>
      <w:tr w:rsidR="00A85061" w14:paraId="27E07BF8" w14:textId="77777777">
        <w:tc>
          <w:tcPr>
            <w:tcW w:w="0" w:type="auto"/>
            <w:gridSpan w:val="3"/>
            <w:shd w:val="clear" w:color="auto" w:fill="FFFFFF"/>
            <w:tcMar>
              <w:top w:w="40" w:type="dxa"/>
              <w:left w:w="20" w:type="dxa"/>
              <w:bottom w:w="40" w:type="dxa"/>
              <w:right w:w="20" w:type="dxa"/>
            </w:tcMar>
            <w:vAlign w:val="bottom"/>
          </w:tcPr>
          <w:p w14:paraId="27E07BEC"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BE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BEE" w14:textId="77777777" w:rsidR="00A85061" w:rsidRDefault="00F04891">
            <w:pPr>
              <w:jc w:val="right"/>
              <w:textAlignment w:val="bottom"/>
            </w:pPr>
            <w:r>
              <w:rPr>
                <w:rFonts w:ascii="sans-serif" w:eastAsia="sans-serif" w:hAnsi="sans-serif" w:cs="sans-serif"/>
                <w:color w:val="000000"/>
                <w:sz w:val="20"/>
                <w:szCs w:val="20"/>
              </w:rPr>
              <w:t>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BE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BF0"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BF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7BF2" w14:textId="77777777" w:rsidR="00A85061" w:rsidRDefault="00F04891">
            <w:pPr>
              <w:jc w:val="right"/>
              <w:textAlignment w:val="bottom"/>
            </w:pPr>
            <w:r>
              <w:rPr>
                <w:rFonts w:ascii="sans-serif" w:eastAsia="sans-serif" w:hAnsi="sans-serif" w:cs="sans-serif"/>
                <w:color w:val="000000"/>
                <w:sz w:val="20"/>
                <w:szCs w:val="20"/>
              </w:rPr>
              <w:t>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BF3" w14:textId="77777777" w:rsidR="00A85061" w:rsidRDefault="00A85061">
            <w:pPr>
              <w:jc w:val="right"/>
              <w:rPr>
                <w:rFonts w:ascii="宋体"/>
              </w:rPr>
            </w:pPr>
          </w:p>
        </w:tc>
        <w:tc>
          <w:tcPr>
            <w:tcW w:w="0" w:type="auto"/>
            <w:gridSpan w:val="3"/>
            <w:shd w:val="clear" w:color="auto" w:fill="auto"/>
            <w:vAlign w:val="bottom"/>
          </w:tcPr>
          <w:p w14:paraId="27E07BF4" w14:textId="77777777" w:rsidR="00A85061" w:rsidRDefault="00A85061">
            <w:pPr>
              <w:rPr>
                <w:rFonts w:ascii="宋体"/>
                <w:vanish/>
              </w:rPr>
            </w:pPr>
          </w:p>
        </w:tc>
        <w:tc>
          <w:tcPr>
            <w:tcW w:w="0" w:type="auto"/>
            <w:gridSpan w:val="3"/>
            <w:shd w:val="clear" w:color="auto" w:fill="auto"/>
            <w:vAlign w:val="bottom"/>
          </w:tcPr>
          <w:p w14:paraId="27E07BF5" w14:textId="77777777" w:rsidR="00A85061" w:rsidRDefault="00A85061">
            <w:pPr>
              <w:rPr>
                <w:rFonts w:ascii="宋体"/>
                <w:vanish/>
              </w:rPr>
            </w:pPr>
          </w:p>
        </w:tc>
        <w:tc>
          <w:tcPr>
            <w:tcW w:w="0" w:type="auto"/>
            <w:gridSpan w:val="3"/>
            <w:shd w:val="clear" w:color="auto" w:fill="auto"/>
            <w:vAlign w:val="bottom"/>
          </w:tcPr>
          <w:p w14:paraId="27E07BF6" w14:textId="77777777" w:rsidR="00A85061" w:rsidRDefault="00A85061">
            <w:pPr>
              <w:rPr>
                <w:rFonts w:ascii="宋体"/>
                <w:vanish/>
              </w:rPr>
            </w:pPr>
          </w:p>
        </w:tc>
        <w:tc>
          <w:tcPr>
            <w:tcW w:w="0" w:type="auto"/>
            <w:gridSpan w:val="3"/>
            <w:shd w:val="clear" w:color="auto" w:fill="auto"/>
            <w:vAlign w:val="bottom"/>
          </w:tcPr>
          <w:p w14:paraId="27E07BF7" w14:textId="77777777" w:rsidR="00A85061" w:rsidRDefault="00A85061">
            <w:pPr>
              <w:rPr>
                <w:rFonts w:ascii="宋体"/>
                <w:vanish/>
              </w:rPr>
            </w:pPr>
          </w:p>
        </w:tc>
      </w:tr>
    </w:tbl>
    <w:p w14:paraId="27E07BF9" w14:textId="77777777" w:rsidR="00A85061" w:rsidRDefault="00F04891">
      <w:pPr>
        <w:spacing w:before="240" w:after="60"/>
        <w:jc w:val="both"/>
      </w:pPr>
      <w:r>
        <w:rPr>
          <w:rFonts w:ascii="sans-serif" w:eastAsia="sans-serif" w:hAnsi="sans-serif" w:cs="sans-serif"/>
          <w:b/>
          <w:bCs/>
          <w:color w:val="76B900"/>
          <w:sz w:val="20"/>
          <w:szCs w:val="20"/>
        </w:rPr>
        <w:t xml:space="preserve">Equity Award </w:t>
      </w:r>
      <w:r>
        <w:rPr>
          <w:rFonts w:ascii="sans-serif" w:eastAsia="sans-serif" w:hAnsi="sans-serif" w:cs="sans-serif"/>
          <w:b/>
          <w:bCs/>
          <w:color w:val="76B900"/>
          <w:sz w:val="20"/>
          <w:szCs w:val="20"/>
        </w:rPr>
        <w:t>Activity</w:t>
      </w:r>
    </w:p>
    <w:p w14:paraId="27E07BFA" w14:textId="77777777" w:rsidR="00A85061" w:rsidRDefault="00F04891">
      <w:pPr>
        <w:spacing w:after="180"/>
        <w:jc w:val="both"/>
      </w:pPr>
      <w:r>
        <w:rPr>
          <w:rFonts w:ascii="sans-serif" w:eastAsia="sans-serif" w:hAnsi="sans-serif" w:cs="sans-serif"/>
          <w:color w:val="000000"/>
          <w:sz w:val="20"/>
          <w:szCs w:val="20"/>
        </w:rPr>
        <w:t>The following is a summary of equity award transactions under our equity 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192"/>
        <w:gridCol w:w="38"/>
        <w:gridCol w:w="47"/>
        <w:gridCol w:w="1638"/>
        <w:gridCol w:w="38"/>
        <w:gridCol w:w="37"/>
        <w:gridCol w:w="37"/>
        <w:gridCol w:w="36"/>
        <w:gridCol w:w="123"/>
        <w:gridCol w:w="1635"/>
        <w:gridCol w:w="37"/>
        <w:gridCol w:w="36"/>
        <w:gridCol w:w="36"/>
        <w:gridCol w:w="36"/>
        <w:gridCol w:w="36"/>
        <w:gridCol w:w="36"/>
        <w:gridCol w:w="36"/>
        <w:gridCol w:w="36"/>
        <w:gridCol w:w="36"/>
        <w:gridCol w:w="36"/>
        <w:gridCol w:w="36"/>
        <w:gridCol w:w="36"/>
        <w:gridCol w:w="36"/>
      </w:tblGrid>
      <w:tr w:rsidR="00A85061" w14:paraId="27E07C0B" w14:textId="77777777">
        <w:tc>
          <w:tcPr>
            <w:tcW w:w="50" w:type="pct"/>
            <w:shd w:val="clear" w:color="auto" w:fill="auto"/>
            <w:vAlign w:val="bottom"/>
          </w:tcPr>
          <w:p w14:paraId="27E07BFB" w14:textId="77777777" w:rsidR="00A85061" w:rsidRDefault="00A85061">
            <w:pPr>
              <w:rPr>
                <w:rFonts w:ascii="宋体"/>
              </w:rPr>
            </w:pPr>
          </w:p>
        </w:tc>
        <w:tc>
          <w:tcPr>
            <w:tcW w:w="2671" w:type="pct"/>
            <w:shd w:val="clear" w:color="auto" w:fill="auto"/>
            <w:vAlign w:val="bottom"/>
          </w:tcPr>
          <w:p w14:paraId="27E07BFC" w14:textId="77777777" w:rsidR="00A85061" w:rsidRDefault="00A85061">
            <w:pPr>
              <w:rPr>
                <w:rFonts w:ascii="宋体"/>
              </w:rPr>
            </w:pPr>
          </w:p>
        </w:tc>
        <w:tc>
          <w:tcPr>
            <w:tcW w:w="5" w:type="pct"/>
            <w:shd w:val="clear" w:color="auto" w:fill="auto"/>
            <w:vAlign w:val="bottom"/>
          </w:tcPr>
          <w:p w14:paraId="27E07BFD" w14:textId="77777777" w:rsidR="00A85061" w:rsidRDefault="00A85061">
            <w:pPr>
              <w:rPr>
                <w:rFonts w:ascii="宋体"/>
              </w:rPr>
            </w:pPr>
          </w:p>
        </w:tc>
        <w:tc>
          <w:tcPr>
            <w:tcW w:w="50" w:type="pct"/>
            <w:shd w:val="clear" w:color="auto" w:fill="auto"/>
            <w:vAlign w:val="bottom"/>
          </w:tcPr>
          <w:p w14:paraId="27E07BFE" w14:textId="77777777" w:rsidR="00A85061" w:rsidRDefault="00A85061">
            <w:pPr>
              <w:rPr>
                <w:rFonts w:ascii="宋体"/>
              </w:rPr>
            </w:pPr>
          </w:p>
        </w:tc>
        <w:tc>
          <w:tcPr>
            <w:tcW w:w="1056" w:type="pct"/>
            <w:shd w:val="clear" w:color="auto" w:fill="auto"/>
            <w:vAlign w:val="bottom"/>
          </w:tcPr>
          <w:p w14:paraId="27E07BFF" w14:textId="77777777" w:rsidR="00A85061" w:rsidRDefault="00A85061">
            <w:pPr>
              <w:rPr>
                <w:rFonts w:ascii="宋体"/>
              </w:rPr>
            </w:pPr>
          </w:p>
        </w:tc>
        <w:tc>
          <w:tcPr>
            <w:tcW w:w="5" w:type="pct"/>
            <w:shd w:val="clear" w:color="auto" w:fill="auto"/>
            <w:vAlign w:val="bottom"/>
          </w:tcPr>
          <w:p w14:paraId="27E07C00" w14:textId="77777777" w:rsidR="00A85061" w:rsidRDefault="00A85061">
            <w:pPr>
              <w:rPr>
                <w:rFonts w:ascii="宋体"/>
              </w:rPr>
            </w:pPr>
          </w:p>
        </w:tc>
        <w:tc>
          <w:tcPr>
            <w:tcW w:w="5" w:type="pct"/>
            <w:shd w:val="clear" w:color="auto" w:fill="auto"/>
            <w:vAlign w:val="bottom"/>
          </w:tcPr>
          <w:p w14:paraId="27E07C01" w14:textId="77777777" w:rsidR="00A85061" w:rsidRDefault="00A85061">
            <w:pPr>
              <w:rPr>
                <w:rFonts w:ascii="宋体"/>
              </w:rPr>
            </w:pPr>
          </w:p>
        </w:tc>
        <w:tc>
          <w:tcPr>
            <w:tcW w:w="41" w:type="pct"/>
            <w:shd w:val="clear" w:color="auto" w:fill="auto"/>
            <w:vAlign w:val="bottom"/>
          </w:tcPr>
          <w:p w14:paraId="27E07C02" w14:textId="77777777" w:rsidR="00A85061" w:rsidRDefault="00A85061">
            <w:pPr>
              <w:rPr>
                <w:rFonts w:ascii="宋体"/>
              </w:rPr>
            </w:pPr>
          </w:p>
        </w:tc>
        <w:tc>
          <w:tcPr>
            <w:tcW w:w="5" w:type="pct"/>
            <w:shd w:val="clear" w:color="auto" w:fill="auto"/>
            <w:vAlign w:val="bottom"/>
          </w:tcPr>
          <w:p w14:paraId="27E07C03" w14:textId="77777777" w:rsidR="00A85061" w:rsidRDefault="00A85061">
            <w:pPr>
              <w:rPr>
                <w:rFonts w:ascii="宋体"/>
              </w:rPr>
            </w:pPr>
          </w:p>
        </w:tc>
        <w:tc>
          <w:tcPr>
            <w:tcW w:w="50" w:type="pct"/>
            <w:shd w:val="clear" w:color="auto" w:fill="auto"/>
            <w:vAlign w:val="bottom"/>
          </w:tcPr>
          <w:p w14:paraId="27E07C04" w14:textId="77777777" w:rsidR="00A85061" w:rsidRDefault="00A85061">
            <w:pPr>
              <w:rPr>
                <w:rFonts w:ascii="宋体"/>
              </w:rPr>
            </w:pPr>
          </w:p>
        </w:tc>
        <w:tc>
          <w:tcPr>
            <w:tcW w:w="1056" w:type="pct"/>
            <w:shd w:val="clear" w:color="auto" w:fill="auto"/>
            <w:vAlign w:val="bottom"/>
          </w:tcPr>
          <w:p w14:paraId="27E07C05" w14:textId="77777777" w:rsidR="00A85061" w:rsidRDefault="00A85061">
            <w:pPr>
              <w:rPr>
                <w:rFonts w:ascii="宋体"/>
              </w:rPr>
            </w:pPr>
          </w:p>
        </w:tc>
        <w:tc>
          <w:tcPr>
            <w:tcW w:w="5" w:type="pct"/>
            <w:shd w:val="clear" w:color="auto" w:fill="auto"/>
            <w:vAlign w:val="bottom"/>
          </w:tcPr>
          <w:p w14:paraId="27E07C06" w14:textId="77777777" w:rsidR="00A85061" w:rsidRDefault="00A85061">
            <w:pPr>
              <w:rPr>
                <w:rFonts w:ascii="宋体"/>
              </w:rPr>
            </w:pPr>
          </w:p>
        </w:tc>
        <w:tc>
          <w:tcPr>
            <w:tcW w:w="0" w:type="auto"/>
            <w:gridSpan w:val="3"/>
            <w:shd w:val="clear" w:color="auto" w:fill="auto"/>
            <w:vAlign w:val="bottom"/>
          </w:tcPr>
          <w:p w14:paraId="27E07C07" w14:textId="77777777" w:rsidR="00A85061" w:rsidRDefault="00A85061">
            <w:pPr>
              <w:rPr>
                <w:rFonts w:ascii="宋体"/>
                <w:vanish/>
              </w:rPr>
            </w:pPr>
          </w:p>
        </w:tc>
        <w:tc>
          <w:tcPr>
            <w:tcW w:w="0" w:type="auto"/>
            <w:gridSpan w:val="3"/>
            <w:shd w:val="clear" w:color="auto" w:fill="auto"/>
            <w:vAlign w:val="bottom"/>
          </w:tcPr>
          <w:p w14:paraId="27E07C08" w14:textId="77777777" w:rsidR="00A85061" w:rsidRDefault="00A85061">
            <w:pPr>
              <w:rPr>
                <w:rFonts w:ascii="宋体"/>
                <w:vanish/>
              </w:rPr>
            </w:pPr>
          </w:p>
        </w:tc>
        <w:tc>
          <w:tcPr>
            <w:tcW w:w="0" w:type="auto"/>
            <w:gridSpan w:val="3"/>
            <w:shd w:val="clear" w:color="auto" w:fill="auto"/>
            <w:vAlign w:val="bottom"/>
          </w:tcPr>
          <w:p w14:paraId="27E07C09" w14:textId="77777777" w:rsidR="00A85061" w:rsidRDefault="00A85061">
            <w:pPr>
              <w:rPr>
                <w:rFonts w:ascii="宋体"/>
                <w:vanish/>
              </w:rPr>
            </w:pPr>
          </w:p>
        </w:tc>
        <w:tc>
          <w:tcPr>
            <w:tcW w:w="0" w:type="auto"/>
            <w:gridSpan w:val="3"/>
            <w:shd w:val="clear" w:color="auto" w:fill="auto"/>
            <w:vAlign w:val="bottom"/>
          </w:tcPr>
          <w:p w14:paraId="27E07C0A" w14:textId="77777777" w:rsidR="00A85061" w:rsidRDefault="00A85061">
            <w:pPr>
              <w:rPr>
                <w:rFonts w:ascii="宋体"/>
                <w:vanish/>
              </w:rPr>
            </w:pPr>
          </w:p>
        </w:tc>
      </w:tr>
      <w:tr w:rsidR="00A85061" w14:paraId="27E07C16" w14:textId="77777777">
        <w:tc>
          <w:tcPr>
            <w:tcW w:w="0" w:type="auto"/>
            <w:gridSpan w:val="3"/>
            <w:shd w:val="clear" w:color="auto" w:fill="auto"/>
            <w:tcMar>
              <w:top w:w="0" w:type="dxa"/>
              <w:left w:w="20" w:type="dxa"/>
              <w:bottom w:w="0" w:type="dxa"/>
              <w:right w:w="20" w:type="dxa"/>
            </w:tcMar>
            <w:vAlign w:val="bottom"/>
          </w:tcPr>
          <w:p w14:paraId="27E07C0C"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C0D" w14:textId="77777777" w:rsidR="00A85061" w:rsidRDefault="00F04891">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27E07C0E" w14:textId="77777777" w:rsidR="00A85061" w:rsidRDefault="00A85061">
            <w:pPr>
              <w:rPr>
                <w:rFonts w:ascii="宋体"/>
                <w:vanish/>
              </w:rPr>
            </w:pPr>
          </w:p>
        </w:tc>
        <w:tc>
          <w:tcPr>
            <w:tcW w:w="0" w:type="auto"/>
            <w:gridSpan w:val="3"/>
            <w:shd w:val="clear" w:color="auto" w:fill="auto"/>
            <w:vAlign w:val="bottom"/>
          </w:tcPr>
          <w:p w14:paraId="27E07C0F" w14:textId="77777777" w:rsidR="00A85061" w:rsidRDefault="00A85061">
            <w:pPr>
              <w:rPr>
                <w:rFonts w:ascii="宋体"/>
                <w:vanish/>
              </w:rPr>
            </w:pPr>
          </w:p>
        </w:tc>
        <w:tc>
          <w:tcPr>
            <w:tcW w:w="0" w:type="auto"/>
            <w:shd w:val="clear" w:color="auto" w:fill="auto"/>
            <w:vAlign w:val="bottom"/>
          </w:tcPr>
          <w:p w14:paraId="27E07C10" w14:textId="77777777" w:rsidR="00A85061" w:rsidRDefault="00A85061">
            <w:pPr>
              <w:rPr>
                <w:rFonts w:ascii="宋体"/>
              </w:rPr>
            </w:pPr>
          </w:p>
        </w:tc>
        <w:tc>
          <w:tcPr>
            <w:tcW w:w="0" w:type="auto"/>
            <w:shd w:val="clear" w:color="auto" w:fill="auto"/>
            <w:vAlign w:val="bottom"/>
          </w:tcPr>
          <w:p w14:paraId="27E07C11" w14:textId="77777777" w:rsidR="00A85061" w:rsidRDefault="00A85061">
            <w:pPr>
              <w:rPr>
                <w:rFonts w:ascii="宋体"/>
              </w:rPr>
            </w:pPr>
          </w:p>
        </w:tc>
        <w:tc>
          <w:tcPr>
            <w:tcW w:w="0" w:type="auto"/>
            <w:shd w:val="clear" w:color="auto" w:fill="auto"/>
            <w:vAlign w:val="bottom"/>
          </w:tcPr>
          <w:p w14:paraId="27E07C12" w14:textId="77777777" w:rsidR="00A85061" w:rsidRDefault="00A85061">
            <w:pPr>
              <w:rPr>
                <w:rFonts w:ascii="宋体"/>
              </w:rPr>
            </w:pPr>
          </w:p>
        </w:tc>
        <w:tc>
          <w:tcPr>
            <w:tcW w:w="0" w:type="auto"/>
            <w:shd w:val="clear" w:color="auto" w:fill="auto"/>
            <w:vAlign w:val="bottom"/>
          </w:tcPr>
          <w:p w14:paraId="27E07C13" w14:textId="77777777" w:rsidR="00A85061" w:rsidRDefault="00A85061">
            <w:pPr>
              <w:rPr>
                <w:rFonts w:ascii="宋体"/>
              </w:rPr>
            </w:pPr>
          </w:p>
        </w:tc>
        <w:tc>
          <w:tcPr>
            <w:tcW w:w="0" w:type="auto"/>
            <w:shd w:val="clear" w:color="auto" w:fill="auto"/>
            <w:vAlign w:val="bottom"/>
          </w:tcPr>
          <w:p w14:paraId="27E07C14" w14:textId="77777777" w:rsidR="00A85061" w:rsidRDefault="00A85061">
            <w:pPr>
              <w:rPr>
                <w:rFonts w:ascii="宋体"/>
              </w:rPr>
            </w:pPr>
          </w:p>
        </w:tc>
        <w:tc>
          <w:tcPr>
            <w:tcW w:w="0" w:type="auto"/>
            <w:shd w:val="clear" w:color="auto" w:fill="auto"/>
            <w:vAlign w:val="bottom"/>
          </w:tcPr>
          <w:p w14:paraId="27E07C15" w14:textId="77777777" w:rsidR="00A85061" w:rsidRDefault="00A85061">
            <w:pPr>
              <w:rPr>
                <w:rFonts w:ascii="宋体"/>
              </w:rPr>
            </w:pPr>
          </w:p>
        </w:tc>
      </w:tr>
      <w:tr w:rsidR="00A85061" w14:paraId="27E07C1F" w14:textId="77777777">
        <w:tc>
          <w:tcPr>
            <w:tcW w:w="0" w:type="auto"/>
            <w:gridSpan w:val="3"/>
            <w:shd w:val="clear" w:color="auto" w:fill="auto"/>
            <w:tcMar>
              <w:top w:w="40" w:type="dxa"/>
              <w:left w:w="20" w:type="dxa"/>
              <w:bottom w:w="40" w:type="dxa"/>
              <w:right w:w="20" w:type="dxa"/>
            </w:tcMar>
            <w:vAlign w:val="bottom"/>
          </w:tcPr>
          <w:p w14:paraId="27E07C1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C18" w14:textId="77777777" w:rsidR="00A85061" w:rsidRDefault="00F04891">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19"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C1A" w14:textId="77777777" w:rsidR="00A85061" w:rsidRDefault="00F04891">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vAlign w:val="bottom"/>
          </w:tcPr>
          <w:p w14:paraId="27E07C1B" w14:textId="77777777" w:rsidR="00A85061" w:rsidRDefault="00A85061">
            <w:pPr>
              <w:rPr>
                <w:rFonts w:ascii="宋体"/>
                <w:vanish/>
              </w:rPr>
            </w:pPr>
          </w:p>
        </w:tc>
        <w:tc>
          <w:tcPr>
            <w:tcW w:w="0" w:type="auto"/>
            <w:gridSpan w:val="3"/>
            <w:shd w:val="clear" w:color="auto" w:fill="auto"/>
            <w:vAlign w:val="bottom"/>
          </w:tcPr>
          <w:p w14:paraId="27E07C1C" w14:textId="77777777" w:rsidR="00A85061" w:rsidRDefault="00A85061">
            <w:pPr>
              <w:rPr>
                <w:rFonts w:ascii="宋体"/>
                <w:vanish/>
              </w:rPr>
            </w:pPr>
          </w:p>
        </w:tc>
        <w:tc>
          <w:tcPr>
            <w:tcW w:w="0" w:type="auto"/>
            <w:gridSpan w:val="3"/>
            <w:shd w:val="clear" w:color="auto" w:fill="auto"/>
            <w:vAlign w:val="bottom"/>
          </w:tcPr>
          <w:p w14:paraId="27E07C1D" w14:textId="77777777" w:rsidR="00A85061" w:rsidRDefault="00A85061">
            <w:pPr>
              <w:rPr>
                <w:rFonts w:ascii="宋体"/>
                <w:vanish/>
              </w:rPr>
            </w:pPr>
          </w:p>
        </w:tc>
        <w:tc>
          <w:tcPr>
            <w:tcW w:w="0" w:type="auto"/>
            <w:gridSpan w:val="3"/>
            <w:shd w:val="clear" w:color="auto" w:fill="auto"/>
            <w:vAlign w:val="bottom"/>
          </w:tcPr>
          <w:p w14:paraId="27E07C1E" w14:textId="77777777" w:rsidR="00A85061" w:rsidRDefault="00A85061">
            <w:pPr>
              <w:rPr>
                <w:rFonts w:ascii="宋体"/>
                <w:vanish/>
              </w:rPr>
            </w:pPr>
          </w:p>
        </w:tc>
      </w:tr>
      <w:tr w:rsidR="00A85061" w14:paraId="27E07C28" w14:textId="77777777">
        <w:trPr>
          <w:trHeight w:val="60"/>
        </w:trPr>
        <w:tc>
          <w:tcPr>
            <w:tcW w:w="0" w:type="auto"/>
            <w:gridSpan w:val="3"/>
            <w:shd w:val="clear" w:color="auto" w:fill="auto"/>
            <w:tcMar>
              <w:top w:w="0" w:type="dxa"/>
              <w:left w:w="20" w:type="dxa"/>
              <w:bottom w:w="0" w:type="dxa"/>
              <w:right w:w="20" w:type="dxa"/>
            </w:tcMar>
            <w:vAlign w:val="bottom"/>
          </w:tcPr>
          <w:p w14:paraId="27E07C2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2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C2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23" w14:textId="77777777" w:rsidR="00A85061" w:rsidRDefault="00A85061">
            <w:pPr>
              <w:rPr>
                <w:rFonts w:ascii="宋体"/>
              </w:rPr>
            </w:pPr>
          </w:p>
        </w:tc>
        <w:tc>
          <w:tcPr>
            <w:tcW w:w="0" w:type="auto"/>
            <w:gridSpan w:val="3"/>
            <w:shd w:val="clear" w:color="auto" w:fill="auto"/>
            <w:vAlign w:val="bottom"/>
          </w:tcPr>
          <w:p w14:paraId="27E07C24" w14:textId="77777777" w:rsidR="00A85061" w:rsidRDefault="00A85061">
            <w:pPr>
              <w:rPr>
                <w:rFonts w:ascii="宋体"/>
                <w:vanish/>
              </w:rPr>
            </w:pPr>
          </w:p>
        </w:tc>
        <w:tc>
          <w:tcPr>
            <w:tcW w:w="0" w:type="auto"/>
            <w:gridSpan w:val="3"/>
            <w:shd w:val="clear" w:color="auto" w:fill="auto"/>
            <w:vAlign w:val="bottom"/>
          </w:tcPr>
          <w:p w14:paraId="27E07C25" w14:textId="77777777" w:rsidR="00A85061" w:rsidRDefault="00A85061">
            <w:pPr>
              <w:rPr>
                <w:rFonts w:ascii="宋体"/>
                <w:vanish/>
              </w:rPr>
            </w:pPr>
          </w:p>
        </w:tc>
        <w:tc>
          <w:tcPr>
            <w:tcW w:w="0" w:type="auto"/>
            <w:gridSpan w:val="3"/>
            <w:shd w:val="clear" w:color="auto" w:fill="auto"/>
            <w:vAlign w:val="bottom"/>
          </w:tcPr>
          <w:p w14:paraId="27E07C26" w14:textId="77777777" w:rsidR="00A85061" w:rsidRDefault="00A85061">
            <w:pPr>
              <w:rPr>
                <w:rFonts w:ascii="宋体"/>
                <w:vanish/>
              </w:rPr>
            </w:pPr>
          </w:p>
        </w:tc>
        <w:tc>
          <w:tcPr>
            <w:tcW w:w="0" w:type="auto"/>
            <w:gridSpan w:val="3"/>
            <w:shd w:val="clear" w:color="auto" w:fill="auto"/>
            <w:vAlign w:val="bottom"/>
          </w:tcPr>
          <w:p w14:paraId="27E07C27" w14:textId="77777777" w:rsidR="00A85061" w:rsidRDefault="00A85061">
            <w:pPr>
              <w:rPr>
                <w:rFonts w:ascii="宋体"/>
                <w:vanish/>
              </w:rPr>
            </w:pPr>
          </w:p>
        </w:tc>
      </w:tr>
      <w:tr w:rsidR="00A85061" w14:paraId="27E07C37" w14:textId="77777777">
        <w:tc>
          <w:tcPr>
            <w:tcW w:w="0" w:type="auto"/>
            <w:gridSpan w:val="3"/>
            <w:shd w:val="clear" w:color="auto" w:fill="auto"/>
            <w:tcMar>
              <w:top w:w="0" w:type="dxa"/>
              <w:left w:w="20" w:type="dxa"/>
              <w:bottom w:w="0" w:type="dxa"/>
              <w:right w:w="20" w:type="dxa"/>
            </w:tcMar>
            <w:vAlign w:val="bottom"/>
          </w:tcPr>
          <w:p w14:paraId="27E07C29"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C2A" w14:textId="77777777" w:rsidR="00A85061" w:rsidRDefault="00F04891">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27E07C2B" w14:textId="77777777" w:rsidR="00A85061" w:rsidRDefault="00A85061">
            <w:pPr>
              <w:rPr>
                <w:rFonts w:ascii="宋体"/>
              </w:rPr>
            </w:pPr>
          </w:p>
        </w:tc>
        <w:tc>
          <w:tcPr>
            <w:tcW w:w="0" w:type="auto"/>
            <w:shd w:val="clear" w:color="auto" w:fill="auto"/>
            <w:vAlign w:val="bottom"/>
          </w:tcPr>
          <w:p w14:paraId="27E07C2C" w14:textId="77777777" w:rsidR="00A85061" w:rsidRDefault="00A85061">
            <w:pPr>
              <w:rPr>
                <w:rFonts w:ascii="宋体"/>
              </w:rPr>
            </w:pPr>
          </w:p>
        </w:tc>
        <w:tc>
          <w:tcPr>
            <w:tcW w:w="0" w:type="auto"/>
            <w:shd w:val="clear" w:color="auto" w:fill="auto"/>
            <w:vAlign w:val="bottom"/>
          </w:tcPr>
          <w:p w14:paraId="27E07C2D" w14:textId="77777777" w:rsidR="00A85061" w:rsidRDefault="00A85061">
            <w:pPr>
              <w:rPr>
                <w:rFonts w:ascii="宋体"/>
              </w:rPr>
            </w:pPr>
          </w:p>
        </w:tc>
        <w:tc>
          <w:tcPr>
            <w:tcW w:w="0" w:type="auto"/>
            <w:shd w:val="clear" w:color="auto" w:fill="auto"/>
            <w:vAlign w:val="bottom"/>
          </w:tcPr>
          <w:p w14:paraId="27E07C2E" w14:textId="77777777" w:rsidR="00A85061" w:rsidRDefault="00A85061">
            <w:pPr>
              <w:rPr>
                <w:rFonts w:ascii="宋体"/>
              </w:rPr>
            </w:pPr>
          </w:p>
        </w:tc>
        <w:tc>
          <w:tcPr>
            <w:tcW w:w="0" w:type="auto"/>
            <w:shd w:val="clear" w:color="auto" w:fill="auto"/>
            <w:vAlign w:val="bottom"/>
          </w:tcPr>
          <w:p w14:paraId="27E07C2F" w14:textId="77777777" w:rsidR="00A85061" w:rsidRDefault="00A85061">
            <w:pPr>
              <w:rPr>
                <w:rFonts w:ascii="宋体"/>
              </w:rPr>
            </w:pPr>
          </w:p>
        </w:tc>
        <w:tc>
          <w:tcPr>
            <w:tcW w:w="0" w:type="auto"/>
            <w:shd w:val="clear" w:color="auto" w:fill="auto"/>
            <w:vAlign w:val="bottom"/>
          </w:tcPr>
          <w:p w14:paraId="27E07C30" w14:textId="77777777" w:rsidR="00A85061" w:rsidRDefault="00A85061">
            <w:pPr>
              <w:rPr>
                <w:rFonts w:ascii="宋体"/>
              </w:rPr>
            </w:pPr>
          </w:p>
        </w:tc>
        <w:tc>
          <w:tcPr>
            <w:tcW w:w="0" w:type="auto"/>
            <w:shd w:val="clear" w:color="auto" w:fill="auto"/>
            <w:vAlign w:val="bottom"/>
          </w:tcPr>
          <w:p w14:paraId="27E07C31" w14:textId="77777777" w:rsidR="00A85061" w:rsidRDefault="00A85061">
            <w:pPr>
              <w:rPr>
                <w:rFonts w:ascii="宋体"/>
              </w:rPr>
            </w:pPr>
          </w:p>
        </w:tc>
        <w:tc>
          <w:tcPr>
            <w:tcW w:w="0" w:type="auto"/>
            <w:shd w:val="clear" w:color="auto" w:fill="auto"/>
            <w:vAlign w:val="bottom"/>
          </w:tcPr>
          <w:p w14:paraId="27E07C32" w14:textId="77777777" w:rsidR="00A85061" w:rsidRDefault="00A85061">
            <w:pPr>
              <w:rPr>
                <w:rFonts w:ascii="宋体"/>
              </w:rPr>
            </w:pPr>
          </w:p>
        </w:tc>
        <w:tc>
          <w:tcPr>
            <w:tcW w:w="0" w:type="auto"/>
            <w:shd w:val="clear" w:color="auto" w:fill="auto"/>
            <w:vAlign w:val="bottom"/>
          </w:tcPr>
          <w:p w14:paraId="27E07C33" w14:textId="77777777" w:rsidR="00A85061" w:rsidRDefault="00A85061">
            <w:pPr>
              <w:rPr>
                <w:rFonts w:ascii="宋体"/>
              </w:rPr>
            </w:pPr>
          </w:p>
        </w:tc>
        <w:tc>
          <w:tcPr>
            <w:tcW w:w="0" w:type="auto"/>
            <w:shd w:val="clear" w:color="auto" w:fill="auto"/>
            <w:vAlign w:val="bottom"/>
          </w:tcPr>
          <w:p w14:paraId="27E07C34" w14:textId="77777777" w:rsidR="00A85061" w:rsidRDefault="00A85061">
            <w:pPr>
              <w:rPr>
                <w:rFonts w:ascii="宋体"/>
              </w:rPr>
            </w:pPr>
          </w:p>
        </w:tc>
        <w:tc>
          <w:tcPr>
            <w:tcW w:w="0" w:type="auto"/>
            <w:shd w:val="clear" w:color="auto" w:fill="auto"/>
            <w:vAlign w:val="bottom"/>
          </w:tcPr>
          <w:p w14:paraId="27E07C35" w14:textId="77777777" w:rsidR="00A85061" w:rsidRDefault="00A85061">
            <w:pPr>
              <w:rPr>
                <w:rFonts w:ascii="宋体"/>
              </w:rPr>
            </w:pPr>
          </w:p>
        </w:tc>
        <w:tc>
          <w:tcPr>
            <w:tcW w:w="0" w:type="auto"/>
            <w:shd w:val="clear" w:color="auto" w:fill="auto"/>
            <w:vAlign w:val="bottom"/>
          </w:tcPr>
          <w:p w14:paraId="27E07C36" w14:textId="77777777" w:rsidR="00A85061" w:rsidRDefault="00A85061">
            <w:pPr>
              <w:rPr>
                <w:rFonts w:ascii="宋体"/>
              </w:rPr>
            </w:pPr>
          </w:p>
        </w:tc>
      </w:tr>
      <w:tr w:rsidR="00A85061" w14:paraId="27E07C43" w14:textId="77777777">
        <w:tc>
          <w:tcPr>
            <w:tcW w:w="0" w:type="auto"/>
            <w:gridSpan w:val="3"/>
            <w:shd w:val="clear" w:color="auto" w:fill="E2EFD9"/>
            <w:tcMar>
              <w:top w:w="40" w:type="dxa"/>
              <w:left w:w="20" w:type="dxa"/>
              <w:bottom w:w="40" w:type="dxa"/>
              <w:right w:w="20" w:type="dxa"/>
            </w:tcMar>
            <w:vAlign w:val="bottom"/>
          </w:tcPr>
          <w:p w14:paraId="27E07C38" w14:textId="77777777" w:rsidR="00A85061" w:rsidRDefault="00F04891">
            <w:pPr>
              <w:textAlignment w:val="bottom"/>
            </w:pPr>
            <w:r>
              <w:rPr>
                <w:rFonts w:ascii="sans-serif" w:eastAsia="sans-serif" w:hAnsi="sans-serif" w:cs="sans-serif"/>
                <w:color w:val="000000"/>
                <w:sz w:val="20"/>
                <w:szCs w:val="20"/>
              </w:rPr>
              <w:t>Balances, January 31, 2021</w:t>
            </w:r>
          </w:p>
        </w:tc>
        <w:tc>
          <w:tcPr>
            <w:tcW w:w="0" w:type="auto"/>
            <w:gridSpan w:val="2"/>
            <w:shd w:val="clear" w:color="auto" w:fill="E2EFD9"/>
            <w:tcMar>
              <w:top w:w="40" w:type="dxa"/>
              <w:left w:w="20" w:type="dxa"/>
              <w:bottom w:w="40" w:type="dxa"/>
              <w:right w:w="0" w:type="dxa"/>
            </w:tcMar>
            <w:vAlign w:val="bottom"/>
          </w:tcPr>
          <w:p w14:paraId="27E07C39" w14:textId="77777777" w:rsidR="00A85061" w:rsidRDefault="00F04891">
            <w:pPr>
              <w:jc w:val="right"/>
              <w:textAlignment w:val="bottom"/>
            </w:pPr>
            <w:r>
              <w:rPr>
                <w:rFonts w:ascii="sans-serif" w:eastAsia="sans-serif" w:hAnsi="sans-serif" w:cs="sans-serif"/>
                <w:color w:val="000000"/>
                <w:sz w:val="20"/>
                <w:szCs w:val="20"/>
              </w:rPr>
              <w:t>15 </w:t>
            </w:r>
          </w:p>
        </w:tc>
        <w:tc>
          <w:tcPr>
            <w:tcW w:w="0" w:type="auto"/>
            <w:shd w:val="clear" w:color="auto" w:fill="E2EFD9"/>
            <w:tcMar>
              <w:top w:w="40" w:type="dxa"/>
              <w:left w:w="0" w:type="dxa"/>
              <w:bottom w:w="40" w:type="dxa"/>
              <w:right w:w="20" w:type="dxa"/>
            </w:tcMar>
            <w:vAlign w:val="bottom"/>
          </w:tcPr>
          <w:p w14:paraId="27E07C3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C3B"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C3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C3D" w14:textId="77777777" w:rsidR="00A85061" w:rsidRDefault="00F04891">
            <w:pPr>
              <w:jc w:val="right"/>
              <w:textAlignment w:val="bottom"/>
            </w:pPr>
            <w:r>
              <w:rPr>
                <w:rFonts w:ascii="sans-serif" w:eastAsia="sans-serif" w:hAnsi="sans-serif" w:cs="sans-serif"/>
                <w:color w:val="000000"/>
                <w:sz w:val="20"/>
                <w:szCs w:val="20"/>
              </w:rPr>
              <w:t>264.69 </w:t>
            </w:r>
          </w:p>
        </w:tc>
        <w:tc>
          <w:tcPr>
            <w:tcW w:w="0" w:type="auto"/>
            <w:shd w:val="clear" w:color="auto" w:fill="E2EFD9"/>
            <w:tcMar>
              <w:top w:w="40" w:type="dxa"/>
              <w:left w:w="0" w:type="dxa"/>
              <w:bottom w:w="40" w:type="dxa"/>
              <w:right w:w="20" w:type="dxa"/>
            </w:tcMar>
            <w:vAlign w:val="bottom"/>
          </w:tcPr>
          <w:p w14:paraId="27E07C3E" w14:textId="77777777" w:rsidR="00A85061" w:rsidRDefault="00A85061">
            <w:pPr>
              <w:jc w:val="right"/>
              <w:rPr>
                <w:rFonts w:ascii="宋体"/>
              </w:rPr>
            </w:pPr>
          </w:p>
        </w:tc>
        <w:tc>
          <w:tcPr>
            <w:tcW w:w="0" w:type="auto"/>
            <w:gridSpan w:val="3"/>
            <w:shd w:val="clear" w:color="auto" w:fill="auto"/>
            <w:vAlign w:val="bottom"/>
          </w:tcPr>
          <w:p w14:paraId="27E07C3F" w14:textId="77777777" w:rsidR="00A85061" w:rsidRDefault="00A85061">
            <w:pPr>
              <w:rPr>
                <w:rFonts w:ascii="宋体"/>
                <w:vanish/>
              </w:rPr>
            </w:pPr>
          </w:p>
        </w:tc>
        <w:tc>
          <w:tcPr>
            <w:tcW w:w="0" w:type="auto"/>
            <w:gridSpan w:val="3"/>
            <w:shd w:val="clear" w:color="auto" w:fill="auto"/>
            <w:vAlign w:val="bottom"/>
          </w:tcPr>
          <w:p w14:paraId="27E07C40" w14:textId="77777777" w:rsidR="00A85061" w:rsidRDefault="00A85061">
            <w:pPr>
              <w:rPr>
                <w:rFonts w:ascii="宋体"/>
                <w:vanish/>
              </w:rPr>
            </w:pPr>
          </w:p>
        </w:tc>
        <w:tc>
          <w:tcPr>
            <w:tcW w:w="0" w:type="auto"/>
            <w:gridSpan w:val="3"/>
            <w:shd w:val="clear" w:color="auto" w:fill="auto"/>
            <w:vAlign w:val="bottom"/>
          </w:tcPr>
          <w:p w14:paraId="27E07C41" w14:textId="77777777" w:rsidR="00A85061" w:rsidRDefault="00A85061">
            <w:pPr>
              <w:rPr>
                <w:rFonts w:ascii="宋体"/>
                <w:vanish/>
              </w:rPr>
            </w:pPr>
          </w:p>
        </w:tc>
        <w:tc>
          <w:tcPr>
            <w:tcW w:w="0" w:type="auto"/>
            <w:gridSpan w:val="3"/>
            <w:shd w:val="clear" w:color="auto" w:fill="auto"/>
            <w:vAlign w:val="bottom"/>
          </w:tcPr>
          <w:p w14:paraId="27E07C42" w14:textId="77777777" w:rsidR="00A85061" w:rsidRDefault="00A85061">
            <w:pPr>
              <w:rPr>
                <w:rFonts w:ascii="宋体"/>
                <w:vanish/>
              </w:rPr>
            </w:pPr>
          </w:p>
        </w:tc>
      </w:tr>
      <w:tr w:rsidR="00A85061" w14:paraId="27E07C4F" w14:textId="77777777">
        <w:tc>
          <w:tcPr>
            <w:tcW w:w="0" w:type="auto"/>
            <w:gridSpan w:val="3"/>
            <w:shd w:val="clear" w:color="auto" w:fill="FFFFFF"/>
            <w:tcMar>
              <w:top w:w="40" w:type="dxa"/>
              <w:left w:w="380" w:type="dxa"/>
              <w:bottom w:w="40" w:type="dxa"/>
              <w:right w:w="20" w:type="dxa"/>
            </w:tcMar>
            <w:vAlign w:val="bottom"/>
          </w:tcPr>
          <w:p w14:paraId="27E07C44" w14:textId="77777777" w:rsidR="00A85061" w:rsidRDefault="00F04891">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27E07C45"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27E07C4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C47"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C48"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C49" w14:textId="77777777" w:rsidR="00A85061" w:rsidRDefault="00F04891">
            <w:pPr>
              <w:jc w:val="right"/>
              <w:textAlignment w:val="bottom"/>
            </w:pPr>
            <w:r>
              <w:rPr>
                <w:rFonts w:ascii="sans-serif" w:eastAsia="sans-serif" w:hAnsi="sans-serif" w:cs="sans-serif"/>
                <w:color w:val="000000"/>
                <w:sz w:val="20"/>
                <w:szCs w:val="20"/>
              </w:rPr>
              <w:t>535.82 </w:t>
            </w:r>
          </w:p>
        </w:tc>
        <w:tc>
          <w:tcPr>
            <w:tcW w:w="0" w:type="auto"/>
            <w:shd w:val="clear" w:color="auto" w:fill="FFFFFF"/>
            <w:tcMar>
              <w:top w:w="40" w:type="dxa"/>
              <w:left w:w="0" w:type="dxa"/>
              <w:bottom w:w="40" w:type="dxa"/>
              <w:right w:w="20" w:type="dxa"/>
            </w:tcMar>
            <w:vAlign w:val="bottom"/>
          </w:tcPr>
          <w:p w14:paraId="27E07C4A" w14:textId="77777777" w:rsidR="00A85061" w:rsidRDefault="00A85061">
            <w:pPr>
              <w:jc w:val="right"/>
              <w:rPr>
                <w:rFonts w:ascii="宋体"/>
              </w:rPr>
            </w:pPr>
          </w:p>
        </w:tc>
        <w:tc>
          <w:tcPr>
            <w:tcW w:w="0" w:type="auto"/>
            <w:gridSpan w:val="3"/>
            <w:shd w:val="clear" w:color="auto" w:fill="auto"/>
            <w:vAlign w:val="bottom"/>
          </w:tcPr>
          <w:p w14:paraId="27E07C4B" w14:textId="77777777" w:rsidR="00A85061" w:rsidRDefault="00A85061">
            <w:pPr>
              <w:rPr>
                <w:rFonts w:ascii="宋体"/>
                <w:vanish/>
              </w:rPr>
            </w:pPr>
          </w:p>
        </w:tc>
        <w:tc>
          <w:tcPr>
            <w:tcW w:w="0" w:type="auto"/>
            <w:gridSpan w:val="3"/>
            <w:shd w:val="clear" w:color="auto" w:fill="auto"/>
            <w:vAlign w:val="bottom"/>
          </w:tcPr>
          <w:p w14:paraId="27E07C4C" w14:textId="77777777" w:rsidR="00A85061" w:rsidRDefault="00A85061">
            <w:pPr>
              <w:rPr>
                <w:rFonts w:ascii="宋体"/>
                <w:vanish/>
              </w:rPr>
            </w:pPr>
          </w:p>
        </w:tc>
        <w:tc>
          <w:tcPr>
            <w:tcW w:w="0" w:type="auto"/>
            <w:gridSpan w:val="3"/>
            <w:shd w:val="clear" w:color="auto" w:fill="auto"/>
            <w:vAlign w:val="bottom"/>
          </w:tcPr>
          <w:p w14:paraId="27E07C4D" w14:textId="77777777" w:rsidR="00A85061" w:rsidRDefault="00A85061">
            <w:pPr>
              <w:rPr>
                <w:rFonts w:ascii="宋体"/>
                <w:vanish/>
              </w:rPr>
            </w:pPr>
          </w:p>
        </w:tc>
        <w:tc>
          <w:tcPr>
            <w:tcW w:w="0" w:type="auto"/>
            <w:gridSpan w:val="3"/>
            <w:shd w:val="clear" w:color="auto" w:fill="auto"/>
            <w:vAlign w:val="bottom"/>
          </w:tcPr>
          <w:p w14:paraId="27E07C4E" w14:textId="77777777" w:rsidR="00A85061" w:rsidRDefault="00A85061">
            <w:pPr>
              <w:rPr>
                <w:rFonts w:ascii="宋体"/>
                <w:vanish/>
              </w:rPr>
            </w:pPr>
          </w:p>
        </w:tc>
      </w:tr>
      <w:tr w:rsidR="00A85061" w14:paraId="27E07C58" w14:textId="77777777">
        <w:trPr>
          <w:hidden/>
        </w:trPr>
        <w:tc>
          <w:tcPr>
            <w:tcW w:w="0" w:type="auto"/>
            <w:gridSpan w:val="3"/>
            <w:shd w:val="clear" w:color="auto" w:fill="auto"/>
            <w:vAlign w:val="bottom"/>
          </w:tcPr>
          <w:p w14:paraId="27E07C50" w14:textId="77777777" w:rsidR="00A85061" w:rsidRDefault="00A85061">
            <w:pPr>
              <w:rPr>
                <w:rFonts w:ascii="宋体"/>
                <w:vanish/>
              </w:rPr>
            </w:pPr>
          </w:p>
        </w:tc>
        <w:tc>
          <w:tcPr>
            <w:tcW w:w="0" w:type="auto"/>
            <w:gridSpan w:val="3"/>
            <w:shd w:val="clear" w:color="auto" w:fill="auto"/>
            <w:vAlign w:val="bottom"/>
          </w:tcPr>
          <w:p w14:paraId="27E07C51" w14:textId="77777777" w:rsidR="00A85061" w:rsidRDefault="00A85061">
            <w:pPr>
              <w:rPr>
                <w:rFonts w:ascii="宋体"/>
                <w:vanish/>
              </w:rPr>
            </w:pPr>
          </w:p>
        </w:tc>
        <w:tc>
          <w:tcPr>
            <w:tcW w:w="0" w:type="auto"/>
            <w:gridSpan w:val="3"/>
            <w:shd w:val="clear" w:color="auto" w:fill="auto"/>
            <w:vAlign w:val="bottom"/>
          </w:tcPr>
          <w:p w14:paraId="27E07C52" w14:textId="77777777" w:rsidR="00A85061" w:rsidRDefault="00A85061">
            <w:pPr>
              <w:rPr>
                <w:rFonts w:ascii="宋体"/>
                <w:vanish/>
              </w:rPr>
            </w:pPr>
          </w:p>
        </w:tc>
        <w:tc>
          <w:tcPr>
            <w:tcW w:w="0" w:type="auto"/>
            <w:gridSpan w:val="3"/>
            <w:shd w:val="clear" w:color="auto" w:fill="auto"/>
            <w:vAlign w:val="bottom"/>
          </w:tcPr>
          <w:p w14:paraId="27E07C53" w14:textId="77777777" w:rsidR="00A85061" w:rsidRDefault="00A85061">
            <w:pPr>
              <w:rPr>
                <w:rFonts w:ascii="宋体"/>
                <w:vanish/>
              </w:rPr>
            </w:pPr>
          </w:p>
        </w:tc>
        <w:tc>
          <w:tcPr>
            <w:tcW w:w="0" w:type="auto"/>
            <w:gridSpan w:val="3"/>
            <w:shd w:val="clear" w:color="auto" w:fill="auto"/>
            <w:vAlign w:val="bottom"/>
          </w:tcPr>
          <w:p w14:paraId="27E07C54" w14:textId="77777777" w:rsidR="00A85061" w:rsidRDefault="00A85061">
            <w:pPr>
              <w:rPr>
                <w:rFonts w:ascii="宋体"/>
                <w:vanish/>
              </w:rPr>
            </w:pPr>
          </w:p>
        </w:tc>
        <w:tc>
          <w:tcPr>
            <w:tcW w:w="0" w:type="auto"/>
            <w:gridSpan w:val="3"/>
            <w:shd w:val="clear" w:color="auto" w:fill="auto"/>
            <w:vAlign w:val="bottom"/>
          </w:tcPr>
          <w:p w14:paraId="27E07C55" w14:textId="77777777" w:rsidR="00A85061" w:rsidRDefault="00A85061">
            <w:pPr>
              <w:rPr>
                <w:rFonts w:ascii="宋体"/>
                <w:vanish/>
              </w:rPr>
            </w:pPr>
          </w:p>
        </w:tc>
        <w:tc>
          <w:tcPr>
            <w:tcW w:w="0" w:type="auto"/>
            <w:gridSpan w:val="3"/>
            <w:shd w:val="clear" w:color="auto" w:fill="auto"/>
            <w:vAlign w:val="bottom"/>
          </w:tcPr>
          <w:p w14:paraId="27E07C56" w14:textId="77777777" w:rsidR="00A85061" w:rsidRDefault="00A85061">
            <w:pPr>
              <w:rPr>
                <w:rFonts w:ascii="宋体"/>
                <w:vanish/>
              </w:rPr>
            </w:pPr>
          </w:p>
        </w:tc>
        <w:tc>
          <w:tcPr>
            <w:tcW w:w="0" w:type="auto"/>
            <w:gridSpan w:val="3"/>
            <w:shd w:val="clear" w:color="auto" w:fill="auto"/>
            <w:vAlign w:val="bottom"/>
          </w:tcPr>
          <w:p w14:paraId="27E07C57" w14:textId="77777777" w:rsidR="00A85061" w:rsidRDefault="00A85061">
            <w:pPr>
              <w:rPr>
                <w:rFonts w:ascii="宋体"/>
                <w:vanish/>
              </w:rPr>
            </w:pPr>
          </w:p>
        </w:tc>
      </w:tr>
      <w:tr w:rsidR="00A85061" w14:paraId="27E07C64" w14:textId="77777777">
        <w:tc>
          <w:tcPr>
            <w:tcW w:w="0" w:type="auto"/>
            <w:gridSpan w:val="3"/>
            <w:shd w:val="clear" w:color="auto" w:fill="E2EFD9"/>
            <w:tcMar>
              <w:top w:w="40" w:type="dxa"/>
              <w:left w:w="380" w:type="dxa"/>
              <w:bottom w:w="40" w:type="dxa"/>
              <w:right w:w="20" w:type="dxa"/>
            </w:tcMar>
            <w:vAlign w:val="bottom"/>
          </w:tcPr>
          <w:p w14:paraId="27E07C59" w14:textId="77777777" w:rsidR="00A85061" w:rsidRDefault="00F04891">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27E07C5A" w14:textId="77777777" w:rsidR="00A85061" w:rsidRDefault="00F04891">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27E07C5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C5C"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C5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C5E" w14:textId="77777777" w:rsidR="00A85061" w:rsidRDefault="00F04891">
            <w:pPr>
              <w:jc w:val="right"/>
              <w:textAlignment w:val="bottom"/>
            </w:pPr>
            <w:r>
              <w:rPr>
                <w:rFonts w:ascii="sans-serif" w:eastAsia="sans-serif" w:hAnsi="sans-serif" w:cs="sans-serif"/>
                <w:color w:val="000000"/>
                <w:sz w:val="20"/>
                <w:szCs w:val="20"/>
              </w:rPr>
              <w:t>252.22 </w:t>
            </w:r>
          </w:p>
        </w:tc>
        <w:tc>
          <w:tcPr>
            <w:tcW w:w="0" w:type="auto"/>
            <w:shd w:val="clear" w:color="auto" w:fill="E2EFD9"/>
            <w:tcMar>
              <w:top w:w="40" w:type="dxa"/>
              <w:left w:w="0" w:type="dxa"/>
              <w:bottom w:w="40" w:type="dxa"/>
              <w:right w:w="20" w:type="dxa"/>
            </w:tcMar>
            <w:vAlign w:val="bottom"/>
          </w:tcPr>
          <w:p w14:paraId="27E07C5F" w14:textId="77777777" w:rsidR="00A85061" w:rsidRDefault="00A85061">
            <w:pPr>
              <w:jc w:val="right"/>
              <w:rPr>
                <w:rFonts w:ascii="宋体"/>
              </w:rPr>
            </w:pPr>
          </w:p>
        </w:tc>
        <w:tc>
          <w:tcPr>
            <w:tcW w:w="0" w:type="auto"/>
            <w:gridSpan w:val="3"/>
            <w:shd w:val="clear" w:color="auto" w:fill="auto"/>
            <w:vAlign w:val="bottom"/>
          </w:tcPr>
          <w:p w14:paraId="27E07C60" w14:textId="77777777" w:rsidR="00A85061" w:rsidRDefault="00A85061">
            <w:pPr>
              <w:rPr>
                <w:rFonts w:ascii="宋体"/>
                <w:vanish/>
              </w:rPr>
            </w:pPr>
          </w:p>
        </w:tc>
        <w:tc>
          <w:tcPr>
            <w:tcW w:w="0" w:type="auto"/>
            <w:gridSpan w:val="3"/>
            <w:shd w:val="clear" w:color="auto" w:fill="auto"/>
            <w:vAlign w:val="bottom"/>
          </w:tcPr>
          <w:p w14:paraId="27E07C61" w14:textId="77777777" w:rsidR="00A85061" w:rsidRDefault="00A85061">
            <w:pPr>
              <w:rPr>
                <w:rFonts w:ascii="宋体"/>
                <w:vanish/>
              </w:rPr>
            </w:pPr>
          </w:p>
        </w:tc>
        <w:tc>
          <w:tcPr>
            <w:tcW w:w="0" w:type="auto"/>
            <w:gridSpan w:val="3"/>
            <w:shd w:val="clear" w:color="auto" w:fill="auto"/>
            <w:vAlign w:val="bottom"/>
          </w:tcPr>
          <w:p w14:paraId="27E07C62" w14:textId="77777777" w:rsidR="00A85061" w:rsidRDefault="00A85061">
            <w:pPr>
              <w:rPr>
                <w:rFonts w:ascii="宋体"/>
                <w:vanish/>
              </w:rPr>
            </w:pPr>
          </w:p>
        </w:tc>
        <w:tc>
          <w:tcPr>
            <w:tcW w:w="0" w:type="auto"/>
            <w:gridSpan w:val="3"/>
            <w:shd w:val="clear" w:color="auto" w:fill="auto"/>
            <w:vAlign w:val="bottom"/>
          </w:tcPr>
          <w:p w14:paraId="27E07C63" w14:textId="77777777" w:rsidR="00A85061" w:rsidRDefault="00A85061">
            <w:pPr>
              <w:rPr>
                <w:rFonts w:ascii="宋体"/>
                <w:vanish/>
              </w:rPr>
            </w:pPr>
          </w:p>
        </w:tc>
      </w:tr>
      <w:tr w:rsidR="00A85061" w14:paraId="27E07C6D" w14:textId="77777777">
        <w:trPr>
          <w:hidden/>
        </w:trPr>
        <w:tc>
          <w:tcPr>
            <w:tcW w:w="0" w:type="auto"/>
            <w:gridSpan w:val="3"/>
            <w:shd w:val="clear" w:color="auto" w:fill="auto"/>
            <w:vAlign w:val="bottom"/>
          </w:tcPr>
          <w:p w14:paraId="27E07C65" w14:textId="77777777" w:rsidR="00A85061" w:rsidRDefault="00A85061">
            <w:pPr>
              <w:rPr>
                <w:rFonts w:ascii="宋体"/>
                <w:vanish/>
              </w:rPr>
            </w:pPr>
          </w:p>
        </w:tc>
        <w:tc>
          <w:tcPr>
            <w:tcW w:w="0" w:type="auto"/>
            <w:gridSpan w:val="3"/>
            <w:shd w:val="clear" w:color="auto" w:fill="auto"/>
            <w:vAlign w:val="bottom"/>
          </w:tcPr>
          <w:p w14:paraId="27E07C66" w14:textId="77777777" w:rsidR="00A85061" w:rsidRDefault="00A85061">
            <w:pPr>
              <w:rPr>
                <w:rFonts w:ascii="宋体"/>
                <w:vanish/>
              </w:rPr>
            </w:pPr>
          </w:p>
        </w:tc>
        <w:tc>
          <w:tcPr>
            <w:tcW w:w="0" w:type="auto"/>
            <w:gridSpan w:val="3"/>
            <w:shd w:val="clear" w:color="auto" w:fill="auto"/>
            <w:vAlign w:val="bottom"/>
          </w:tcPr>
          <w:p w14:paraId="27E07C67" w14:textId="77777777" w:rsidR="00A85061" w:rsidRDefault="00A85061">
            <w:pPr>
              <w:rPr>
                <w:rFonts w:ascii="宋体"/>
                <w:vanish/>
              </w:rPr>
            </w:pPr>
          </w:p>
        </w:tc>
        <w:tc>
          <w:tcPr>
            <w:tcW w:w="0" w:type="auto"/>
            <w:gridSpan w:val="3"/>
            <w:shd w:val="clear" w:color="auto" w:fill="auto"/>
            <w:vAlign w:val="bottom"/>
          </w:tcPr>
          <w:p w14:paraId="27E07C68" w14:textId="77777777" w:rsidR="00A85061" w:rsidRDefault="00A85061">
            <w:pPr>
              <w:rPr>
                <w:rFonts w:ascii="宋体"/>
                <w:vanish/>
              </w:rPr>
            </w:pPr>
          </w:p>
        </w:tc>
        <w:tc>
          <w:tcPr>
            <w:tcW w:w="0" w:type="auto"/>
            <w:gridSpan w:val="3"/>
            <w:shd w:val="clear" w:color="auto" w:fill="auto"/>
            <w:vAlign w:val="bottom"/>
          </w:tcPr>
          <w:p w14:paraId="27E07C69" w14:textId="77777777" w:rsidR="00A85061" w:rsidRDefault="00A85061">
            <w:pPr>
              <w:rPr>
                <w:rFonts w:ascii="宋体"/>
                <w:vanish/>
              </w:rPr>
            </w:pPr>
          </w:p>
        </w:tc>
        <w:tc>
          <w:tcPr>
            <w:tcW w:w="0" w:type="auto"/>
            <w:gridSpan w:val="3"/>
            <w:shd w:val="clear" w:color="auto" w:fill="auto"/>
            <w:vAlign w:val="bottom"/>
          </w:tcPr>
          <w:p w14:paraId="27E07C6A" w14:textId="77777777" w:rsidR="00A85061" w:rsidRDefault="00A85061">
            <w:pPr>
              <w:rPr>
                <w:rFonts w:ascii="宋体"/>
                <w:vanish/>
              </w:rPr>
            </w:pPr>
          </w:p>
        </w:tc>
        <w:tc>
          <w:tcPr>
            <w:tcW w:w="0" w:type="auto"/>
            <w:gridSpan w:val="3"/>
            <w:shd w:val="clear" w:color="auto" w:fill="auto"/>
            <w:vAlign w:val="bottom"/>
          </w:tcPr>
          <w:p w14:paraId="27E07C6B" w14:textId="77777777" w:rsidR="00A85061" w:rsidRDefault="00A85061">
            <w:pPr>
              <w:rPr>
                <w:rFonts w:ascii="宋体"/>
                <w:vanish/>
              </w:rPr>
            </w:pPr>
          </w:p>
        </w:tc>
        <w:tc>
          <w:tcPr>
            <w:tcW w:w="0" w:type="auto"/>
            <w:gridSpan w:val="3"/>
            <w:shd w:val="clear" w:color="auto" w:fill="auto"/>
            <w:vAlign w:val="bottom"/>
          </w:tcPr>
          <w:p w14:paraId="27E07C6C" w14:textId="77777777" w:rsidR="00A85061" w:rsidRDefault="00A85061">
            <w:pPr>
              <w:rPr>
                <w:rFonts w:ascii="宋体"/>
                <w:vanish/>
              </w:rPr>
            </w:pPr>
          </w:p>
        </w:tc>
      </w:tr>
      <w:tr w:rsidR="00A85061" w14:paraId="27E07C79" w14:textId="77777777">
        <w:tc>
          <w:tcPr>
            <w:tcW w:w="0" w:type="auto"/>
            <w:gridSpan w:val="3"/>
            <w:shd w:val="clear" w:color="auto" w:fill="FFFFFF"/>
            <w:tcMar>
              <w:top w:w="40" w:type="dxa"/>
              <w:left w:w="20" w:type="dxa"/>
              <w:bottom w:w="40" w:type="dxa"/>
              <w:right w:w="20" w:type="dxa"/>
            </w:tcMar>
            <w:vAlign w:val="bottom"/>
          </w:tcPr>
          <w:p w14:paraId="27E07C6E" w14:textId="77777777" w:rsidR="00A85061" w:rsidRDefault="00F04891">
            <w:pPr>
              <w:textAlignment w:val="bottom"/>
            </w:pPr>
            <w:r>
              <w:rPr>
                <w:rFonts w:ascii="sans-serif" w:eastAsia="sans-serif" w:hAnsi="sans-serif" w:cs="sans-serif"/>
                <w:color w:val="000000"/>
                <w:sz w:val="20"/>
                <w:szCs w:val="20"/>
              </w:rPr>
              <w:t>Balances, May 2,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7C6F" w14:textId="77777777" w:rsidR="00A85061" w:rsidRDefault="00F04891">
            <w:pPr>
              <w:jc w:val="right"/>
              <w:textAlignment w:val="bottom"/>
            </w:pPr>
            <w:r>
              <w:rPr>
                <w:rFonts w:ascii="sans-serif" w:eastAsia="sans-serif" w:hAnsi="sans-serif" w:cs="sans-serif"/>
                <w:color w:val="000000"/>
                <w:sz w:val="20"/>
                <w:szCs w:val="20"/>
              </w:rPr>
              <w:t>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7C7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C71"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C7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C73" w14:textId="77777777" w:rsidR="00A85061" w:rsidRDefault="00F04891">
            <w:pPr>
              <w:jc w:val="right"/>
              <w:textAlignment w:val="bottom"/>
            </w:pPr>
            <w:r>
              <w:rPr>
                <w:rFonts w:ascii="sans-serif" w:eastAsia="sans-serif" w:hAnsi="sans-serif" w:cs="sans-serif"/>
                <w:color w:val="000000"/>
                <w:sz w:val="20"/>
                <w:szCs w:val="20"/>
              </w:rPr>
              <w:t>279.79 </w:t>
            </w:r>
          </w:p>
        </w:tc>
        <w:tc>
          <w:tcPr>
            <w:tcW w:w="0" w:type="auto"/>
            <w:shd w:val="clear" w:color="auto" w:fill="FFFFFF"/>
            <w:tcMar>
              <w:top w:w="40" w:type="dxa"/>
              <w:left w:w="0" w:type="dxa"/>
              <w:bottom w:w="40" w:type="dxa"/>
              <w:right w:w="20" w:type="dxa"/>
            </w:tcMar>
            <w:vAlign w:val="bottom"/>
          </w:tcPr>
          <w:p w14:paraId="27E07C74" w14:textId="77777777" w:rsidR="00A85061" w:rsidRDefault="00A85061">
            <w:pPr>
              <w:jc w:val="right"/>
              <w:rPr>
                <w:rFonts w:ascii="宋体"/>
              </w:rPr>
            </w:pPr>
          </w:p>
        </w:tc>
        <w:tc>
          <w:tcPr>
            <w:tcW w:w="0" w:type="auto"/>
            <w:gridSpan w:val="3"/>
            <w:shd w:val="clear" w:color="auto" w:fill="auto"/>
            <w:vAlign w:val="bottom"/>
          </w:tcPr>
          <w:p w14:paraId="27E07C75" w14:textId="77777777" w:rsidR="00A85061" w:rsidRDefault="00A85061">
            <w:pPr>
              <w:rPr>
                <w:rFonts w:ascii="宋体"/>
                <w:vanish/>
              </w:rPr>
            </w:pPr>
          </w:p>
        </w:tc>
        <w:tc>
          <w:tcPr>
            <w:tcW w:w="0" w:type="auto"/>
            <w:gridSpan w:val="3"/>
            <w:shd w:val="clear" w:color="auto" w:fill="auto"/>
            <w:vAlign w:val="bottom"/>
          </w:tcPr>
          <w:p w14:paraId="27E07C76" w14:textId="77777777" w:rsidR="00A85061" w:rsidRDefault="00A85061">
            <w:pPr>
              <w:rPr>
                <w:rFonts w:ascii="宋体"/>
                <w:vanish/>
              </w:rPr>
            </w:pPr>
          </w:p>
        </w:tc>
        <w:tc>
          <w:tcPr>
            <w:tcW w:w="0" w:type="auto"/>
            <w:gridSpan w:val="3"/>
            <w:shd w:val="clear" w:color="auto" w:fill="auto"/>
            <w:vAlign w:val="bottom"/>
          </w:tcPr>
          <w:p w14:paraId="27E07C77" w14:textId="77777777" w:rsidR="00A85061" w:rsidRDefault="00A85061">
            <w:pPr>
              <w:rPr>
                <w:rFonts w:ascii="宋体"/>
                <w:vanish/>
              </w:rPr>
            </w:pPr>
          </w:p>
        </w:tc>
        <w:tc>
          <w:tcPr>
            <w:tcW w:w="0" w:type="auto"/>
            <w:gridSpan w:val="3"/>
            <w:shd w:val="clear" w:color="auto" w:fill="auto"/>
            <w:vAlign w:val="bottom"/>
          </w:tcPr>
          <w:p w14:paraId="27E07C78" w14:textId="77777777" w:rsidR="00A85061" w:rsidRDefault="00A85061">
            <w:pPr>
              <w:rPr>
                <w:rFonts w:ascii="宋体"/>
                <w:vanish/>
              </w:rPr>
            </w:pPr>
          </w:p>
        </w:tc>
      </w:tr>
    </w:tbl>
    <w:p w14:paraId="27E07C7A" w14:textId="77777777" w:rsidR="00A85061" w:rsidRDefault="00F04891">
      <w:pPr>
        <w:spacing w:after="180"/>
        <w:jc w:val="both"/>
      </w:pPr>
      <w:r>
        <w:rPr>
          <w:rFonts w:ascii="sans-serif" w:eastAsia="sans-serif" w:hAnsi="sans-serif" w:cs="sans-serif"/>
          <w:color w:val="000000"/>
          <w:sz w:val="20"/>
          <w:szCs w:val="20"/>
        </w:rPr>
        <w:t xml:space="preserve">As of May 2, </w:t>
      </w:r>
      <w:r>
        <w:rPr>
          <w:rFonts w:ascii="sans-serif" w:eastAsia="sans-serif" w:hAnsi="sans-serif" w:cs="sans-serif"/>
          <w:color w:val="000000"/>
          <w:sz w:val="20"/>
          <w:szCs w:val="20"/>
        </w:rPr>
        <w:t>2021, there was $3.32 billion of aggregate unearned stock-based compensation expense, net of forfeitures. This amount is expected to be recognized over a weighted average period of 2.4 years for RSUs, PSUs, and market-based PSUs, and 1.1 years for ESPP.</w:t>
      </w:r>
    </w:p>
    <w:p w14:paraId="27E07C7B" w14:textId="77777777" w:rsidR="00A85061" w:rsidRDefault="00A85061">
      <w:pPr>
        <w:spacing w:before="240" w:after="120"/>
        <w:jc w:val="both"/>
      </w:pPr>
    </w:p>
    <w:p w14:paraId="27E07C7C" w14:textId="77777777" w:rsidR="00A85061" w:rsidRDefault="00F04891">
      <w:pPr>
        <w:spacing w:after="180"/>
        <w:jc w:val="center"/>
      </w:pPr>
      <w:r>
        <w:rPr>
          <w:rFonts w:ascii="sans-serif" w:eastAsia="sans-serif" w:hAnsi="sans-serif" w:cs="sans-serif"/>
          <w:color w:val="000000"/>
          <w:sz w:val="20"/>
          <w:szCs w:val="20"/>
        </w:rPr>
        <w:t>11</w:t>
      </w:r>
    </w:p>
    <w:p w14:paraId="27E07C7D" w14:textId="77777777" w:rsidR="00A85061" w:rsidRDefault="00F04891">
      <w:r>
        <w:pict w14:anchorId="27E08EFC">
          <v:rect id="_x0000_i1035" style="width:415.3pt;height:1.5pt" o:hralign="center" o:hrstd="t" o:hr="t" fillcolor="#a0a0a0" stroked="f"/>
        </w:pict>
      </w:r>
    </w:p>
    <w:p w14:paraId="27E07C7E" w14:textId="77777777" w:rsidR="00A85061" w:rsidRDefault="00F04891">
      <w:pPr>
        <w:jc w:val="center"/>
      </w:pPr>
      <w:r>
        <w:rPr>
          <w:rFonts w:ascii="sans-serif" w:eastAsia="sans-serif" w:hAnsi="sans-serif" w:cs="sans-serif"/>
          <w:b/>
          <w:bCs/>
          <w:color w:val="000000"/>
          <w:sz w:val="20"/>
          <w:szCs w:val="20"/>
        </w:rPr>
        <w:t>NVIDIA CORPORATION AND SUBSIDIARIES</w:t>
      </w:r>
    </w:p>
    <w:p w14:paraId="27E07C7F"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7C80" w14:textId="77777777" w:rsidR="00A85061" w:rsidRDefault="00F04891">
      <w:pPr>
        <w:jc w:val="center"/>
      </w:pPr>
      <w:r>
        <w:rPr>
          <w:rFonts w:ascii="sans-serif" w:eastAsia="sans-serif" w:hAnsi="sans-serif" w:cs="sans-serif"/>
          <w:b/>
          <w:bCs/>
          <w:color w:val="000000"/>
          <w:sz w:val="20"/>
          <w:szCs w:val="20"/>
        </w:rPr>
        <w:t>(Unaudited)</w:t>
      </w:r>
    </w:p>
    <w:p w14:paraId="27E07C81" w14:textId="77777777" w:rsidR="00A85061" w:rsidRDefault="00A85061">
      <w:pPr>
        <w:spacing w:after="180"/>
        <w:jc w:val="both"/>
      </w:pPr>
    </w:p>
    <w:p w14:paraId="27E07C82" w14:textId="77777777" w:rsidR="00A85061" w:rsidRDefault="00A85061">
      <w:pPr>
        <w:spacing w:after="180"/>
        <w:jc w:val="both"/>
      </w:pPr>
    </w:p>
    <w:p w14:paraId="27E07C83" w14:textId="77777777" w:rsidR="00A85061" w:rsidRDefault="00F04891">
      <w:pPr>
        <w:spacing w:before="240" w:after="120"/>
        <w:jc w:val="both"/>
      </w:pPr>
      <w:r>
        <w:rPr>
          <w:rFonts w:ascii="sans-serif" w:eastAsia="sans-serif" w:hAnsi="sans-serif" w:cs="sans-serif"/>
          <w:b/>
          <w:bCs/>
          <w:color w:val="76B900"/>
          <w:sz w:val="22"/>
          <w:szCs w:val="22"/>
        </w:rPr>
        <w:t>Note 5 – Net Income Per Share</w:t>
      </w:r>
    </w:p>
    <w:p w14:paraId="27E07C84" w14:textId="77777777" w:rsidR="00A85061" w:rsidRDefault="00F04891">
      <w:pPr>
        <w:spacing w:after="180"/>
        <w:jc w:val="both"/>
      </w:pPr>
      <w:r>
        <w:rPr>
          <w:rFonts w:ascii="sans-serif" w:eastAsia="sans-serif" w:hAnsi="sans-serif" w:cs="sans-serif"/>
          <w:color w:val="000000"/>
          <w:sz w:val="20"/>
          <w:szCs w:val="20"/>
        </w:rPr>
        <w:t xml:space="preserve">The following is a reconciliation of the denominator of the basic and diluted net income per share </w:t>
      </w:r>
      <w:r>
        <w:rPr>
          <w:rFonts w:ascii="sans-serif" w:eastAsia="sans-serif" w:hAnsi="sans-serif" w:cs="sans-serif"/>
          <w:color w:val="000000"/>
          <w:sz w:val="20"/>
          <w:szCs w:val="20"/>
        </w:rPr>
        <w:t>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237"/>
        <w:gridCol w:w="36"/>
        <w:gridCol w:w="122"/>
        <w:gridCol w:w="1104"/>
        <w:gridCol w:w="36"/>
        <w:gridCol w:w="36"/>
        <w:gridCol w:w="36"/>
        <w:gridCol w:w="36"/>
        <w:gridCol w:w="122"/>
        <w:gridCol w:w="1065"/>
        <w:gridCol w:w="36"/>
        <w:gridCol w:w="36"/>
        <w:gridCol w:w="36"/>
        <w:gridCol w:w="36"/>
        <w:gridCol w:w="36"/>
        <w:gridCol w:w="36"/>
        <w:gridCol w:w="36"/>
        <w:gridCol w:w="36"/>
        <w:gridCol w:w="36"/>
        <w:gridCol w:w="36"/>
        <w:gridCol w:w="36"/>
        <w:gridCol w:w="36"/>
        <w:gridCol w:w="36"/>
      </w:tblGrid>
      <w:tr w:rsidR="00A85061" w14:paraId="27E07C95" w14:textId="77777777">
        <w:tc>
          <w:tcPr>
            <w:tcW w:w="50" w:type="pct"/>
            <w:shd w:val="clear" w:color="auto" w:fill="auto"/>
            <w:vAlign w:val="bottom"/>
          </w:tcPr>
          <w:p w14:paraId="27E07C85" w14:textId="77777777" w:rsidR="00A85061" w:rsidRDefault="00A85061">
            <w:pPr>
              <w:rPr>
                <w:rFonts w:ascii="宋体"/>
              </w:rPr>
            </w:pPr>
          </w:p>
        </w:tc>
        <w:tc>
          <w:tcPr>
            <w:tcW w:w="3344" w:type="pct"/>
            <w:shd w:val="clear" w:color="auto" w:fill="auto"/>
            <w:vAlign w:val="bottom"/>
          </w:tcPr>
          <w:p w14:paraId="27E07C86" w14:textId="77777777" w:rsidR="00A85061" w:rsidRDefault="00A85061">
            <w:pPr>
              <w:rPr>
                <w:rFonts w:ascii="宋体"/>
              </w:rPr>
            </w:pPr>
          </w:p>
        </w:tc>
        <w:tc>
          <w:tcPr>
            <w:tcW w:w="5" w:type="pct"/>
            <w:shd w:val="clear" w:color="auto" w:fill="auto"/>
            <w:vAlign w:val="bottom"/>
          </w:tcPr>
          <w:p w14:paraId="27E07C87" w14:textId="77777777" w:rsidR="00A85061" w:rsidRDefault="00A85061">
            <w:pPr>
              <w:rPr>
                <w:rFonts w:ascii="宋体"/>
              </w:rPr>
            </w:pPr>
          </w:p>
        </w:tc>
        <w:tc>
          <w:tcPr>
            <w:tcW w:w="50" w:type="pct"/>
            <w:shd w:val="clear" w:color="auto" w:fill="auto"/>
            <w:vAlign w:val="bottom"/>
          </w:tcPr>
          <w:p w14:paraId="27E07C88" w14:textId="77777777" w:rsidR="00A85061" w:rsidRDefault="00A85061">
            <w:pPr>
              <w:rPr>
                <w:rFonts w:ascii="宋体"/>
              </w:rPr>
            </w:pPr>
          </w:p>
        </w:tc>
        <w:tc>
          <w:tcPr>
            <w:tcW w:w="727" w:type="pct"/>
            <w:shd w:val="clear" w:color="auto" w:fill="auto"/>
            <w:vAlign w:val="bottom"/>
          </w:tcPr>
          <w:p w14:paraId="27E07C89" w14:textId="77777777" w:rsidR="00A85061" w:rsidRDefault="00A85061">
            <w:pPr>
              <w:rPr>
                <w:rFonts w:ascii="宋体"/>
              </w:rPr>
            </w:pPr>
          </w:p>
        </w:tc>
        <w:tc>
          <w:tcPr>
            <w:tcW w:w="5" w:type="pct"/>
            <w:shd w:val="clear" w:color="auto" w:fill="auto"/>
            <w:vAlign w:val="bottom"/>
          </w:tcPr>
          <w:p w14:paraId="27E07C8A" w14:textId="77777777" w:rsidR="00A85061" w:rsidRDefault="00A85061">
            <w:pPr>
              <w:rPr>
                <w:rFonts w:ascii="宋体"/>
              </w:rPr>
            </w:pPr>
          </w:p>
        </w:tc>
        <w:tc>
          <w:tcPr>
            <w:tcW w:w="5" w:type="pct"/>
            <w:shd w:val="clear" w:color="auto" w:fill="auto"/>
            <w:vAlign w:val="bottom"/>
          </w:tcPr>
          <w:p w14:paraId="27E07C8B" w14:textId="77777777" w:rsidR="00A85061" w:rsidRDefault="00A85061">
            <w:pPr>
              <w:rPr>
                <w:rFonts w:ascii="宋体"/>
              </w:rPr>
            </w:pPr>
          </w:p>
        </w:tc>
        <w:tc>
          <w:tcPr>
            <w:tcW w:w="26" w:type="pct"/>
            <w:shd w:val="clear" w:color="auto" w:fill="auto"/>
            <w:vAlign w:val="bottom"/>
          </w:tcPr>
          <w:p w14:paraId="27E07C8C" w14:textId="77777777" w:rsidR="00A85061" w:rsidRDefault="00A85061">
            <w:pPr>
              <w:rPr>
                <w:rFonts w:ascii="宋体"/>
              </w:rPr>
            </w:pPr>
          </w:p>
        </w:tc>
        <w:tc>
          <w:tcPr>
            <w:tcW w:w="5" w:type="pct"/>
            <w:shd w:val="clear" w:color="auto" w:fill="auto"/>
            <w:vAlign w:val="bottom"/>
          </w:tcPr>
          <w:p w14:paraId="27E07C8D" w14:textId="77777777" w:rsidR="00A85061" w:rsidRDefault="00A85061">
            <w:pPr>
              <w:rPr>
                <w:rFonts w:ascii="宋体"/>
              </w:rPr>
            </w:pPr>
          </w:p>
        </w:tc>
        <w:tc>
          <w:tcPr>
            <w:tcW w:w="50" w:type="pct"/>
            <w:shd w:val="clear" w:color="auto" w:fill="auto"/>
            <w:vAlign w:val="bottom"/>
          </w:tcPr>
          <w:p w14:paraId="27E07C8E" w14:textId="77777777" w:rsidR="00A85061" w:rsidRDefault="00A85061">
            <w:pPr>
              <w:rPr>
                <w:rFonts w:ascii="宋体"/>
              </w:rPr>
            </w:pPr>
          </w:p>
        </w:tc>
        <w:tc>
          <w:tcPr>
            <w:tcW w:w="727" w:type="pct"/>
            <w:shd w:val="clear" w:color="auto" w:fill="auto"/>
            <w:vAlign w:val="bottom"/>
          </w:tcPr>
          <w:p w14:paraId="27E07C8F" w14:textId="77777777" w:rsidR="00A85061" w:rsidRDefault="00A85061">
            <w:pPr>
              <w:rPr>
                <w:rFonts w:ascii="宋体"/>
              </w:rPr>
            </w:pPr>
          </w:p>
        </w:tc>
        <w:tc>
          <w:tcPr>
            <w:tcW w:w="5" w:type="pct"/>
            <w:shd w:val="clear" w:color="auto" w:fill="auto"/>
            <w:vAlign w:val="bottom"/>
          </w:tcPr>
          <w:p w14:paraId="27E07C90" w14:textId="77777777" w:rsidR="00A85061" w:rsidRDefault="00A85061">
            <w:pPr>
              <w:rPr>
                <w:rFonts w:ascii="宋体"/>
              </w:rPr>
            </w:pPr>
          </w:p>
        </w:tc>
        <w:tc>
          <w:tcPr>
            <w:tcW w:w="0" w:type="auto"/>
            <w:gridSpan w:val="3"/>
            <w:shd w:val="clear" w:color="auto" w:fill="auto"/>
            <w:vAlign w:val="bottom"/>
          </w:tcPr>
          <w:p w14:paraId="27E07C91" w14:textId="77777777" w:rsidR="00A85061" w:rsidRDefault="00A85061">
            <w:pPr>
              <w:rPr>
                <w:rFonts w:ascii="宋体"/>
                <w:vanish/>
              </w:rPr>
            </w:pPr>
          </w:p>
        </w:tc>
        <w:tc>
          <w:tcPr>
            <w:tcW w:w="0" w:type="auto"/>
            <w:gridSpan w:val="3"/>
            <w:shd w:val="clear" w:color="auto" w:fill="auto"/>
            <w:vAlign w:val="bottom"/>
          </w:tcPr>
          <w:p w14:paraId="27E07C92" w14:textId="77777777" w:rsidR="00A85061" w:rsidRDefault="00A85061">
            <w:pPr>
              <w:rPr>
                <w:rFonts w:ascii="宋体"/>
                <w:vanish/>
              </w:rPr>
            </w:pPr>
          </w:p>
        </w:tc>
        <w:tc>
          <w:tcPr>
            <w:tcW w:w="0" w:type="auto"/>
            <w:gridSpan w:val="3"/>
            <w:shd w:val="clear" w:color="auto" w:fill="auto"/>
            <w:vAlign w:val="bottom"/>
          </w:tcPr>
          <w:p w14:paraId="27E07C93" w14:textId="77777777" w:rsidR="00A85061" w:rsidRDefault="00A85061">
            <w:pPr>
              <w:rPr>
                <w:rFonts w:ascii="宋体"/>
                <w:vanish/>
              </w:rPr>
            </w:pPr>
          </w:p>
        </w:tc>
        <w:tc>
          <w:tcPr>
            <w:tcW w:w="0" w:type="auto"/>
            <w:gridSpan w:val="3"/>
            <w:shd w:val="clear" w:color="auto" w:fill="auto"/>
            <w:vAlign w:val="bottom"/>
          </w:tcPr>
          <w:p w14:paraId="27E07C94" w14:textId="77777777" w:rsidR="00A85061" w:rsidRDefault="00A85061">
            <w:pPr>
              <w:rPr>
                <w:rFonts w:ascii="宋体"/>
                <w:vanish/>
              </w:rPr>
            </w:pPr>
          </w:p>
        </w:tc>
      </w:tr>
      <w:tr w:rsidR="00A85061" w14:paraId="27E07CA0" w14:textId="77777777">
        <w:tc>
          <w:tcPr>
            <w:tcW w:w="0" w:type="auto"/>
            <w:gridSpan w:val="3"/>
            <w:shd w:val="clear" w:color="auto" w:fill="auto"/>
            <w:tcMar>
              <w:top w:w="40" w:type="dxa"/>
              <w:left w:w="20" w:type="dxa"/>
              <w:bottom w:w="40" w:type="dxa"/>
              <w:right w:w="20" w:type="dxa"/>
            </w:tcMar>
            <w:vAlign w:val="bottom"/>
          </w:tcPr>
          <w:p w14:paraId="27E07C96"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C97"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7C98" w14:textId="77777777" w:rsidR="00A85061" w:rsidRDefault="00A85061">
            <w:pPr>
              <w:rPr>
                <w:rFonts w:ascii="宋体"/>
                <w:vanish/>
              </w:rPr>
            </w:pPr>
          </w:p>
        </w:tc>
        <w:tc>
          <w:tcPr>
            <w:tcW w:w="0" w:type="auto"/>
            <w:gridSpan w:val="3"/>
            <w:shd w:val="clear" w:color="auto" w:fill="auto"/>
            <w:vAlign w:val="bottom"/>
          </w:tcPr>
          <w:p w14:paraId="27E07C99" w14:textId="77777777" w:rsidR="00A85061" w:rsidRDefault="00A85061">
            <w:pPr>
              <w:rPr>
                <w:rFonts w:ascii="宋体"/>
                <w:vanish/>
              </w:rPr>
            </w:pPr>
          </w:p>
        </w:tc>
        <w:tc>
          <w:tcPr>
            <w:tcW w:w="0" w:type="auto"/>
            <w:shd w:val="clear" w:color="auto" w:fill="auto"/>
            <w:vAlign w:val="bottom"/>
          </w:tcPr>
          <w:p w14:paraId="27E07C9A" w14:textId="77777777" w:rsidR="00A85061" w:rsidRDefault="00A85061">
            <w:pPr>
              <w:rPr>
                <w:rFonts w:ascii="宋体"/>
              </w:rPr>
            </w:pPr>
          </w:p>
        </w:tc>
        <w:tc>
          <w:tcPr>
            <w:tcW w:w="0" w:type="auto"/>
            <w:shd w:val="clear" w:color="auto" w:fill="auto"/>
            <w:vAlign w:val="bottom"/>
          </w:tcPr>
          <w:p w14:paraId="27E07C9B" w14:textId="77777777" w:rsidR="00A85061" w:rsidRDefault="00A85061">
            <w:pPr>
              <w:rPr>
                <w:rFonts w:ascii="宋体"/>
              </w:rPr>
            </w:pPr>
          </w:p>
        </w:tc>
        <w:tc>
          <w:tcPr>
            <w:tcW w:w="0" w:type="auto"/>
            <w:shd w:val="clear" w:color="auto" w:fill="auto"/>
            <w:vAlign w:val="bottom"/>
          </w:tcPr>
          <w:p w14:paraId="27E07C9C" w14:textId="77777777" w:rsidR="00A85061" w:rsidRDefault="00A85061">
            <w:pPr>
              <w:rPr>
                <w:rFonts w:ascii="宋体"/>
              </w:rPr>
            </w:pPr>
          </w:p>
        </w:tc>
        <w:tc>
          <w:tcPr>
            <w:tcW w:w="0" w:type="auto"/>
            <w:shd w:val="clear" w:color="auto" w:fill="auto"/>
            <w:vAlign w:val="bottom"/>
          </w:tcPr>
          <w:p w14:paraId="27E07C9D" w14:textId="77777777" w:rsidR="00A85061" w:rsidRDefault="00A85061">
            <w:pPr>
              <w:rPr>
                <w:rFonts w:ascii="宋体"/>
              </w:rPr>
            </w:pPr>
          </w:p>
        </w:tc>
        <w:tc>
          <w:tcPr>
            <w:tcW w:w="0" w:type="auto"/>
            <w:shd w:val="clear" w:color="auto" w:fill="auto"/>
            <w:vAlign w:val="bottom"/>
          </w:tcPr>
          <w:p w14:paraId="27E07C9E" w14:textId="77777777" w:rsidR="00A85061" w:rsidRDefault="00A85061">
            <w:pPr>
              <w:rPr>
                <w:rFonts w:ascii="宋体"/>
              </w:rPr>
            </w:pPr>
          </w:p>
        </w:tc>
        <w:tc>
          <w:tcPr>
            <w:tcW w:w="0" w:type="auto"/>
            <w:shd w:val="clear" w:color="auto" w:fill="auto"/>
            <w:vAlign w:val="bottom"/>
          </w:tcPr>
          <w:p w14:paraId="27E07C9F" w14:textId="77777777" w:rsidR="00A85061" w:rsidRDefault="00A85061">
            <w:pPr>
              <w:rPr>
                <w:rFonts w:ascii="宋体"/>
              </w:rPr>
            </w:pPr>
          </w:p>
        </w:tc>
      </w:tr>
      <w:tr w:rsidR="00A85061" w14:paraId="27E07CA9" w14:textId="77777777">
        <w:tc>
          <w:tcPr>
            <w:tcW w:w="0" w:type="auto"/>
            <w:gridSpan w:val="3"/>
            <w:shd w:val="clear" w:color="auto" w:fill="auto"/>
            <w:tcMar>
              <w:top w:w="0" w:type="dxa"/>
              <w:left w:w="20" w:type="dxa"/>
              <w:bottom w:w="0" w:type="dxa"/>
              <w:right w:w="20" w:type="dxa"/>
            </w:tcMar>
            <w:vAlign w:val="bottom"/>
          </w:tcPr>
          <w:p w14:paraId="27E07CA1"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CA2"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A3"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CA4"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vAlign w:val="bottom"/>
          </w:tcPr>
          <w:p w14:paraId="27E07CA5" w14:textId="77777777" w:rsidR="00A85061" w:rsidRDefault="00A85061">
            <w:pPr>
              <w:rPr>
                <w:rFonts w:ascii="宋体"/>
                <w:vanish/>
              </w:rPr>
            </w:pPr>
          </w:p>
        </w:tc>
        <w:tc>
          <w:tcPr>
            <w:tcW w:w="0" w:type="auto"/>
            <w:gridSpan w:val="3"/>
            <w:shd w:val="clear" w:color="auto" w:fill="auto"/>
            <w:vAlign w:val="bottom"/>
          </w:tcPr>
          <w:p w14:paraId="27E07CA6" w14:textId="77777777" w:rsidR="00A85061" w:rsidRDefault="00A85061">
            <w:pPr>
              <w:rPr>
                <w:rFonts w:ascii="宋体"/>
                <w:vanish/>
              </w:rPr>
            </w:pPr>
          </w:p>
        </w:tc>
        <w:tc>
          <w:tcPr>
            <w:tcW w:w="0" w:type="auto"/>
            <w:gridSpan w:val="3"/>
            <w:shd w:val="clear" w:color="auto" w:fill="auto"/>
            <w:vAlign w:val="bottom"/>
          </w:tcPr>
          <w:p w14:paraId="27E07CA7" w14:textId="77777777" w:rsidR="00A85061" w:rsidRDefault="00A85061">
            <w:pPr>
              <w:rPr>
                <w:rFonts w:ascii="宋体"/>
                <w:vanish/>
              </w:rPr>
            </w:pPr>
          </w:p>
        </w:tc>
        <w:tc>
          <w:tcPr>
            <w:tcW w:w="0" w:type="auto"/>
            <w:gridSpan w:val="3"/>
            <w:shd w:val="clear" w:color="auto" w:fill="auto"/>
            <w:vAlign w:val="bottom"/>
          </w:tcPr>
          <w:p w14:paraId="27E07CA8" w14:textId="77777777" w:rsidR="00A85061" w:rsidRDefault="00A85061">
            <w:pPr>
              <w:rPr>
                <w:rFonts w:ascii="宋体"/>
                <w:vanish/>
              </w:rPr>
            </w:pPr>
          </w:p>
        </w:tc>
      </w:tr>
      <w:tr w:rsidR="00A85061" w14:paraId="27E07CB2" w14:textId="77777777">
        <w:tc>
          <w:tcPr>
            <w:tcW w:w="0" w:type="auto"/>
            <w:gridSpan w:val="3"/>
            <w:shd w:val="clear" w:color="auto" w:fill="auto"/>
            <w:tcMar>
              <w:top w:w="0" w:type="dxa"/>
              <w:left w:w="20" w:type="dxa"/>
              <w:bottom w:w="0" w:type="dxa"/>
              <w:right w:w="20" w:type="dxa"/>
            </w:tcMar>
            <w:vAlign w:val="bottom"/>
          </w:tcPr>
          <w:p w14:paraId="27E07CA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CAB"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7CAC"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CAD"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vAlign w:val="bottom"/>
          </w:tcPr>
          <w:p w14:paraId="27E07CAE" w14:textId="77777777" w:rsidR="00A85061" w:rsidRDefault="00A85061">
            <w:pPr>
              <w:rPr>
                <w:rFonts w:ascii="宋体"/>
                <w:vanish/>
              </w:rPr>
            </w:pPr>
          </w:p>
        </w:tc>
        <w:tc>
          <w:tcPr>
            <w:tcW w:w="0" w:type="auto"/>
            <w:gridSpan w:val="3"/>
            <w:shd w:val="clear" w:color="auto" w:fill="auto"/>
            <w:vAlign w:val="bottom"/>
          </w:tcPr>
          <w:p w14:paraId="27E07CAF" w14:textId="77777777" w:rsidR="00A85061" w:rsidRDefault="00A85061">
            <w:pPr>
              <w:rPr>
                <w:rFonts w:ascii="宋体"/>
                <w:vanish/>
              </w:rPr>
            </w:pPr>
          </w:p>
        </w:tc>
        <w:tc>
          <w:tcPr>
            <w:tcW w:w="0" w:type="auto"/>
            <w:gridSpan w:val="3"/>
            <w:shd w:val="clear" w:color="auto" w:fill="auto"/>
            <w:vAlign w:val="bottom"/>
          </w:tcPr>
          <w:p w14:paraId="27E07CB0" w14:textId="77777777" w:rsidR="00A85061" w:rsidRDefault="00A85061">
            <w:pPr>
              <w:rPr>
                <w:rFonts w:ascii="宋体"/>
                <w:vanish/>
              </w:rPr>
            </w:pPr>
          </w:p>
        </w:tc>
        <w:tc>
          <w:tcPr>
            <w:tcW w:w="0" w:type="auto"/>
            <w:gridSpan w:val="3"/>
            <w:shd w:val="clear" w:color="auto" w:fill="auto"/>
            <w:vAlign w:val="bottom"/>
          </w:tcPr>
          <w:p w14:paraId="27E07CB1" w14:textId="77777777" w:rsidR="00A85061" w:rsidRDefault="00A85061">
            <w:pPr>
              <w:rPr>
                <w:rFonts w:ascii="宋体"/>
                <w:vanish/>
              </w:rPr>
            </w:pPr>
          </w:p>
        </w:tc>
      </w:tr>
      <w:tr w:rsidR="00A85061" w14:paraId="27E07CBB" w14:textId="77777777">
        <w:trPr>
          <w:trHeight w:val="60"/>
        </w:trPr>
        <w:tc>
          <w:tcPr>
            <w:tcW w:w="0" w:type="auto"/>
            <w:gridSpan w:val="3"/>
            <w:shd w:val="clear" w:color="auto" w:fill="auto"/>
            <w:tcMar>
              <w:top w:w="0" w:type="dxa"/>
              <w:left w:w="20" w:type="dxa"/>
              <w:bottom w:w="0" w:type="dxa"/>
              <w:right w:w="20" w:type="dxa"/>
            </w:tcMar>
            <w:vAlign w:val="bottom"/>
          </w:tcPr>
          <w:p w14:paraId="27E07CB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B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CB5"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CB6" w14:textId="77777777" w:rsidR="00A85061" w:rsidRDefault="00A85061">
            <w:pPr>
              <w:rPr>
                <w:rFonts w:ascii="宋体"/>
              </w:rPr>
            </w:pPr>
          </w:p>
        </w:tc>
        <w:tc>
          <w:tcPr>
            <w:tcW w:w="0" w:type="auto"/>
            <w:gridSpan w:val="3"/>
            <w:shd w:val="clear" w:color="auto" w:fill="auto"/>
            <w:vAlign w:val="bottom"/>
          </w:tcPr>
          <w:p w14:paraId="27E07CB7" w14:textId="77777777" w:rsidR="00A85061" w:rsidRDefault="00A85061">
            <w:pPr>
              <w:rPr>
                <w:rFonts w:ascii="宋体"/>
                <w:vanish/>
              </w:rPr>
            </w:pPr>
          </w:p>
        </w:tc>
        <w:tc>
          <w:tcPr>
            <w:tcW w:w="0" w:type="auto"/>
            <w:gridSpan w:val="3"/>
            <w:shd w:val="clear" w:color="auto" w:fill="auto"/>
            <w:vAlign w:val="bottom"/>
          </w:tcPr>
          <w:p w14:paraId="27E07CB8" w14:textId="77777777" w:rsidR="00A85061" w:rsidRDefault="00A85061">
            <w:pPr>
              <w:rPr>
                <w:rFonts w:ascii="宋体"/>
                <w:vanish/>
              </w:rPr>
            </w:pPr>
          </w:p>
        </w:tc>
        <w:tc>
          <w:tcPr>
            <w:tcW w:w="0" w:type="auto"/>
            <w:gridSpan w:val="3"/>
            <w:shd w:val="clear" w:color="auto" w:fill="auto"/>
            <w:vAlign w:val="bottom"/>
          </w:tcPr>
          <w:p w14:paraId="27E07CB9" w14:textId="77777777" w:rsidR="00A85061" w:rsidRDefault="00A85061">
            <w:pPr>
              <w:rPr>
                <w:rFonts w:ascii="宋体"/>
                <w:vanish/>
              </w:rPr>
            </w:pPr>
          </w:p>
        </w:tc>
        <w:tc>
          <w:tcPr>
            <w:tcW w:w="0" w:type="auto"/>
            <w:gridSpan w:val="3"/>
            <w:shd w:val="clear" w:color="auto" w:fill="auto"/>
            <w:vAlign w:val="bottom"/>
          </w:tcPr>
          <w:p w14:paraId="27E07CBA" w14:textId="77777777" w:rsidR="00A85061" w:rsidRDefault="00A85061">
            <w:pPr>
              <w:rPr>
                <w:rFonts w:ascii="宋体"/>
                <w:vanish/>
              </w:rPr>
            </w:pPr>
          </w:p>
        </w:tc>
      </w:tr>
      <w:tr w:rsidR="00A85061" w14:paraId="27E07CCA" w14:textId="77777777">
        <w:tc>
          <w:tcPr>
            <w:tcW w:w="0" w:type="auto"/>
            <w:gridSpan w:val="3"/>
            <w:shd w:val="clear" w:color="auto" w:fill="auto"/>
            <w:tcMar>
              <w:top w:w="40" w:type="dxa"/>
              <w:left w:w="20" w:type="dxa"/>
              <w:bottom w:w="40" w:type="dxa"/>
              <w:right w:w="20" w:type="dxa"/>
            </w:tcMar>
            <w:vAlign w:val="bottom"/>
          </w:tcPr>
          <w:p w14:paraId="27E07CBC"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7CBD" w14:textId="77777777" w:rsidR="00A85061" w:rsidRDefault="00F04891">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27E07CBE" w14:textId="77777777" w:rsidR="00A85061" w:rsidRDefault="00A85061">
            <w:pPr>
              <w:rPr>
                <w:rFonts w:ascii="宋体"/>
              </w:rPr>
            </w:pPr>
          </w:p>
        </w:tc>
        <w:tc>
          <w:tcPr>
            <w:tcW w:w="0" w:type="auto"/>
            <w:shd w:val="clear" w:color="auto" w:fill="auto"/>
            <w:vAlign w:val="bottom"/>
          </w:tcPr>
          <w:p w14:paraId="27E07CBF" w14:textId="77777777" w:rsidR="00A85061" w:rsidRDefault="00A85061">
            <w:pPr>
              <w:rPr>
                <w:rFonts w:ascii="宋体"/>
              </w:rPr>
            </w:pPr>
          </w:p>
        </w:tc>
        <w:tc>
          <w:tcPr>
            <w:tcW w:w="0" w:type="auto"/>
            <w:shd w:val="clear" w:color="auto" w:fill="auto"/>
            <w:vAlign w:val="bottom"/>
          </w:tcPr>
          <w:p w14:paraId="27E07CC0" w14:textId="77777777" w:rsidR="00A85061" w:rsidRDefault="00A85061">
            <w:pPr>
              <w:rPr>
                <w:rFonts w:ascii="宋体"/>
              </w:rPr>
            </w:pPr>
          </w:p>
        </w:tc>
        <w:tc>
          <w:tcPr>
            <w:tcW w:w="0" w:type="auto"/>
            <w:shd w:val="clear" w:color="auto" w:fill="auto"/>
            <w:vAlign w:val="bottom"/>
          </w:tcPr>
          <w:p w14:paraId="27E07CC1" w14:textId="77777777" w:rsidR="00A85061" w:rsidRDefault="00A85061">
            <w:pPr>
              <w:rPr>
                <w:rFonts w:ascii="宋体"/>
              </w:rPr>
            </w:pPr>
          </w:p>
        </w:tc>
        <w:tc>
          <w:tcPr>
            <w:tcW w:w="0" w:type="auto"/>
            <w:shd w:val="clear" w:color="auto" w:fill="auto"/>
            <w:vAlign w:val="bottom"/>
          </w:tcPr>
          <w:p w14:paraId="27E07CC2" w14:textId="77777777" w:rsidR="00A85061" w:rsidRDefault="00A85061">
            <w:pPr>
              <w:rPr>
                <w:rFonts w:ascii="宋体"/>
              </w:rPr>
            </w:pPr>
          </w:p>
        </w:tc>
        <w:tc>
          <w:tcPr>
            <w:tcW w:w="0" w:type="auto"/>
            <w:shd w:val="clear" w:color="auto" w:fill="auto"/>
            <w:vAlign w:val="bottom"/>
          </w:tcPr>
          <w:p w14:paraId="27E07CC3" w14:textId="77777777" w:rsidR="00A85061" w:rsidRDefault="00A85061">
            <w:pPr>
              <w:rPr>
                <w:rFonts w:ascii="宋体"/>
              </w:rPr>
            </w:pPr>
          </w:p>
        </w:tc>
        <w:tc>
          <w:tcPr>
            <w:tcW w:w="0" w:type="auto"/>
            <w:shd w:val="clear" w:color="auto" w:fill="auto"/>
            <w:vAlign w:val="bottom"/>
          </w:tcPr>
          <w:p w14:paraId="27E07CC4" w14:textId="77777777" w:rsidR="00A85061" w:rsidRDefault="00A85061">
            <w:pPr>
              <w:rPr>
                <w:rFonts w:ascii="宋体"/>
              </w:rPr>
            </w:pPr>
          </w:p>
        </w:tc>
        <w:tc>
          <w:tcPr>
            <w:tcW w:w="0" w:type="auto"/>
            <w:shd w:val="clear" w:color="auto" w:fill="auto"/>
            <w:vAlign w:val="bottom"/>
          </w:tcPr>
          <w:p w14:paraId="27E07CC5" w14:textId="77777777" w:rsidR="00A85061" w:rsidRDefault="00A85061">
            <w:pPr>
              <w:rPr>
                <w:rFonts w:ascii="宋体"/>
              </w:rPr>
            </w:pPr>
          </w:p>
        </w:tc>
        <w:tc>
          <w:tcPr>
            <w:tcW w:w="0" w:type="auto"/>
            <w:shd w:val="clear" w:color="auto" w:fill="auto"/>
            <w:vAlign w:val="bottom"/>
          </w:tcPr>
          <w:p w14:paraId="27E07CC6" w14:textId="77777777" w:rsidR="00A85061" w:rsidRDefault="00A85061">
            <w:pPr>
              <w:rPr>
                <w:rFonts w:ascii="宋体"/>
              </w:rPr>
            </w:pPr>
          </w:p>
        </w:tc>
        <w:tc>
          <w:tcPr>
            <w:tcW w:w="0" w:type="auto"/>
            <w:shd w:val="clear" w:color="auto" w:fill="auto"/>
            <w:vAlign w:val="bottom"/>
          </w:tcPr>
          <w:p w14:paraId="27E07CC7" w14:textId="77777777" w:rsidR="00A85061" w:rsidRDefault="00A85061">
            <w:pPr>
              <w:rPr>
                <w:rFonts w:ascii="宋体"/>
              </w:rPr>
            </w:pPr>
          </w:p>
        </w:tc>
        <w:tc>
          <w:tcPr>
            <w:tcW w:w="0" w:type="auto"/>
            <w:shd w:val="clear" w:color="auto" w:fill="auto"/>
            <w:vAlign w:val="bottom"/>
          </w:tcPr>
          <w:p w14:paraId="27E07CC8" w14:textId="77777777" w:rsidR="00A85061" w:rsidRDefault="00A85061">
            <w:pPr>
              <w:rPr>
                <w:rFonts w:ascii="宋体"/>
              </w:rPr>
            </w:pPr>
          </w:p>
        </w:tc>
        <w:tc>
          <w:tcPr>
            <w:tcW w:w="0" w:type="auto"/>
            <w:shd w:val="clear" w:color="auto" w:fill="auto"/>
            <w:vAlign w:val="bottom"/>
          </w:tcPr>
          <w:p w14:paraId="27E07CC9" w14:textId="77777777" w:rsidR="00A85061" w:rsidRDefault="00A85061">
            <w:pPr>
              <w:rPr>
                <w:rFonts w:ascii="宋体"/>
              </w:rPr>
            </w:pPr>
          </w:p>
        </w:tc>
      </w:tr>
      <w:tr w:rsidR="00A85061" w14:paraId="27E07CD3" w14:textId="77777777">
        <w:tc>
          <w:tcPr>
            <w:tcW w:w="0" w:type="auto"/>
            <w:gridSpan w:val="3"/>
            <w:shd w:val="clear" w:color="auto" w:fill="E2EFD9"/>
            <w:tcMar>
              <w:top w:w="40" w:type="dxa"/>
              <w:left w:w="20" w:type="dxa"/>
              <w:bottom w:w="40" w:type="dxa"/>
              <w:right w:w="20" w:type="dxa"/>
            </w:tcMar>
            <w:vAlign w:val="bottom"/>
          </w:tcPr>
          <w:p w14:paraId="27E07CCB" w14:textId="77777777" w:rsidR="00A85061" w:rsidRDefault="00F04891">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27E07CCC"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7CCD"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7CCE"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27E07CCF" w14:textId="77777777" w:rsidR="00A85061" w:rsidRDefault="00A85061">
            <w:pPr>
              <w:rPr>
                <w:rFonts w:ascii="宋体"/>
                <w:vanish/>
              </w:rPr>
            </w:pPr>
          </w:p>
        </w:tc>
        <w:tc>
          <w:tcPr>
            <w:tcW w:w="0" w:type="auto"/>
            <w:gridSpan w:val="3"/>
            <w:shd w:val="clear" w:color="auto" w:fill="auto"/>
            <w:vAlign w:val="bottom"/>
          </w:tcPr>
          <w:p w14:paraId="27E07CD0" w14:textId="77777777" w:rsidR="00A85061" w:rsidRDefault="00A85061">
            <w:pPr>
              <w:rPr>
                <w:rFonts w:ascii="宋体"/>
                <w:vanish/>
              </w:rPr>
            </w:pPr>
          </w:p>
        </w:tc>
        <w:tc>
          <w:tcPr>
            <w:tcW w:w="0" w:type="auto"/>
            <w:gridSpan w:val="3"/>
            <w:shd w:val="clear" w:color="auto" w:fill="auto"/>
            <w:vAlign w:val="bottom"/>
          </w:tcPr>
          <w:p w14:paraId="27E07CD1" w14:textId="77777777" w:rsidR="00A85061" w:rsidRDefault="00A85061">
            <w:pPr>
              <w:rPr>
                <w:rFonts w:ascii="宋体"/>
                <w:vanish/>
              </w:rPr>
            </w:pPr>
          </w:p>
        </w:tc>
        <w:tc>
          <w:tcPr>
            <w:tcW w:w="0" w:type="auto"/>
            <w:gridSpan w:val="3"/>
            <w:shd w:val="clear" w:color="auto" w:fill="auto"/>
            <w:vAlign w:val="bottom"/>
          </w:tcPr>
          <w:p w14:paraId="27E07CD2" w14:textId="77777777" w:rsidR="00A85061" w:rsidRDefault="00A85061">
            <w:pPr>
              <w:rPr>
                <w:rFonts w:ascii="宋体"/>
                <w:vanish/>
              </w:rPr>
            </w:pPr>
          </w:p>
        </w:tc>
      </w:tr>
      <w:tr w:rsidR="00A85061" w14:paraId="27E07CE0" w14:textId="77777777">
        <w:tc>
          <w:tcPr>
            <w:tcW w:w="0" w:type="auto"/>
            <w:gridSpan w:val="3"/>
            <w:shd w:val="clear" w:color="auto" w:fill="FFFFFF"/>
            <w:tcMar>
              <w:top w:w="40" w:type="dxa"/>
              <w:left w:w="20" w:type="dxa"/>
              <w:bottom w:w="40" w:type="dxa"/>
              <w:right w:w="20" w:type="dxa"/>
            </w:tcMar>
            <w:vAlign w:val="bottom"/>
          </w:tcPr>
          <w:p w14:paraId="27E07CD4" w14:textId="77777777" w:rsidR="00A85061" w:rsidRDefault="00F04891">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27E07CD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CD6" w14:textId="77777777" w:rsidR="00A85061" w:rsidRDefault="00F04891">
            <w:pPr>
              <w:jc w:val="right"/>
              <w:textAlignment w:val="bottom"/>
            </w:pPr>
            <w:r>
              <w:rPr>
                <w:rFonts w:ascii="sans-serif" w:eastAsia="sans-serif" w:hAnsi="sans-serif" w:cs="sans-serif"/>
                <w:color w:val="000000"/>
                <w:sz w:val="20"/>
                <w:szCs w:val="20"/>
              </w:rPr>
              <w:t>1,912 </w:t>
            </w:r>
          </w:p>
        </w:tc>
        <w:tc>
          <w:tcPr>
            <w:tcW w:w="0" w:type="auto"/>
            <w:shd w:val="clear" w:color="auto" w:fill="FFFFFF"/>
            <w:tcMar>
              <w:top w:w="40" w:type="dxa"/>
              <w:left w:w="0" w:type="dxa"/>
              <w:bottom w:w="40" w:type="dxa"/>
              <w:right w:w="20" w:type="dxa"/>
            </w:tcMar>
            <w:vAlign w:val="bottom"/>
          </w:tcPr>
          <w:p w14:paraId="27E07CD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CD8"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CD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CDA" w14:textId="77777777" w:rsidR="00A85061" w:rsidRDefault="00F04891">
            <w:pPr>
              <w:jc w:val="right"/>
              <w:textAlignment w:val="bottom"/>
            </w:pPr>
            <w:r>
              <w:rPr>
                <w:rFonts w:ascii="sans-serif" w:eastAsia="sans-serif" w:hAnsi="sans-serif" w:cs="sans-serif"/>
                <w:color w:val="000000"/>
                <w:sz w:val="20"/>
                <w:szCs w:val="20"/>
              </w:rPr>
              <w:t>917 </w:t>
            </w:r>
          </w:p>
        </w:tc>
        <w:tc>
          <w:tcPr>
            <w:tcW w:w="0" w:type="auto"/>
            <w:shd w:val="clear" w:color="auto" w:fill="FFFFFF"/>
            <w:tcMar>
              <w:top w:w="40" w:type="dxa"/>
              <w:left w:w="0" w:type="dxa"/>
              <w:bottom w:w="40" w:type="dxa"/>
              <w:right w:w="20" w:type="dxa"/>
            </w:tcMar>
            <w:vAlign w:val="bottom"/>
          </w:tcPr>
          <w:p w14:paraId="27E07CDB" w14:textId="77777777" w:rsidR="00A85061" w:rsidRDefault="00A85061">
            <w:pPr>
              <w:jc w:val="right"/>
              <w:rPr>
                <w:rFonts w:ascii="宋体"/>
              </w:rPr>
            </w:pPr>
          </w:p>
        </w:tc>
        <w:tc>
          <w:tcPr>
            <w:tcW w:w="0" w:type="auto"/>
            <w:gridSpan w:val="3"/>
            <w:shd w:val="clear" w:color="auto" w:fill="auto"/>
            <w:vAlign w:val="bottom"/>
          </w:tcPr>
          <w:p w14:paraId="27E07CDC" w14:textId="77777777" w:rsidR="00A85061" w:rsidRDefault="00A85061">
            <w:pPr>
              <w:rPr>
                <w:rFonts w:ascii="宋体"/>
                <w:vanish/>
              </w:rPr>
            </w:pPr>
          </w:p>
        </w:tc>
        <w:tc>
          <w:tcPr>
            <w:tcW w:w="0" w:type="auto"/>
            <w:gridSpan w:val="3"/>
            <w:shd w:val="clear" w:color="auto" w:fill="auto"/>
            <w:vAlign w:val="bottom"/>
          </w:tcPr>
          <w:p w14:paraId="27E07CDD" w14:textId="77777777" w:rsidR="00A85061" w:rsidRDefault="00A85061">
            <w:pPr>
              <w:rPr>
                <w:rFonts w:ascii="宋体"/>
                <w:vanish/>
              </w:rPr>
            </w:pPr>
          </w:p>
        </w:tc>
        <w:tc>
          <w:tcPr>
            <w:tcW w:w="0" w:type="auto"/>
            <w:gridSpan w:val="3"/>
            <w:shd w:val="clear" w:color="auto" w:fill="auto"/>
            <w:vAlign w:val="bottom"/>
          </w:tcPr>
          <w:p w14:paraId="27E07CDE" w14:textId="77777777" w:rsidR="00A85061" w:rsidRDefault="00A85061">
            <w:pPr>
              <w:rPr>
                <w:rFonts w:ascii="宋体"/>
                <w:vanish/>
              </w:rPr>
            </w:pPr>
          </w:p>
        </w:tc>
        <w:tc>
          <w:tcPr>
            <w:tcW w:w="0" w:type="auto"/>
            <w:gridSpan w:val="3"/>
            <w:shd w:val="clear" w:color="auto" w:fill="auto"/>
            <w:vAlign w:val="bottom"/>
          </w:tcPr>
          <w:p w14:paraId="27E07CDF" w14:textId="77777777" w:rsidR="00A85061" w:rsidRDefault="00A85061">
            <w:pPr>
              <w:rPr>
                <w:rFonts w:ascii="宋体"/>
                <w:vanish/>
              </w:rPr>
            </w:pPr>
          </w:p>
        </w:tc>
      </w:tr>
      <w:tr w:rsidR="00A85061" w14:paraId="27E07CE9" w14:textId="77777777">
        <w:tc>
          <w:tcPr>
            <w:tcW w:w="0" w:type="auto"/>
            <w:gridSpan w:val="3"/>
            <w:shd w:val="clear" w:color="auto" w:fill="E2EFD9"/>
            <w:tcMar>
              <w:top w:w="40" w:type="dxa"/>
              <w:left w:w="20" w:type="dxa"/>
              <w:bottom w:w="40" w:type="dxa"/>
              <w:right w:w="20" w:type="dxa"/>
            </w:tcMar>
            <w:vAlign w:val="bottom"/>
          </w:tcPr>
          <w:p w14:paraId="27E07CE1" w14:textId="77777777" w:rsidR="00A85061" w:rsidRDefault="00F04891">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7CE2"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CE3"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7CE4" w14:textId="77777777" w:rsidR="00A85061" w:rsidRDefault="00A85061">
            <w:pPr>
              <w:rPr>
                <w:rFonts w:ascii="宋体"/>
              </w:rPr>
            </w:pPr>
          </w:p>
        </w:tc>
        <w:tc>
          <w:tcPr>
            <w:tcW w:w="0" w:type="auto"/>
            <w:gridSpan w:val="3"/>
            <w:shd w:val="clear" w:color="auto" w:fill="auto"/>
            <w:vAlign w:val="bottom"/>
          </w:tcPr>
          <w:p w14:paraId="27E07CE5" w14:textId="77777777" w:rsidR="00A85061" w:rsidRDefault="00A85061">
            <w:pPr>
              <w:rPr>
                <w:rFonts w:ascii="宋体"/>
                <w:vanish/>
              </w:rPr>
            </w:pPr>
          </w:p>
        </w:tc>
        <w:tc>
          <w:tcPr>
            <w:tcW w:w="0" w:type="auto"/>
            <w:gridSpan w:val="3"/>
            <w:shd w:val="clear" w:color="auto" w:fill="auto"/>
            <w:vAlign w:val="bottom"/>
          </w:tcPr>
          <w:p w14:paraId="27E07CE6" w14:textId="77777777" w:rsidR="00A85061" w:rsidRDefault="00A85061">
            <w:pPr>
              <w:rPr>
                <w:rFonts w:ascii="宋体"/>
                <w:vanish/>
              </w:rPr>
            </w:pPr>
          </w:p>
        </w:tc>
        <w:tc>
          <w:tcPr>
            <w:tcW w:w="0" w:type="auto"/>
            <w:gridSpan w:val="3"/>
            <w:shd w:val="clear" w:color="auto" w:fill="auto"/>
            <w:vAlign w:val="bottom"/>
          </w:tcPr>
          <w:p w14:paraId="27E07CE7" w14:textId="77777777" w:rsidR="00A85061" w:rsidRDefault="00A85061">
            <w:pPr>
              <w:rPr>
                <w:rFonts w:ascii="宋体"/>
                <w:vanish/>
              </w:rPr>
            </w:pPr>
          </w:p>
        </w:tc>
        <w:tc>
          <w:tcPr>
            <w:tcW w:w="0" w:type="auto"/>
            <w:gridSpan w:val="3"/>
            <w:shd w:val="clear" w:color="auto" w:fill="auto"/>
            <w:vAlign w:val="bottom"/>
          </w:tcPr>
          <w:p w14:paraId="27E07CE8" w14:textId="77777777" w:rsidR="00A85061" w:rsidRDefault="00A85061">
            <w:pPr>
              <w:rPr>
                <w:rFonts w:ascii="宋体"/>
                <w:vanish/>
              </w:rPr>
            </w:pPr>
          </w:p>
        </w:tc>
      </w:tr>
      <w:tr w:rsidR="00A85061" w14:paraId="27E07CF4" w14:textId="77777777">
        <w:tc>
          <w:tcPr>
            <w:tcW w:w="0" w:type="auto"/>
            <w:gridSpan w:val="3"/>
            <w:shd w:val="clear" w:color="auto" w:fill="FFFFFF"/>
            <w:tcMar>
              <w:top w:w="40" w:type="dxa"/>
              <w:left w:w="20" w:type="dxa"/>
              <w:bottom w:w="40" w:type="dxa"/>
              <w:right w:w="20" w:type="dxa"/>
            </w:tcMar>
            <w:vAlign w:val="bottom"/>
          </w:tcPr>
          <w:p w14:paraId="27E07CEA" w14:textId="77777777" w:rsidR="00A85061" w:rsidRDefault="00F04891">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27E07CEB" w14:textId="77777777" w:rsidR="00A85061" w:rsidRDefault="00F04891">
            <w:pPr>
              <w:jc w:val="right"/>
              <w:textAlignment w:val="bottom"/>
            </w:pPr>
            <w:r>
              <w:rPr>
                <w:rFonts w:ascii="sans-serif" w:eastAsia="sans-serif" w:hAnsi="sans-serif" w:cs="sans-serif"/>
                <w:color w:val="000000"/>
                <w:sz w:val="20"/>
                <w:szCs w:val="20"/>
              </w:rPr>
              <w:t>621 </w:t>
            </w:r>
          </w:p>
        </w:tc>
        <w:tc>
          <w:tcPr>
            <w:tcW w:w="0" w:type="auto"/>
            <w:shd w:val="clear" w:color="auto" w:fill="FFFFFF"/>
            <w:tcMar>
              <w:top w:w="40" w:type="dxa"/>
              <w:left w:w="0" w:type="dxa"/>
              <w:bottom w:w="40" w:type="dxa"/>
              <w:right w:w="20" w:type="dxa"/>
            </w:tcMar>
            <w:vAlign w:val="bottom"/>
          </w:tcPr>
          <w:p w14:paraId="27E07CE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CE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CEE" w14:textId="77777777" w:rsidR="00A85061" w:rsidRDefault="00F04891">
            <w:pPr>
              <w:jc w:val="right"/>
              <w:textAlignment w:val="bottom"/>
            </w:pPr>
            <w:r>
              <w:rPr>
                <w:rFonts w:ascii="sans-serif" w:eastAsia="sans-serif" w:hAnsi="sans-serif" w:cs="sans-serif"/>
                <w:color w:val="000000"/>
                <w:sz w:val="20"/>
                <w:szCs w:val="20"/>
              </w:rPr>
              <w:t>614 </w:t>
            </w:r>
          </w:p>
        </w:tc>
        <w:tc>
          <w:tcPr>
            <w:tcW w:w="0" w:type="auto"/>
            <w:shd w:val="clear" w:color="auto" w:fill="FFFFFF"/>
            <w:tcMar>
              <w:top w:w="40" w:type="dxa"/>
              <w:left w:w="0" w:type="dxa"/>
              <w:bottom w:w="40" w:type="dxa"/>
              <w:right w:w="20" w:type="dxa"/>
            </w:tcMar>
            <w:vAlign w:val="bottom"/>
          </w:tcPr>
          <w:p w14:paraId="27E07CEF" w14:textId="77777777" w:rsidR="00A85061" w:rsidRDefault="00A85061">
            <w:pPr>
              <w:jc w:val="right"/>
              <w:rPr>
                <w:rFonts w:ascii="宋体"/>
              </w:rPr>
            </w:pPr>
          </w:p>
        </w:tc>
        <w:tc>
          <w:tcPr>
            <w:tcW w:w="0" w:type="auto"/>
            <w:gridSpan w:val="3"/>
            <w:shd w:val="clear" w:color="auto" w:fill="auto"/>
            <w:vAlign w:val="bottom"/>
          </w:tcPr>
          <w:p w14:paraId="27E07CF0" w14:textId="77777777" w:rsidR="00A85061" w:rsidRDefault="00A85061">
            <w:pPr>
              <w:rPr>
                <w:rFonts w:ascii="宋体"/>
                <w:vanish/>
              </w:rPr>
            </w:pPr>
          </w:p>
        </w:tc>
        <w:tc>
          <w:tcPr>
            <w:tcW w:w="0" w:type="auto"/>
            <w:gridSpan w:val="3"/>
            <w:shd w:val="clear" w:color="auto" w:fill="auto"/>
            <w:vAlign w:val="bottom"/>
          </w:tcPr>
          <w:p w14:paraId="27E07CF1" w14:textId="77777777" w:rsidR="00A85061" w:rsidRDefault="00A85061">
            <w:pPr>
              <w:rPr>
                <w:rFonts w:ascii="宋体"/>
                <w:vanish/>
              </w:rPr>
            </w:pPr>
          </w:p>
        </w:tc>
        <w:tc>
          <w:tcPr>
            <w:tcW w:w="0" w:type="auto"/>
            <w:gridSpan w:val="3"/>
            <w:shd w:val="clear" w:color="auto" w:fill="auto"/>
            <w:vAlign w:val="bottom"/>
          </w:tcPr>
          <w:p w14:paraId="27E07CF2" w14:textId="77777777" w:rsidR="00A85061" w:rsidRDefault="00A85061">
            <w:pPr>
              <w:rPr>
                <w:rFonts w:ascii="宋体"/>
                <w:vanish/>
              </w:rPr>
            </w:pPr>
          </w:p>
        </w:tc>
        <w:tc>
          <w:tcPr>
            <w:tcW w:w="0" w:type="auto"/>
            <w:gridSpan w:val="3"/>
            <w:shd w:val="clear" w:color="auto" w:fill="auto"/>
            <w:vAlign w:val="bottom"/>
          </w:tcPr>
          <w:p w14:paraId="27E07CF3" w14:textId="77777777" w:rsidR="00A85061" w:rsidRDefault="00A85061">
            <w:pPr>
              <w:rPr>
                <w:rFonts w:ascii="宋体"/>
                <w:vanish/>
              </w:rPr>
            </w:pPr>
          </w:p>
        </w:tc>
      </w:tr>
      <w:tr w:rsidR="00A85061" w14:paraId="27E07CFF" w14:textId="77777777">
        <w:tc>
          <w:tcPr>
            <w:tcW w:w="0" w:type="auto"/>
            <w:gridSpan w:val="3"/>
            <w:shd w:val="clear" w:color="auto" w:fill="E2EFD9"/>
            <w:tcMar>
              <w:top w:w="40" w:type="dxa"/>
              <w:left w:w="20" w:type="dxa"/>
              <w:bottom w:w="40" w:type="dxa"/>
              <w:right w:w="20" w:type="dxa"/>
            </w:tcMar>
            <w:vAlign w:val="bottom"/>
          </w:tcPr>
          <w:p w14:paraId="27E07CF5" w14:textId="77777777" w:rsidR="00A85061" w:rsidRDefault="00F04891">
            <w:pPr>
              <w:ind w:firstLine="180"/>
              <w:textAlignment w:val="bottom"/>
            </w:pPr>
            <w:r>
              <w:rPr>
                <w:rFonts w:ascii="sans-serif" w:eastAsia="sans-serif" w:hAnsi="sans-serif" w:cs="sans-serif"/>
                <w:color w:val="000000"/>
                <w:sz w:val="20"/>
                <w:szCs w:val="20"/>
              </w:rPr>
              <w:t>Dilutive impact of outstanding equity awards</w:t>
            </w:r>
          </w:p>
        </w:tc>
        <w:tc>
          <w:tcPr>
            <w:tcW w:w="0" w:type="auto"/>
            <w:gridSpan w:val="2"/>
            <w:shd w:val="clear" w:color="auto" w:fill="E2EFD9"/>
            <w:tcMar>
              <w:top w:w="40" w:type="dxa"/>
              <w:left w:w="20" w:type="dxa"/>
              <w:bottom w:w="40" w:type="dxa"/>
              <w:right w:w="0" w:type="dxa"/>
            </w:tcMar>
            <w:vAlign w:val="bottom"/>
          </w:tcPr>
          <w:p w14:paraId="27E07CF6" w14:textId="77777777" w:rsidR="00A85061" w:rsidRDefault="00F04891">
            <w:pPr>
              <w:jc w:val="right"/>
              <w:textAlignment w:val="bottom"/>
            </w:pPr>
            <w:r>
              <w:rPr>
                <w:rFonts w:ascii="sans-serif" w:eastAsia="sans-serif" w:hAnsi="sans-serif" w:cs="sans-serif"/>
                <w:color w:val="000000"/>
                <w:sz w:val="20"/>
                <w:szCs w:val="20"/>
              </w:rPr>
              <w:t>11 </w:t>
            </w:r>
          </w:p>
        </w:tc>
        <w:tc>
          <w:tcPr>
            <w:tcW w:w="0" w:type="auto"/>
            <w:shd w:val="clear" w:color="auto" w:fill="E2EFD9"/>
            <w:tcMar>
              <w:top w:w="40" w:type="dxa"/>
              <w:left w:w="0" w:type="dxa"/>
              <w:bottom w:w="40" w:type="dxa"/>
              <w:right w:w="20" w:type="dxa"/>
            </w:tcMar>
            <w:vAlign w:val="bottom"/>
          </w:tcPr>
          <w:p w14:paraId="27E07CF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CF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CF9" w14:textId="77777777" w:rsidR="00A85061" w:rsidRDefault="00F04891">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27E07CFA" w14:textId="77777777" w:rsidR="00A85061" w:rsidRDefault="00A85061">
            <w:pPr>
              <w:jc w:val="right"/>
              <w:rPr>
                <w:rFonts w:ascii="宋体"/>
              </w:rPr>
            </w:pPr>
          </w:p>
        </w:tc>
        <w:tc>
          <w:tcPr>
            <w:tcW w:w="0" w:type="auto"/>
            <w:gridSpan w:val="3"/>
            <w:shd w:val="clear" w:color="auto" w:fill="auto"/>
            <w:vAlign w:val="bottom"/>
          </w:tcPr>
          <w:p w14:paraId="27E07CFB" w14:textId="77777777" w:rsidR="00A85061" w:rsidRDefault="00A85061">
            <w:pPr>
              <w:rPr>
                <w:rFonts w:ascii="宋体"/>
                <w:vanish/>
              </w:rPr>
            </w:pPr>
          </w:p>
        </w:tc>
        <w:tc>
          <w:tcPr>
            <w:tcW w:w="0" w:type="auto"/>
            <w:gridSpan w:val="3"/>
            <w:shd w:val="clear" w:color="auto" w:fill="auto"/>
            <w:vAlign w:val="bottom"/>
          </w:tcPr>
          <w:p w14:paraId="27E07CFC" w14:textId="77777777" w:rsidR="00A85061" w:rsidRDefault="00A85061">
            <w:pPr>
              <w:rPr>
                <w:rFonts w:ascii="宋体"/>
                <w:vanish/>
              </w:rPr>
            </w:pPr>
          </w:p>
        </w:tc>
        <w:tc>
          <w:tcPr>
            <w:tcW w:w="0" w:type="auto"/>
            <w:gridSpan w:val="3"/>
            <w:shd w:val="clear" w:color="auto" w:fill="auto"/>
            <w:vAlign w:val="bottom"/>
          </w:tcPr>
          <w:p w14:paraId="27E07CFD" w14:textId="77777777" w:rsidR="00A85061" w:rsidRDefault="00A85061">
            <w:pPr>
              <w:rPr>
                <w:rFonts w:ascii="宋体"/>
                <w:vanish/>
              </w:rPr>
            </w:pPr>
          </w:p>
        </w:tc>
        <w:tc>
          <w:tcPr>
            <w:tcW w:w="0" w:type="auto"/>
            <w:gridSpan w:val="3"/>
            <w:shd w:val="clear" w:color="auto" w:fill="auto"/>
            <w:vAlign w:val="bottom"/>
          </w:tcPr>
          <w:p w14:paraId="27E07CFE" w14:textId="77777777" w:rsidR="00A85061" w:rsidRDefault="00A85061">
            <w:pPr>
              <w:rPr>
                <w:rFonts w:ascii="宋体"/>
                <w:vanish/>
              </w:rPr>
            </w:pPr>
          </w:p>
        </w:tc>
      </w:tr>
      <w:tr w:rsidR="00A85061" w14:paraId="27E07D08" w14:textId="77777777">
        <w:trPr>
          <w:hidden/>
        </w:trPr>
        <w:tc>
          <w:tcPr>
            <w:tcW w:w="0" w:type="auto"/>
            <w:gridSpan w:val="3"/>
            <w:shd w:val="clear" w:color="auto" w:fill="auto"/>
            <w:vAlign w:val="bottom"/>
          </w:tcPr>
          <w:p w14:paraId="27E07D00" w14:textId="77777777" w:rsidR="00A85061" w:rsidRDefault="00A85061">
            <w:pPr>
              <w:rPr>
                <w:rFonts w:ascii="宋体"/>
                <w:vanish/>
              </w:rPr>
            </w:pPr>
          </w:p>
        </w:tc>
        <w:tc>
          <w:tcPr>
            <w:tcW w:w="0" w:type="auto"/>
            <w:gridSpan w:val="3"/>
            <w:shd w:val="clear" w:color="auto" w:fill="auto"/>
            <w:vAlign w:val="bottom"/>
          </w:tcPr>
          <w:p w14:paraId="27E07D01" w14:textId="77777777" w:rsidR="00A85061" w:rsidRDefault="00A85061">
            <w:pPr>
              <w:rPr>
                <w:rFonts w:ascii="宋体"/>
                <w:vanish/>
              </w:rPr>
            </w:pPr>
          </w:p>
        </w:tc>
        <w:tc>
          <w:tcPr>
            <w:tcW w:w="0" w:type="auto"/>
            <w:gridSpan w:val="3"/>
            <w:shd w:val="clear" w:color="auto" w:fill="auto"/>
            <w:vAlign w:val="bottom"/>
          </w:tcPr>
          <w:p w14:paraId="27E07D02" w14:textId="77777777" w:rsidR="00A85061" w:rsidRDefault="00A85061">
            <w:pPr>
              <w:rPr>
                <w:rFonts w:ascii="宋体"/>
                <w:vanish/>
              </w:rPr>
            </w:pPr>
          </w:p>
        </w:tc>
        <w:tc>
          <w:tcPr>
            <w:tcW w:w="0" w:type="auto"/>
            <w:gridSpan w:val="3"/>
            <w:shd w:val="clear" w:color="auto" w:fill="auto"/>
            <w:vAlign w:val="bottom"/>
          </w:tcPr>
          <w:p w14:paraId="27E07D03" w14:textId="77777777" w:rsidR="00A85061" w:rsidRDefault="00A85061">
            <w:pPr>
              <w:rPr>
                <w:rFonts w:ascii="宋体"/>
                <w:vanish/>
              </w:rPr>
            </w:pPr>
          </w:p>
        </w:tc>
        <w:tc>
          <w:tcPr>
            <w:tcW w:w="0" w:type="auto"/>
            <w:gridSpan w:val="3"/>
            <w:shd w:val="clear" w:color="auto" w:fill="auto"/>
            <w:vAlign w:val="bottom"/>
          </w:tcPr>
          <w:p w14:paraId="27E07D04" w14:textId="77777777" w:rsidR="00A85061" w:rsidRDefault="00A85061">
            <w:pPr>
              <w:rPr>
                <w:rFonts w:ascii="宋体"/>
                <w:vanish/>
              </w:rPr>
            </w:pPr>
          </w:p>
        </w:tc>
        <w:tc>
          <w:tcPr>
            <w:tcW w:w="0" w:type="auto"/>
            <w:gridSpan w:val="3"/>
            <w:shd w:val="clear" w:color="auto" w:fill="auto"/>
            <w:vAlign w:val="bottom"/>
          </w:tcPr>
          <w:p w14:paraId="27E07D05" w14:textId="77777777" w:rsidR="00A85061" w:rsidRDefault="00A85061">
            <w:pPr>
              <w:rPr>
                <w:rFonts w:ascii="宋体"/>
                <w:vanish/>
              </w:rPr>
            </w:pPr>
          </w:p>
        </w:tc>
        <w:tc>
          <w:tcPr>
            <w:tcW w:w="0" w:type="auto"/>
            <w:gridSpan w:val="3"/>
            <w:shd w:val="clear" w:color="auto" w:fill="auto"/>
            <w:vAlign w:val="bottom"/>
          </w:tcPr>
          <w:p w14:paraId="27E07D06" w14:textId="77777777" w:rsidR="00A85061" w:rsidRDefault="00A85061">
            <w:pPr>
              <w:rPr>
                <w:rFonts w:ascii="宋体"/>
                <w:vanish/>
              </w:rPr>
            </w:pPr>
          </w:p>
        </w:tc>
        <w:tc>
          <w:tcPr>
            <w:tcW w:w="0" w:type="auto"/>
            <w:gridSpan w:val="3"/>
            <w:shd w:val="clear" w:color="auto" w:fill="auto"/>
            <w:vAlign w:val="bottom"/>
          </w:tcPr>
          <w:p w14:paraId="27E07D07" w14:textId="77777777" w:rsidR="00A85061" w:rsidRDefault="00A85061">
            <w:pPr>
              <w:rPr>
                <w:rFonts w:ascii="宋体"/>
                <w:vanish/>
              </w:rPr>
            </w:pPr>
          </w:p>
        </w:tc>
      </w:tr>
      <w:tr w:rsidR="00A85061" w14:paraId="27E07D11" w14:textId="77777777">
        <w:trPr>
          <w:hidden/>
        </w:trPr>
        <w:tc>
          <w:tcPr>
            <w:tcW w:w="0" w:type="auto"/>
            <w:gridSpan w:val="3"/>
            <w:shd w:val="clear" w:color="auto" w:fill="auto"/>
            <w:vAlign w:val="bottom"/>
          </w:tcPr>
          <w:p w14:paraId="27E07D09" w14:textId="77777777" w:rsidR="00A85061" w:rsidRDefault="00A85061">
            <w:pPr>
              <w:rPr>
                <w:rFonts w:ascii="宋体"/>
                <w:vanish/>
              </w:rPr>
            </w:pPr>
          </w:p>
        </w:tc>
        <w:tc>
          <w:tcPr>
            <w:tcW w:w="0" w:type="auto"/>
            <w:gridSpan w:val="3"/>
            <w:shd w:val="clear" w:color="auto" w:fill="auto"/>
            <w:vAlign w:val="bottom"/>
          </w:tcPr>
          <w:p w14:paraId="27E07D0A" w14:textId="77777777" w:rsidR="00A85061" w:rsidRDefault="00A85061">
            <w:pPr>
              <w:rPr>
                <w:rFonts w:ascii="宋体"/>
                <w:vanish/>
              </w:rPr>
            </w:pPr>
          </w:p>
        </w:tc>
        <w:tc>
          <w:tcPr>
            <w:tcW w:w="0" w:type="auto"/>
            <w:gridSpan w:val="3"/>
            <w:shd w:val="clear" w:color="auto" w:fill="auto"/>
            <w:vAlign w:val="bottom"/>
          </w:tcPr>
          <w:p w14:paraId="27E07D0B" w14:textId="77777777" w:rsidR="00A85061" w:rsidRDefault="00A85061">
            <w:pPr>
              <w:rPr>
                <w:rFonts w:ascii="宋体"/>
                <w:vanish/>
              </w:rPr>
            </w:pPr>
          </w:p>
        </w:tc>
        <w:tc>
          <w:tcPr>
            <w:tcW w:w="0" w:type="auto"/>
            <w:gridSpan w:val="3"/>
            <w:shd w:val="clear" w:color="auto" w:fill="auto"/>
            <w:vAlign w:val="bottom"/>
          </w:tcPr>
          <w:p w14:paraId="27E07D0C" w14:textId="77777777" w:rsidR="00A85061" w:rsidRDefault="00A85061">
            <w:pPr>
              <w:rPr>
                <w:rFonts w:ascii="宋体"/>
                <w:vanish/>
              </w:rPr>
            </w:pPr>
          </w:p>
        </w:tc>
        <w:tc>
          <w:tcPr>
            <w:tcW w:w="0" w:type="auto"/>
            <w:gridSpan w:val="3"/>
            <w:shd w:val="clear" w:color="auto" w:fill="auto"/>
            <w:vAlign w:val="bottom"/>
          </w:tcPr>
          <w:p w14:paraId="27E07D0D" w14:textId="77777777" w:rsidR="00A85061" w:rsidRDefault="00A85061">
            <w:pPr>
              <w:rPr>
                <w:rFonts w:ascii="宋体"/>
                <w:vanish/>
              </w:rPr>
            </w:pPr>
          </w:p>
        </w:tc>
        <w:tc>
          <w:tcPr>
            <w:tcW w:w="0" w:type="auto"/>
            <w:gridSpan w:val="3"/>
            <w:shd w:val="clear" w:color="auto" w:fill="auto"/>
            <w:vAlign w:val="bottom"/>
          </w:tcPr>
          <w:p w14:paraId="27E07D0E" w14:textId="77777777" w:rsidR="00A85061" w:rsidRDefault="00A85061">
            <w:pPr>
              <w:rPr>
                <w:rFonts w:ascii="宋体"/>
                <w:vanish/>
              </w:rPr>
            </w:pPr>
          </w:p>
        </w:tc>
        <w:tc>
          <w:tcPr>
            <w:tcW w:w="0" w:type="auto"/>
            <w:gridSpan w:val="3"/>
            <w:shd w:val="clear" w:color="auto" w:fill="auto"/>
            <w:vAlign w:val="bottom"/>
          </w:tcPr>
          <w:p w14:paraId="27E07D0F" w14:textId="77777777" w:rsidR="00A85061" w:rsidRDefault="00A85061">
            <w:pPr>
              <w:rPr>
                <w:rFonts w:ascii="宋体"/>
                <w:vanish/>
              </w:rPr>
            </w:pPr>
          </w:p>
        </w:tc>
        <w:tc>
          <w:tcPr>
            <w:tcW w:w="0" w:type="auto"/>
            <w:gridSpan w:val="3"/>
            <w:shd w:val="clear" w:color="auto" w:fill="auto"/>
            <w:vAlign w:val="bottom"/>
          </w:tcPr>
          <w:p w14:paraId="27E07D10" w14:textId="77777777" w:rsidR="00A85061" w:rsidRDefault="00A85061">
            <w:pPr>
              <w:rPr>
                <w:rFonts w:ascii="宋体"/>
                <w:vanish/>
              </w:rPr>
            </w:pPr>
          </w:p>
        </w:tc>
      </w:tr>
      <w:tr w:rsidR="00A85061" w14:paraId="27E07D1C" w14:textId="77777777">
        <w:tc>
          <w:tcPr>
            <w:tcW w:w="0" w:type="auto"/>
            <w:gridSpan w:val="3"/>
            <w:shd w:val="clear" w:color="auto" w:fill="FFFFFF"/>
            <w:tcMar>
              <w:top w:w="40" w:type="dxa"/>
              <w:left w:w="20" w:type="dxa"/>
              <w:bottom w:w="40" w:type="dxa"/>
              <w:right w:w="20" w:type="dxa"/>
            </w:tcMar>
            <w:vAlign w:val="bottom"/>
          </w:tcPr>
          <w:p w14:paraId="27E07D12" w14:textId="77777777" w:rsidR="00A85061" w:rsidRDefault="00F04891">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D13" w14:textId="77777777" w:rsidR="00A85061" w:rsidRDefault="00F04891">
            <w:pPr>
              <w:jc w:val="right"/>
              <w:textAlignment w:val="bottom"/>
            </w:pPr>
            <w:r>
              <w:rPr>
                <w:rFonts w:ascii="sans-serif" w:eastAsia="sans-serif" w:hAnsi="sans-serif" w:cs="sans-serif"/>
                <w:color w:val="000000"/>
                <w:sz w:val="20"/>
                <w:szCs w:val="20"/>
              </w:rPr>
              <w:t>632 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D1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15"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7D16" w14:textId="77777777" w:rsidR="00A85061" w:rsidRDefault="00F04891">
            <w:pPr>
              <w:jc w:val="right"/>
              <w:textAlignment w:val="bottom"/>
            </w:pPr>
            <w:r>
              <w:rPr>
                <w:rFonts w:ascii="sans-serif" w:eastAsia="sans-serif" w:hAnsi="sans-serif" w:cs="sans-serif"/>
                <w:color w:val="000000"/>
                <w:sz w:val="20"/>
                <w:szCs w:val="20"/>
              </w:rPr>
              <w:t>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7D17" w14:textId="77777777" w:rsidR="00A85061" w:rsidRDefault="00A85061">
            <w:pPr>
              <w:jc w:val="right"/>
              <w:rPr>
                <w:rFonts w:ascii="宋体"/>
              </w:rPr>
            </w:pPr>
          </w:p>
        </w:tc>
        <w:tc>
          <w:tcPr>
            <w:tcW w:w="0" w:type="auto"/>
            <w:gridSpan w:val="3"/>
            <w:shd w:val="clear" w:color="auto" w:fill="auto"/>
            <w:vAlign w:val="bottom"/>
          </w:tcPr>
          <w:p w14:paraId="27E07D18" w14:textId="77777777" w:rsidR="00A85061" w:rsidRDefault="00A85061">
            <w:pPr>
              <w:rPr>
                <w:rFonts w:ascii="宋体"/>
                <w:vanish/>
              </w:rPr>
            </w:pPr>
          </w:p>
        </w:tc>
        <w:tc>
          <w:tcPr>
            <w:tcW w:w="0" w:type="auto"/>
            <w:gridSpan w:val="3"/>
            <w:shd w:val="clear" w:color="auto" w:fill="auto"/>
            <w:vAlign w:val="bottom"/>
          </w:tcPr>
          <w:p w14:paraId="27E07D19" w14:textId="77777777" w:rsidR="00A85061" w:rsidRDefault="00A85061">
            <w:pPr>
              <w:rPr>
                <w:rFonts w:ascii="宋体"/>
                <w:vanish/>
              </w:rPr>
            </w:pPr>
          </w:p>
        </w:tc>
        <w:tc>
          <w:tcPr>
            <w:tcW w:w="0" w:type="auto"/>
            <w:gridSpan w:val="3"/>
            <w:shd w:val="clear" w:color="auto" w:fill="auto"/>
            <w:vAlign w:val="bottom"/>
          </w:tcPr>
          <w:p w14:paraId="27E07D1A" w14:textId="77777777" w:rsidR="00A85061" w:rsidRDefault="00A85061">
            <w:pPr>
              <w:rPr>
                <w:rFonts w:ascii="宋体"/>
                <w:vanish/>
              </w:rPr>
            </w:pPr>
          </w:p>
        </w:tc>
        <w:tc>
          <w:tcPr>
            <w:tcW w:w="0" w:type="auto"/>
            <w:gridSpan w:val="3"/>
            <w:shd w:val="clear" w:color="auto" w:fill="auto"/>
            <w:vAlign w:val="bottom"/>
          </w:tcPr>
          <w:p w14:paraId="27E07D1B" w14:textId="77777777" w:rsidR="00A85061" w:rsidRDefault="00A85061">
            <w:pPr>
              <w:rPr>
                <w:rFonts w:ascii="宋体"/>
                <w:vanish/>
              </w:rPr>
            </w:pPr>
          </w:p>
        </w:tc>
      </w:tr>
      <w:tr w:rsidR="00A85061" w14:paraId="27E07D25" w14:textId="77777777">
        <w:tc>
          <w:tcPr>
            <w:tcW w:w="0" w:type="auto"/>
            <w:gridSpan w:val="3"/>
            <w:shd w:val="clear" w:color="auto" w:fill="E2EFD9"/>
            <w:tcMar>
              <w:top w:w="40" w:type="dxa"/>
              <w:left w:w="20" w:type="dxa"/>
              <w:bottom w:w="40" w:type="dxa"/>
              <w:right w:w="20" w:type="dxa"/>
            </w:tcMar>
            <w:vAlign w:val="bottom"/>
          </w:tcPr>
          <w:p w14:paraId="27E07D1D" w14:textId="77777777" w:rsidR="00A85061" w:rsidRDefault="00F04891">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7D1E"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D1F"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7D20" w14:textId="77777777" w:rsidR="00A85061" w:rsidRDefault="00A85061">
            <w:pPr>
              <w:rPr>
                <w:rFonts w:ascii="宋体"/>
              </w:rPr>
            </w:pPr>
          </w:p>
        </w:tc>
        <w:tc>
          <w:tcPr>
            <w:tcW w:w="0" w:type="auto"/>
            <w:gridSpan w:val="3"/>
            <w:shd w:val="clear" w:color="auto" w:fill="auto"/>
            <w:vAlign w:val="bottom"/>
          </w:tcPr>
          <w:p w14:paraId="27E07D21" w14:textId="77777777" w:rsidR="00A85061" w:rsidRDefault="00A85061">
            <w:pPr>
              <w:rPr>
                <w:rFonts w:ascii="宋体"/>
                <w:vanish/>
              </w:rPr>
            </w:pPr>
          </w:p>
        </w:tc>
        <w:tc>
          <w:tcPr>
            <w:tcW w:w="0" w:type="auto"/>
            <w:gridSpan w:val="3"/>
            <w:shd w:val="clear" w:color="auto" w:fill="auto"/>
            <w:vAlign w:val="bottom"/>
          </w:tcPr>
          <w:p w14:paraId="27E07D22" w14:textId="77777777" w:rsidR="00A85061" w:rsidRDefault="00A85061">
            <w:pPr>
              <w:rPr>
                <w:rFonts w:ascii="宋体"/>
                <w:vanish/>
              </w:rPr>
            </w:pPr>
          </w:p>
        </w:tc>
        <w:tc>
          <w:tcPr>
            <w:tcW w:w="0" w:type="auto"/>
            <w:gridSpan w:val="3"/>
            <w:shd w:val="clear" w:color="auto" w:fill="auto"/>
            <w:vAlign w:val="bottom"/>
          </w:tcPr>
          <w:p w14:paraId="27E07D23" w14:textId="77777777" w:rsidR="00A85061" w:rsidRDefault="00A85061">
            <w:pPr>
              <w:rPr>
                <w:rFonts w:ascii="宋体"/>
                <w:vanish/>
              </w:rPr>
            </w:pPr>
          </w:p>
        </w:tc>
        <w:tc>
          <w:tcPr>
            <w:tcW w:w="0" w:type="auto"/>
            <w:gridSpan w:val="3"/>
            <w:shd w:val="clear" w:color="auto" w:fill="auto"/>
            <w:vAlign w:val="bottom"/>
          </w:tcPr>
          <w:p w14:paraId="27E07D24" w14:textId="77777777" w:rsidR="00A85061" w:rsidRDefault="00A85061">
            <w:pPr>
              <w:rPr>
                <w:rFonts w:ascii="宋体"/>
                <w:vanish/>
              </w:rPr>
            </w:pPr>
          </w:p>
        </w:tc>
      </w:tr>
      <w:tr w:rsidR="00A85061" w14:paraId="27E07D32" w14:textId="77777777">
        <w:tc>
          <w:tcPr>
            <w:tcW w:w="0" w:type="auto"/>
            <w:gridSpan w:val="3"/>
            <w:shd w:val="clear" w:color="auto" w:fill="FFFFFF"/>
            <w:tcMar>
              <w:top w:w="40" w:type="dxa"/>
              <w:left w:w="20" w:type="dxa"/>
              <w:bottom w:w="40" w:type="dxa"/>
              <w:right w:w="20" w:type="dxa"/>
            </w:tcMar>
            <w:vAlign w:val="bottom"/>
          </w:tcPr>
          <w:p w14:paraId="27E07D26" w14:textId="77777777" w:rsidR="00A85061" w:rsidRDefault="00F04891">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27E07D2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D28" w14:textId="77777777" w:rsidR="00A85061" w:rsidRDefault="00F04891">
            <w:pPr>
              <w:jc w:val="right"/>
              <w:textAlignment w:val="bottom"/>
            </w:pPr>
            <w:r>
              <w:rPr>
                <w:rFonts w:ascii="sans-serif" w:eastAsia="sans-serif" w:hAnsi="sans-serif" w:cs="sans-serif"/>
                <w:color w:val="000000"/>
                <w:sz w:val="20"/>
                <w:szCs w:val="20"/>
              </w:rPr>
              <w:t>3.08 </w:t>
            </w:r>
          </w:p>
        </w:tc>
        <w:tc>
          <w:tcPr>
            <w:tcW w:w="0" w:type="auto"/>
            <w:shd w:val="clear" w:color="auto" w:fill="FFFFFF"/>
            <w:tcMar>
              <w:top w:w="40" w:type="dxa"/>
              <w:left w:w="0" w:type="dxa"/>
              <w:bottom w:w="40" w:type="dxa"/>
              <w:right w:w="20" w:type="dxa"/>
            </w:tcMar>
            <w:vAlign w:val="bottom"/>
          </w:tcPr>
          <w:p w14:paraId="27E07D2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2A"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7D2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7D2C" w14:textId="77777777" w:rsidR="00A85061" w:rsidRDefault="00F04891">
            <w:pPr>
              <w:jc w:val="right"/>
              <w:textAlignment w:val="bottom"/>
            </w:pPr>
            <w:r>
              <w:rPr>
                <w:rFonts w:ascii="sans-serif" w:eastAsia="sans-serif" w:hAnsi="sans-serif" w:cs="sans-serif"/>
                <w:color w:val="000000"/>
                <w:sz w:val="20"/>
                <w:szCs w:val="20"/>
              </w:rPr>
              <w:t>1.49 </w:t>
            </w:r>
          </w:p>
        </w:tc>
        <w:tc>
          <w:tcPr>
            <w:tcW w:w="0" w:type="auto"/>
            <w:shd w:val="clear" w:color="auto" w:fill="FFFFFF"/>
            <w:tcMar>
              <w:top w:w="40" w:type="dxa"/>
              <w:left w:w="0" w:type="dxa"/>
              <w:bottom w:w="40" w:type="dxa"/>
              <w:right w:w="20" w:type="dxa"/>
            </w:tcMar>
            <w:vAlign w:val="bottom"/>
          </w:tcPr>
          <w:p w14:paraId="27E07D2D" w14:textId="77777777" w:rsidR="00A85061" w:rsidRDefault="00A85061">
            <w:pPr>
              <w:jc w:val="right"/>
              <w:rPr>
                <w:rFonts w:ascii="宋体"/>
              </w:rPr>
            </w:pPr>
          </w:p>
        </w:tc>
        <w:tc>
          <w:tcPr>
            <w:tcW w:w="0" w:type="auto"/>
            <w:gridSpan w:val="3"/>
            <w:shd w:val="clear" w:color="auto" w:fill="auto"/>
            <w:vAlign w:val="bottom"/>
          </w:tcPr>
          <w:p w14:paraId="27E07D2E" w14:textId="77777777" w:rsidR="00A85061" w:rsidRDefault="00A85061">
            <w:pPr>
              <w:rPr>
                <w:rFonts w:ascii="宋体"/>
                <w:vanish/>
              </w:rPr>
            </w:pPr>
          </w:p>
        </w:tc>
        <w:tc>
          <w:tcPr>
            <w:tcW w:w="0" w:type="auto"/>
            <w:gridSpan w:val="3"/>
            <w:shd w:val="clear" w:color="auto" w:fill="auto"/>
            <w:vAlign w:val="bottom"/>
          </w:tcPr>
          <w:p w14:paraId="27E07D2F" w14:textId="77777777" w:rsidR="00A85061" w:rsidRDefault="00A85061">
            <w:pPr>
              <w:rPr>
                <w:rFonts w:ascii="宋体"/>
                <w:vanish/>
              </w:rPr>
            </w:pPr>
          </w:p>
        </w:tc>
        <w:tc>
          <w:tcPr>
            <w:tcW w:w="0" w:type="auto"/>
            <w:gridSpan w:val="3"/>
            <w:shd w:val="clear" w:color="auto" w:fill="auto"/>
            <w:vAlign w:val="bottom"/>
          </w:tcPr>
          <w:p w14:paraId="27E07D30" w14:textId="77777777" w:rsidR="00A85061" w:rsidRDefault="00A85061">
            <w:pPr>
              <w:rPr>
                <w:rFonts w:ascii="宋体"/>
                <w:vanish/>
              </w:rPr>
            </w:pPr>
          </w:p>
        </w:tc>
        <w:tc>
          <w:tcPr>
            <w:tcW w:w="0" w:type="auto"/>
            <w:gridSpan w:val="3"/>
            <w:shd w:val="clear" w:color="auto" w:fill="auto"/>
            <w:vAlign w:val="bottom"/>
          </w:tcPr>
          <w:p w14:paraId="27E07D31" w14:textId="77777777" w:rsidR="00A85061" w:rsidRDefault="00A85061">
            <w:pPr>
              <w:rPr>
                <w:rFonts w:ascii="宋体"/>
                <w:vanish/>
              </w:rPr>
            </w:pPr>
          </w:p>
        </w:tc>
      </w:tr>
      <w:tr w:rsidR="00A85061" w14:paraId="27E07D3F" w14:textId="77777777">
        <w:tc>
          <w:tcPr>
            <w:tcW w:w="0" w:type="auto"/>
            <w:gridSpan w:val="3"/>
            <w:shd w:val="clear" w:color="auto" w:fill="E2EFD9"/>
            <w:tcMar>
              <w:top w:w="40" w:type="dxa"/>
              <w:left w:w="20" w:type="dxa"/>
              <w:bottom w:w="40" w:type="dxa"/>
              <w:right w:w="20" w:type="dxa"/>
            </w:tcMar>
            <w:vAlign w:val="bottom"/>
          </w:tcPr>
          <w:p w14:paraId="27E07D33" w14:textId="77777777" w:rsidR="00A85061" w:rsidRDefault="00F04891">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27E07D3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D35" w14:textId="77777777" w:rsidR="00A85061" w:rsidRDefault="00F04891">
            <w:pPr>
              <w:jc w:val="right"/>
              <w:textAlignment w:val="bottom"/>
            </w:pPr>
            <w:r>
              <w:rPr>
                <w:rFonts w:ascii="sans-serif" w:eastAsia="sans-serif" w:hAnsi="sans-serif" w:cs="sans-serif"/>
                <w:color w:val="000000"/>
                <w:sz w:val="20"/>
                <w:szCs w:val="20"/>
              </w:rPr>
              <w:t>3.03 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D3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37" w14:textId="77777777" w:rsidR="00A85061" w:rsidRDefault="00A85061">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27E07D38"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27E07D39" w14:textId="77777777" w:rsidR="00A85061" w:rsidRDefault="00F04891">
            <w:pPr>
              <w:jc w:val="right"/>
              <w:textAlignment w:val="bottom"/>
            </w:pPr>
            <w:r>
              <w:rPr>
                <w:rFonts w:ascii="sans-serif" w:eastAsia="sans-serif" w:hAnsi="sans-serif" w:cs="sans-serif"/>
                <w:color w:val="000000"/>
                <w:sz w:val="20"/>
                <w:szCs w:val="20"/>
              </w:rPr>
              <w:t>1.47 </w:t>
            </w:r>
          </w:p>
        </w:tc>
        <w:tc>
          <w:tcPr>
            <w:tcW w:w="0" w:type="auto"/>
            <w:tcBorders>
              <w:top w:val="double" w:sz="6" w:space="0" w:color="000000"/>
            </w:tcBorders>
            <w:shd w:val="clear" w:color="auto" w:fill="E2EFD9"/>
            <w:tcMar>
              <w:top w:w="40" w:type="dxa"/>
              <w:left w:w="0" w:type="dxa"/>
              <w:bottom w:w="40" w:type="dxa"/>
              <w:right w:w="20" w:type="dxa"/>
            </w:tcMar>
            <w:vAlign w:val="bottom"/>
          </w:tcPr>
          <w:p w14:paraId="27E07D3A" w14:textId="77777777" w:rsidR="00A85061" w:rsidRDefault="00A85061">
            <w:pPr>
              <w:jc w:val="right"/>
              <w:rPr>
                <w:rFonts w:ascii="宋体"/>
              </w:rPr>
            </w:pPr>
          </w:p>
        </w:tc>
        <w:tc>
          <w:tcPr>
            <w:tcW w:w="0" w:type="auto"/>
            <w:gridSpan w:val="3"/>
            <w:shd w:val="clear" w:color="auto" w:fill="auto"/>
            <w:vAlign w:val="bottom"/>
          </w:tcPr>
          <w:p w14:paraId="27E07D3B" w14:textId="77777777" w:rsidR="00A85061" w:rsidRDefault="00A85061">
            <w:pPr>
              <w:rPr>
                <w:rFonts w:ascii="宋体"/>
                <w:vanish/>
              </w:rPr>
            </w:pPr>
          </w:p>
        </w:tc>
        <w:tc>
          <w:tcPr>
            <w:tcW w:w="0" w:type="auto"/>
            <w:gridSpan w:val="3"/>
            <w:shd w:val="clear" w:color="auto" w:fill="auto"/>
            <w:vAlign w:val="bottom"/>
          </w:tcPr>
          <w:p w14:paraId="27E07D3C" w14:textId="77777777" w:rsidR="00A85061" w:rsidRDefault="00A85061">
            <w:pPr>
              <w:rPr>
                <w:rFonts w:ascii="宋体"/>
                <w:vanish/>
              </w:rPr>
            </w:pPr>
          </w:p>
        </w:tc>
        <w:tc>
          <w:tcPr>
            <w:tcW w:w="0" w:type="auto"/>
            <w:gridSpan w:val="3"/>
            <w:shd w:val="clear" w:color="auto" w:fill="auto"/>
            <w:vAlign w:val="bottom"/>
          </w:tcPr>
          <w:p w14:paraId="27E07D3D" w14:textId="77777777" w:rsidR="00A85061" w:rsidRDefault="00A85061">
            <w:pPr>
              <w:rPr>
                <w:rFonts w:ascii="宋体"/>
                <w:vanish/>
              </w:rPr>
            </w:pPr>
          </w:p>
        </w:tc>
        <w:tc>
          <w:tcPr>
            <w:tcW w:w="0" w:type="auto"/>
            <w:gridSpan w:val="3"/>
            <w:shd w:val="clear" w:color="auto" w:fill="auto"/>
            <w:vAlign w:val="bottom"/>
          </w:tcPr>
          <w:p w14:paraId="27E07D3E" w14:textId="77777777" w:rsidR="00A85061" w:rsidRDefault="00A85061">
            <w:pPr>
              <w:rPr>
                <w:rFonts w:ascii="宋体"/>
                <w:vanish/>
              </w:rPr>
            </w:pPr>
          </w:p>
        </w:tc>
      </w:tr>
      <w:tr w:rsidR="00A85061" w14:paraId="27E07D4A" w14:textId="77777777">
        <w:tc>
          <w:tcPr>
            <w:tcW w:w="0" w:type="auto"/>
            <w:gridSpan w:val="3"/>
            <w:shd w:val="clear" w:color="auto" w:fill="FFFFFF"/>
            <w:tcMar>
              <w:top w:w="40" w:type="dxa"/>
              <w:left w:w="20" w:type="dxa"/>
              <w:bottom w:w="40" w:type="dxa"/>
              <w:right w:w="20" w:type="dxa"/>
            </w:tcMar>
            <w:vAlign w:val="bottom"/>
          </w:tcPr>
          <w:p w14:paraId="27E07D40" w14:textId="77777777" w:rsidR="00A85061" w:rsidRDefault="00F04891">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7E07D41"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27E07D4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43" w14:textId="77777777" w:rsidR="00A85061" w:rsidRDefault="00A8506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27E07D44"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tcBorders>
              <w:top w:val="double" w:sz="6" w:space="0" w:color="000000"/>
            </w:tcBorders>
            <w:shd w:val="clear" w:color="auto" w:fill="FFFFFF"/>
            <w:tcMar>
              <w:top w:w="40" w:type="dxa"/>
              <w:left w:w="0" w:type="dxa"/>
              <w:bottom w:w="40" w:type="dxa"/>
              <w:right w:w="20" w:type="dxa"/>
            </w:tcMar>
            <w:vAlign w:val="bottom"/>
          </w:tcPr>
          <w:p w14:paraId="27E07D45" w14:textId="77777777" w:rsidR="00A85061" w:rsidRDefault="00A85061">
            <w:pPr>
              <w:jc w:val="right"/>
              <w:rPr>
                <w:rFonts w:ascii="宋体"/>
              </w:rPr>
            </w:pPr>
          </w:p>
        </w:tc>
        <w:tc>
          <w:tcPr>
            <w:tcW w:w="0" w:type="auto"/>
            <w:gridSpan w:val="3"/>
            <w:shd w:val="clear" w:color="auto" w:fill="auto"/>
            <w:vAlign w:val="bottom"/>
          </w:tcPr>
          <w:p w14:paraId="27E07D46" w14:textId="77777777" w:rsidR="00A85061" w:rsidRDefault="00A85061">
            <w:pPr>
              <w:rPr>
                <w:rFonts w:ascii="宋体"/>
                <w:vanish/>
              </w:rPr>
            </w:pPr>
          </w:p>
        </w:tc>
        <w:tc>
          <w:tcPr>
            <w:tcW w:w="0" w:type="auto"/>
            <w:gridSpan w:val="3"/>
            <w:shd w:val="clear" w:color="auto" w:fill="auto"/>
            <w:vAlign w:val="bottom"/>
          </w:tcPr>
          <w:p w14:paraId="27E07D47" w14:textId="77777777" w:rsidR="00A85061" w:rsidRDefault="00A85061">
            <w:pPr>
              <w:rPr>
                <w:rFonts w:ascii="宋体"/>
                <w:vanish/>
              </w:rPr>
            </w:pPr>
          </w:p>
        </w:tc>
        <w:tc>
          <w:tcPr>
            <w:tcW w:w="0" w:type="auto"/>
            <w:gridSpan w:val="3"/>
            <w:shd w:val="clear" w:color="auto" w:fill="auto"/>
            <w:vAlign w:val="bottom"/>
          </w:tcPr>
          <w:p w14:paraId="27E07D48" w14:textId="77777777" w:rsidR="00A85061" w:rsidRDefault="00A85061">
            <w:pPr>
              <w:rPr>
                <w:rFonts w:ascii="宋体"/>
                <w:vanish/>
              </w:rPr>
            </w:pPr>
          </w:p>
        </w:tc>
        <w:tc>
          <w:tcPr>
            <w:tcW w:w="0" w:type="auto"/>
            <w:gridSpan w:val="3"/>
            <w:shd w:val="clear" w:color="auto" w:fill="auto"/>
            <w:vAlign w:val="bottom"/>
          </w:tcPr>
          <w:p w14:paraId="27E07D49" w14:textId="77777777" w:rsidR="00A85061" w:rsidRDefault="00A85061">
            <w:pPr>
              <w:rPr>
                <w:rFonts w:ascii="宋体"/>
                <w:vanish/>
              </w:rPr>
            </w:pPr>
          </w:p>
        </w:tc>
      </w:tr>
    </w:tbl>
    <w:p w14:paraId="27E07D4B" w14:textId="77777777" w:rsidR="00A85061" w:rsidRDefault="00F04891">
      <w:pPr>
        <w:spacing w:after="60"/>
        <w:ind w:hanging="360"/>
        <w:jc w:val="both"/>
      </w:pPr>
      <w:r>
        <w:rPr>
          <w:rFonts w:ascii="sans-serif" w:eastAsia="sans-serif" w:hAnsi="sans-serif" w:cs="sans-serif"/>
          <w:color w:val="000000"/>
          <w:sz w:val="16"/>
          <w:szCs w:val="16"/>
        </w:rPr>
        <w:t>(1)    Calculated as net income divided by basic weighted average shares.</w:t>
      </w:r>
    </w:p>
    <w:p w14:paraId="27E07D4C" w14:textId="77777777" w:rsidR="00A85061" w:rsidRDefault="00F04891">
      <w:pPr>
        <w:spacing w:after="180"/>
        <w:ind w:hanging="360"/>
        <w:jc w:val="both"/>
      </w:pPr>
      <w:r>
        <w:rPr>
          <w:rFonts w:ascii="sans-serif" w:eastAsia="sans-serif" w:hAnsi="sans-serif" w:cs="sans-serif"/>
          <w:color w:val="000000"/>
          <w:sz w:val="16"/>
          <w:szCs w:val="16"/>
        </w:rPr>
        <w:t>(2)    Calculated as net income divided by diluted weighted average shares.</w:t>
      </w:r>
    </w:p>
    <w:p w14:paraId="27E07D4D" w14:textId="77777777" w:rsidR="00A85061" w:rsidRDefault="00F04891">
      <w:pPr>
        <w:spacing w:before="240" w:after="120"/>
        <w:jc w:val="both"/>
      </w:pPr>
      <w:r>
        <w:rPr>
          <w:rFonts w:ascii="sans-serif" w:eastAsia="sans-serif" w:hAnsi="sans-serif" w:cs="sans-serif"/>
          <w:b/>
          <w:bCs/>
          <w:color w:val="76B900"/>
          <w:sz w:val="22"/>
          <w:szCs w:val="22"/>
        </w:rPr>
        <w:t>Note 6 – Income Taxes</w:t>
      </w:r>
    </w:p>
    <w:p w14:paraId="27E07D4E" w14:textId="77777777" w:rsidR="00A85061" w:rsidRDefault="00F04891">
      <w:pPr>
        <w:spacing w:after="180"/>
        <w:jc w:val="both"/>
      </w:pPr>
      <w:r>
        <w:rPr>
          <w:rFonts w:ascii="sans-serif" w:eastAsia="sans-serif" w:hAnsi="sans-serif" w:cs="sans-serif"/>
          <w:color w:val="000000"/>
          <w:sz w:val="20"/>
          <w:szCs w:val="20"/>
        </w:rPr>
        <w:t xml:space="preserve">We recognized an income tax expense of $132 million and $64 million for the first quarter of fiscal years 2022 and 2021, respectively. The income tax </w:t>
      </w:r>
      <w:r>
        <w:rPr>
          <w:rFonts w:ascii="sans-serif" w:eastAsia="sans-serif" w:hAnsi="sans-serif" w:cs="sans-serif"/>
          <w:color w:val="000000"/>
          <w:sz w:val="20"/>
          <w:szCs w:val="20"/>
        </w:rPr>
        <w:t>expense as a percentage of income before income tax was 6.5% and 6.6% for the first quarter of fiscal years 2022 and 2021, respectively.</w:t>
      </w:r>
    </w:p>
    <w:p w14:paraId="27E07D4F" w14:textId="77777777" w:rsidR="00A85061" w:rsidRDefault="00F04891">
      <w:pPr>
        <w:spacing w:after="180"/>
        <w:jc w:val="both"/>
      </w:pPr>
      <w:r>
        <w:rPr>
          <w:rFonts w:ascii="sans-serif" w:eastAsia="sans-serif" w:hAnsi="sans-serif" w:cs="sans-serif"/>
          <w:color w:val="000000"/>
          <w:sz w:val="20"/>
          <w:szCs w:val="20"/>
        </w:rPr>
        <w:t>The slight decrease in our effective tax rate for the first quarter of fiscal year 2022 as compared to the first quarte</w:t>
      </w:r>
      <w:r>
        <w:rPr>
          <w:rFonts w:ascii="sans-serif" w:eastAsia="sans-serif" w:hAnsi="sans-serif" w:cs="sans-serif"/>
          <w:color w:val="000000"/>
          <w:sz w:val="20"/>
          <w:szCs w:val="20"/>
        </w:rPr>
        <w:t xml:space="preserve">r of fiscal year 2021 was primarily due to a change in the jurisdiction of earnings, partially offset by a decrease in the impact of tax benefits from the U.S. federal research tax credit. </w:t>
      </w:r>
    </w:p>
    <w:p w14:paraId="27E07D50" w14:textId="77777777" w:rsidR="00A85061" w:rsidRDefault="00F04891">
      <w:pPr>
        <w:spacing w:after="180"/>
        <w:jc w:val="both"/>
      </w:pPr>
      <w:r>
        <w:rPr>
          <w:rFonts w:ascii="sans-serif" w:eastAsia="sans-serif" w:hAnsi="sans-serif" w:cs="sans-serif"/>
          <w:color w:val="000000"/>
          <w:sz w:val="20"/>
          <w:szCs w:val="20"/>
        </w:rPr>
        <w:t>Our effective tax rates for the first quarter of fiscal years 2022</w:t>
      </w:r>
      <w:r>
        <w:rPr>
          <w:rFonts w:ascii="sans-serif" w:eastAsia="sans-serif" w:hAnsi="sans-serif" w:cs="sans-serif"/>
          <w:color w:val="000000"/>
          <w:sz w:val="20"/>
          <w:szCs w:val="20"/>
        </w:rPr>
        <w:t xml:space="preserve"> and 2021 were lower than the U.S. federal statutory rate of 21% due to income earned in jurisdictions that are subject to taxes lower than the U.S. federal statutory tax rate, the benefit of the U.S. federal research tax credit, and tax benefits related t</w:t>
      </w:r>
      <w:r>
        <w:rPr>
          <w:rFonts w:ascii="sans-serif" w:eastAsia="sans-serif" w:hAnsi="sans-serif" w:cs="sans-serif"/>
          <w:color w:val="000000"/>
          <w:sz w:val="20"/>
          <w:szCs w:val="20"/>
        </w:rPr>
        <w:t>o stock-based compensation.</w:t>
      </w:r>
    </w:p>
    <w:p w14:paraId="27E07D51" w14:textId="77777777" w:rsidR="00A85061" w:rsidRDefault="00F04891">
      <w:pPr>
        <w:spacing w:after="180"/>
        <w:jc w:val="both"/>
      </w:pPr>
      <w:r>
        <w:rPr>
          <w:rFonts w:ascii="sans-serif" w:eastAsia="sans-serif" w:hAnsi="sans-serif" w:cs="sans-serif"/>
          <w:color w:val="000000"/>
          <w:sz w:val="20"/>
          <w:szCs w:val="20"/>
        </w:rPr>
        <w:t>As of May 2, 2021, we intend to indefinitely reinvest approximately $1.3 billion of cumulative undistributed earnings held by Mellanox non-U.S. subsidiaries. We have not provided the amount of unrecognized deferred tax liabiliti</w:t>
      </w:r>
      <w:r>
        <w:rPr>
          <w:rFonts w:ascii="sans-serif" w:eastAsia="sans-serif" w:hAnsi="sans-serif" w:cs="sans-serif"/>
          <w:color w:val="000000"/>
          <w:sz w:val="20"/>
          <w:szCs w:val="20"/>
        </w:rPr>
        <w:t>es for temporary differences related to investments in Mellanox non-U.S. subsidiaries as the determination of such amount is not practicable.</w:t>
      </w:r>
    </w:p>
    <w:p w14:paraId="27E07D52" w14:textId="77777777" w:rsidR="00A85061" w:rsidRDefault="00F04891">
      <w:pPr>
        <w:spacing w:after="180"/>
        <w:jc w:val="both"/>
      </w:pPr>
      <w:r>
        <w:rPr>
          <w:rFonts w:ascii="sans-serif" w:eastAsia="sans-serif" w:hAnsi="sans-serif" w:cs="sans-serif"/>
          <w:color w:val="000000"/>
          <w:sz w:val="20"/>
          <w:szCs w:val="20"/>
        </w:rPr>
        <w:t>For the first quarter of fiscal year 2022, there have been no material changes to our tax years that remain subjec</w:t>
      </w:r>
      <w:r>
        <w:rPr>
          <w:rFonts w:ascii="sans-serif" w:eastAsia="sans-serif" w:hAnsi="sans-serif" w:cs="sans-serif"/>
          <w:color w:val="000000"/>
          <w:sz w:val="20"/>
          <w:szCs w:val="20"/>
        </w:rPr>
        <w:t xml:space="preserve">t to examination by major tax jurisdictions. We are currently under examination by the Internal Revenue Service for our fiscal years 2018 and 2019. Additionally, there have been no material changes to our unrecognized tax benefits and any related interest </w:t>
      </w:r>
      <w:r>
        <w:rPr>
          <w:rFonts w:ascii="sans-serif" w:eastAsia="sans-serif" w:hAnsi="sans-serif" w:cs="sans-serif"/>
          <w:color w:val="000000"/>
          <w:sz w:val="20"/>
          <w:szCs w:val="20"/>
        </w:rPr>
        <w:t>or penalties since the fiscal year ended January 31, 2021.</w:t>
      </w:r>
    </w:p>
    <w:p w14:paraId="27E07D53" w14:textId="77777777" w:rsidR="00A85061" w:rsidRDefault="00F04891">
      <w:pPr>
        <w:spacing w:after="180"/>
        <w:jc w:val="both"/>
      </w:pPr>
      <w:r>
        <w:rPr>
          <w:rFonts w:ascii="sans-serif" w:eastAsia="sans-serif" w:hAnsi="sans-serif" w:cs="sans-serif"/>
          <w:color w:val="000000"/>
          <w:sz w:val="20"/>
          <w:szCs w:val="20"/>
        </w:rPr>
        <w:t xml:space="preserve">While we believe that we have adequately provided for all uncertain tax positions, or tax positions where we believe it is not more-likely-than-not that the position will be sustained upon review, </w:t>
      </w:r>
      <w:r>
        <w:rPr>
          <w:rFonts w:ascii="sans-serif" w:eastAsia="sans-serif" w:hAnsi="sans-serif" w:cs="sans-serif"/>
          <w:color w:val="000000"/>
          <w:sz w:val="20"/>
          <w:szCs w:val="20"/>
        </w:rPr>
        <w:t>amounts asserted by tax authorities could be greater or less than our accrued position. Accordingly, our provisions on federal, state and foreign tax related matters to be recorded in the future may change as revised estimates are made or the underlying ma</w:t>
      </w:r>
      <w:r>
        <w:rPr>
          <w:rFonts w:ascii="sans-serif" w:eastAsia="sans-serif" w:hAnsi="sans-serif" w:cs="sans-serif"/>
          <w:color w:val="000000"/>
          <w:sz w:val="20"/>
          <w:szCs w:val="20"/>
        </w:rPr>
        <w:t xml:space="preserve">tters are settled or otherwise resolved with the respective tax authorities. As of May 2, 2021, we do not believe that our estimates, as otherwise provided for, on such tax positions will significantly increase or decrease within the next 12 months. </w:t>
      </w:r>
    </w:p>
    <w:p w14:paraId="27E07D54" w14:textId="77777777" w:rsidR="00A85061" w:rsidRDefault="00F04891">
      <w:pPr>
        <w:spacing w:after="180"/>
        <w:jc w:val="center"/>
      </w:pPr>
      <w:r>
        <w:rPr>
          <w:rFonts w:ascii="sans-serif" w:eastAsia="sans-serif" w:hAnsi="sans-serif" w:cs="sans-serif"/>
          <w:color w:val="000000"/>
          <w:sz w:val="20"/>
          <w:szCs w:val="20"/>
        </w:rPr>
        <w:t>12</w:t>
      </w:r>
    </w:p>
    <w:p w14:paraId="27E07D55" w14:textId="77777777" w:rsidR="00A85061" w:rsidRDefault="00F04891">
      <w:r>
        <w:pict w14:anchorId="27E08EFD">
          <v:rect id="_x0000_i1036" style="width:415.3pt;height:1.5pt" o:hralign="center" o:hrstd="t" o:hr="t" fillcolor="#a0a0a0" stroked="f"/>
        </w:pict>
      </w:r>
    </w:p>
    <w:p w14:paraId="27E07D56" w14:textId="77777777" w:rsidR="00A85061" w:rsidRDefault="00F04891">
      <w:pPr>
        <w:jc w:val="center"/>
      </w:pPr>
      <w:r>
        <w:rPr>
          <w:rFonts w:ascii="sans-serif" w:eastAsia="sans-serif" w:hAnsi="sans-serif" w:cs="sans-serif"/>
          <w:b/>
          <w:bCs/>
          <w:color w:val="000000"/>
          <w:sz w:val="20"/>
          <w:szCs w:val="20"/>
        </w:rPr>
        <w:t>NVIDIA CORPORATION AND SUBSIDIARIES</w:t>
      </w:r>
    </w:p>
    <w:p w14:paraId="27E07D57"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7D58" w14:textId="77777777" w:rsidR="00A85061" w:rsidRDefault="00F04891">
      <w:pPr>
        <w:jc w:val="center"/>
      </w:pPr>
      <w:r>
        <w:rPr>
          <w:rFonts w:ascii="sans-serif" w:eastAsia="sans-serif" w:hAnsi="sans-serif" w:cs="sans-serif"/>
          <w:b/>
          <w:bCs/>
          <w:color w:val="000000"/>
          <w:sz w:val="20"/>
          <w:szCs w:val="20"/>
        </w:rPr>
        <w:t>(Unaudited)</w:t>
      </w:r>
    </w:p>
    <w:p w14:paraId="27E07D59" w14:textId="77777777" w:rsidR="00A85061" w:rsidRDefault="00A85061">
      <w:pPr>
        <w:spacing w:after="180"/>
        <w:jc w:val="both"/>
      </w:pPr>
    </w:p>
    <w:p w14:paraId="27E07D5A" w14:textId="77777777" w:rsidR="00A85061" w:rsidRDefault="00A85061">
      <w:pPr>
        <w:spacing w:after="180"/>
        <w:jc w:val="both"/>
      </w:pPr>
    </w:p>
    <w:p w14:paraId="27E07D5B" w14:textId="77777777" w:rsidR="00A85061" w:rsidRDefault="00F04891">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27E07D5C" w14:textId="77777777" w:rsidR="00A85061" w:rsidRDefault="00F04891">
      <w:pPr>
        <w:spacing w:after="180"/>
        <w:jc w:val="both"/>
      </w:pPr>
      <w:r>
        <w:rPr>
          <w:rFonts w:ascii="sans-serif" w:eastAsia="sans-serif" w:hAnsi="sans-serif" w:cs="sans-serif"/>
          <w:color w:val="000000"/>
          <w:sz w:val="20"/>
          <w:szCs w:val="20"/>
        </w:rPr>
        <w:t>Our cash equivalents and marketable securities related to debt securities are classified</w:t>
      </w:r>
      <w:r>
        <w:rPr>
          <w:rFonts w:ascii="sans-serif" w:eastAsia="sans-serif" w:hAnsi="sans-serif" w:cs="sans-serif"/>
          <w:color w:val="000000"/>
          <w:sz w:val="20"/>
          <w:szCs w:val="20"/>
        </w:rPr>
        <w:t xml:space="preserve"> as “available-for-sale” debt securities.</w:t>
      </w:r>
    </w:p>
    <w:p w14:paraId="27E07D5D" w14:textId="77777777" w:rsidR="00A85061" w:rsidRDefault="00F04891">
      <w:pPr>
        <w:spacing w:after="180"/>
        <w:jc w:val="both"/>
      </w:pPr>
      <w:r>
        <w:rPr>
          <w:rFonts w:ascii="sans-serif" w:eastAsia="sans-serif" w:hAnsi="sans-serif" w:cs="sans-serif"/>
          <w:color w:val="000000"/>
          <w:sz w:val="20"/>
          <w:szCs w:val="20"/>
        </w:rPr>
        <w:t>The following is a summary of cash equivalents and marketable securities as of May 2, 2021 and January 31, 2021:</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A85061" w14:paraId="27E07D82" w14:textId="77777777">
        <w:tc>
          <w:tcPr>
            <w:tcW w:w="50" w:type="pct"/>
            <w:shd w:val="clear" w:color="auto" w:fill="auto"/>
            <w:vAlign w:val="bottom"/>
          </w:tcPr>
          <w:p w14:paraId="27E07D5E" w14:textId="77777777" w:rsidR="00A85061" w:rsidRDefault="00A85061">
            <w:pPr>
              <w:rPr>
                <w:rFonts w:ascii="宋体"/>
              </w:rPr>
            </w:pPr>
          </w:p>
        </w:tc>
        <w:tc>
          <w:tcPr>
            <w:tcW w:w="1481" w:type="pct"/>
            <w:shd w:val="clear" w:color="auto" w:fill="auto"/>
            <w:vAlign w:val="bottom"/>
          </w:tcPr>
          <w:p w14:paraId="27E07D5F" w14:textId="77777777" w:rsidR="00A85061" w:rsidRDefault="00A85061">
            <w:pPr>
              <w:rPr>
                <w:rFonts w:ascii="宋体"/>
              </w:rPr>
            </w:pPr>
          </w:p>
        </w:tc>
        <w:tc>
          <w:tcPr>
            <w:tcW w:w="5" w:type="pct"/>
            <w:shd w:val="clear" w:color="auto" w:fill="auto"/>
            <w:vAlign w:val="bottom"/>
          </w:tcPr>
          <w:p w14:paraId="27E07D60" w14:textId="77777777" w:rsidR="00A85061" w:rsidRDefault="00A85061">
            <w:pPr>
              <w:rPr>
                <w:rFonts w:ascii="宋体"/>
              </w:rPr>
            </w:pPr>
          </w:p>
        </w:tc>
        <w:tc>
          <w:tcPr>
            <w:tcW w:w="50" w:type="pct"/>
            <w:shd w:val="clear" w:color="auto" w:fill="auto"/>
            <w:vAlign w:val="bottom"/>
          </w:tcPr>
          <w:p w14:paraId="27E07D61" w14:textId="77777777" w:rsidR="00A85061" w:rsidRDefault="00A85061">
            <w:pPr>
              <w:rPr>
                <w:rFonts w:ascii="宋体"/>
              </w:rPr>
            </w:pPr>
          </w:p>
        </w:tc>
        <w:tc>
          <w:tcPr>
            <w:tcW w:w="481" w:type="pct"/>
            <w:shd w:val="clear" w:color="auto" w:fill="auto"/>
            <w:vAlign w:val="bottom"/>
          </w:tcPr>
          <w:p w14:paraId="27E07D62" w14:textId="77777777" w:rsidR="00A85061" w:rsidRDefault="00A85061">
            <w:pPr>
              <w:rPr>
                <w:rFonts w:ascii="宋体"/>
              </w:rPr>
            </w:pPr>
          </w:p>
        </w:tc>
        <w:tc>
          <w:tcPr>
            <w:tcW w:w="5" w:type="pct"/>
            <w:shd w:val="clear" w:color="auto" w:fill="auto"/>
            <w:vAlign w:val="bottom"/>
          </w:tcPr>
          <w:p w14:paraId="27E07D63" w14:textId="77777777" w:rsidR="00A85061" w:rsidRDefault="00A85061">
            <w:pPr>
              <w:rPr>
                <w:rFonts w:ascii="宋体"/>
              </w:rPr>
            </w:pPr>
          </w:p>
        </w:tc>
        <w:tc>
          <w:tcPr>
            <w:tcW w:w="5" w:type="pct"/>
            <w:shd w:val="clear" w:color="auto" w:fill="auto"/>
            <w:vAlign w:val="bottom"/>
          </w:tcPr>
          <w:p w14:paraId="27E07D64" w14:textId="77777777" w:rsidR="00A85061" w:rsidRDefault="00A85061">
            <w:pPr>
              <w:rPr>
                <w:rFonts w:ascii="宋体"/>
              </w:rPr>
            </w:pPr>
          </w:p>
        </w:tc>
        <w:tc>
          <w:tcPr>
            <w:tcW w:w="26" w:type="pct"/>
            <w:shd w:val="clear" w:color="auto" w:fill="auto"/>
            <w:vAlign w:val="bottom"/>
          </w:tcPr>
          <w:p w14:paraId="27E07D65" w14:textId="77777777" w:rsidR="00A85061" w:rsidRDefault="00A85061">
            <w:pPr>
              <w:rPr>
                <w:rFonts w:ascii="宋体"/>
              </w:rPr>
            </w:pPr>
          </w:p>
        </w:tc>
        <w:tc>
          <w:tcPr>
            <w:tcW w:w="5" w:type="pct"/>
            <w:shd w:val="clear" w:color="auto" w:fill="auto"/>
            <w:vAlign w:val="bottom"/>
          </w:tcPr>
          <w:p w14:paraId="27E07D66" w14:textId="77777777" w:rsidR="00A85061" w:rsidRDefault="00A85061">
            <w:pPr>
              <w:rPr>
                <w:rFonts w:ascii="宋体"/>
              </w:rPr>
            </w:pPr>
          </w:p>
        </w:tc>
        <w:tc>
          <w:tcPr>
            <w:tcW w:w="50" w:type="pct"/>
            <w:shd w:val="clear" w:color="auto" w:fill="auto"/>
            <w:vAlign w:val="bottom"/>
          </w:tcPr>
          <w:p w14:paraId="27E07D67" w14:textId="77777777" w:rsidR="00A85061" w:rsidRDefault="00A85061">
            <w:pPr>
              <w:rPr>
                <w:rFonts w:ascii="宋体"/>
              </w:rPr>
            </w:pPr>
          </w:p>
        </w:tc>
        <w:tc>
          <w:tcPr>
            <w:tcW w:w="496" w:type="pct"/>
            <w:shd w:val="clear" w:color="auto" w:fill="auto"/>
            <w:vAlign w:val="bottom"/>
          </w:tcPr>
          <w:p w14:paraId="27E07D68" w14:textId="77777777" w:rsidR="00A85061" w:rsidRDefault="00A85061">
            <w:pPr>
              <w:rPr>
                <w:rFonts w:ascii="宋体"/>
              </w:rPr>
            </w:pPr>
          </w:p>
        </w:tc>
        <w:tc>
          <w:tcPr>
            <w:tcW w:w="5" w:type="pct"/>
            <w:shd w:val="clear" w:color="auto" w:fill="auto"/>
            <w:vAlign w:val="bottom"/>
          </w:tcPr>
          <w:p w14:paraId="27E07D69" w14:textId="77777777" w:rsidR="00A85061" w:rsidRDefault="00A85061">
            <w:pPr>
              <w:rPr>
                <w:rFonts w:ascii="宋体"/>
              </w:rPr>
            </w:pPr>
          </w:p>
        </w:tc>
        <w:tc>
          <w:tcPr>
            <w:tcW w:w="5" w:type="pct"/>
            <w:shd w:val="clear" w:color="auto" w:fill="auto"/>
            <w:vAlign w:val="bottom"/>
          </w:tcPr>
          <w:p w14:paraId="27E07D6A" w14:textId="77777777" w:rsidR="00A85061" w:rsidRDefault="00A85061">
            <w:pPr>
              <w:rPr>
                <w:rFonts w:ascii="宋体"/>
              </w:rPr>
            </w:pPr>
          </w:p>
        </w:tc>
        <w:tc>
          <w:tcPr>
            <w:tcW w:w="26" w:type="pct"/>
            <w:shd w:val="clear" w:color="auto" w:fill="auto"/>
            <w:vAlign w:val="bottom"/>
          </w:tcPr>
          <w:p w14:paraId="27E07D6B" w14:textId="77777777" w:rsidR="00A85061" w:rsidRDefault="00A85061">
            <w:pPr>
              <w:rPr>
                <w:rFonts w:ascii="宋体"/>
              </w:rPr>
            </w:pPr>
          </w:p>
        </w:tc>
        <w:tc>
          <w:tcPr>
            <w:tcW w:w="5" w:type="pct"/>
            <w:shd w:val="clear" w:color="auto" w:fill="auto"/>
            <w:vAlign w:val="bottom"/>
          </w:tcPr>
          <w:p w14:paraId="27E07D6C" w14:textId="77777777" w:rsidR="00A85061" w:rsidRDefault="00A85061">
            <w:pPr>
              <w:rPr>
                <w:rFonts w:ascii="宋体"/>
              </w:rPr>
            </w:pPr>
          </w:p>
        </w:tc>
        <w:tc>
          <w:tcPr>
            <w:tcW w:w="50" w:type="pct"/>
            <w:shd w:val="clear" w:color="auto" w:fill="auto"/>
            <w:vAlign w:val="bottom"/>
          </w:tcPr>
          <w:p w14:paraId="27E07D6D" w14:textId="77777777" w:rsidR="00A85061" w:rsidRDefault="00A85061">
            <w:pPr>
              <w:rPr>
                <w:rFonts w:ascii="宋体"/>
              </w:rPr>
            </w:pPr>
          </w:p>
        </w:tc>
        <w:tc>
          <w:tcPr>
            <w:tcW w:w="481" w:type="pct"/>
            <w:shd w:val="clear" w:color="auto" w:fill="auto"/>
            <w:vAlign w:val="bottom"/>
          </w:tcPr>
          <w:p w14:paraId="27E07D6E" w14:textId="77777777" w:rsidR="00A85061" w:rsidRDefault="00A85061">
            <w:pPr>
              <w:rPr>
                <w:rFonts w:ascii="宋体"/>
              </w:rPr>
            </w:pPr>
          </w:p>
        </w:tc>
        <w:tc>
          <w:tcPr>
            <w:tcW w:w="5" w:type="pct"/>
            <w:shd w:val="clear" w:color="auto" w:fill="auto"/>
            <w:vAlign w:val="bottom"/>
          </w:tcPr>
          <w:p w14:paraId="27E07D6F" w14:textId="77777777" w:rsidR="00A85061" w:rsidRDefault="00A85061">
            <w:pPr>
              <w:rPr>
                <w:rFonts w:ascii="宋体"/>
              </w:rPr>
            </w:pPr>
          </w:p>
        </w:tc>
        <w:tc>
          <w:tcPr>
            <w:tcW w:w="5" w:type="pct"/>
            <w:shd w:val="clear" w:color="auto" w:fill="auto"/>
            <w:vAlign w:val="bottom"/>
          </w:tcPr>
          <w:p w14:paraId="27E07D70" w14:textId="77777777" w:rsidR="00A85061" w:rsidRDefault="00A85061">
            <w:pPr>
              <w:rPr>
                <w:rFonts w:ascii="宋体"/>
              </w:rPr>
            </w:pPr>
          </w:p>
        </w:tc>
        <w:tc>
          <w:tcPr>
            <w:tcW w:w="26" w:type="pct"/>
            <w:shd w:val="clear" w:color="auto" w:fill="auto"/>
            <w:vAlign w:val="bottom"/>
          </w:tcPr>
          <w:p w14:paraId="27E07D71" w14:textId="77777777" w:rsidR="00A85061" w:rsidRDefault="00A85061">
            <w:pPr>
              <w:rPr>
                <w:rFonts w:ascii="宋体"/>
              </w:rPr>
            </w:pPr>
          </w:p>
        </w:tc>
        <w:tc>
          <w:tcPr>
            <w:tcW w:w="5" w:type="pct"/>
            <w:shd w:val="clear" w:color="auto" w:fill="auto"/>
            <w:vAlign w:val="bottom"/>
          </w:tcPr>
          <w:p w14:paraId="27E07D72" w14:textId="77777777" w:rsidR="00A85061" w:rsidRDefault="00A85061">
            <w:pPr>
              <w:rPr>
                <w:rFonts w:ascii="宋体"/>
              </w:rPr>
            </w:pPr>
          </w:p>
        </w:tc>
        <w:tc>
          <w:tcPr>
            <w:tcW w:w="50" w:type="pct"/>
            <w:shd w:val="clear" w:color="auto" w:fill="auto"/>
            <w:vAlign w:val="bottom"/>
          </w:tcPr>
          <w:p w14:paraId="27E07D73" w14:textId="77777777" w:rsidR="00A85061" w:rsidRDefault="00A85061">
            <w:pPr>
              <w:rPr>
                <w:rFonts w:ascii="宋体"/>
              </w:rPr>
            </w:pPr>
          </w:p>
        </w:tc>
        <w:tc>
          <w:tcPr>
            <w:tcW w:w="481" w:type="pct"/>
            <w:shd w:val="clear" w:color="auto" w:fill="auto"/>
            <w:vAlign w:val="bottom"/>
          </w:tcPr>
          <w:p w14:paraId="27E07D74" w14:textId="77777777" w:rsidR="00A85061" w:rsidRDefault="00A85061">
            <w:pPr>
              <w:rPr>
                <w:rFonts w:ascii="宋体"/>
              </w:rPr>
            </w:pPr>
          </w:p>
        </w:tc>
        <w:tc>
          <w:tcPr>
            <w:tcW w:w="5" w:type="pct"/>
            <w:shd w:val="clear" w:color="auto" w:fill="auto"/>
            <w:vAlign w:val="bottom"/>
          </w:tcPr>
          <w:p w14:paraId="27E07D75" w14:textId="77777777" w:rsidR="00A85061" w:rsidRDefault="00A85061">
            <w:pPr>
              <w:rPr>
                <w:rFonts w:ascii="宋体"/>
              </w:rPr>
            </w:pPr>
          </w:p>
        </w:tc>
        <w:tc>
          <w:tcPr>
            <w:tcW w:w="5" w:type="pct"/>
            <w:shd w:val="clear" w:color="auto" w:fill="auto"/>
            <w:vAlign w:val="bottom"/>
          </w:tcPr>
          <w:p w14:paraId="27E07D76" w14:textId="77777777" w:rsidR="00A85061" w:rsidRDefault="00A85061">
            <w:pPr>
              <w:rPr>
                <w:rFonts w:ascii="宋体"/>
              </w:rPr>
            </w:pPr>
          </w:p>
        </w:tc>
        <w:tc>
          <w:tcPr>
            <w:tcW w:w="26" w:type="pct"/>
            <w:shd w:val="clear" w:color="auto" w:fill="auto"/>
            <w:vAlign w:val="bottom"/>
          </w:tcPr>
          <w:p w14:paraId="27E07D77" w14:textId="77777777" w:rsidR="00A85061" w:rsidRDefault="00A85061">
            <w:pPr>
              <w:rPr>
                <w:rFonts w:ascii="宋体"/>
              </w:rPr>
            </w:pPr>
          </w:p>
        </w:tc>
        <w:tc>
          <w:tcPr>
            <w:tcW w:w="5" w:type="pct"/>
            <w:shd w:val="clear" w:color="auto" w:fill="auto"/>
            <w:vAlign w:val="bottom"/>
          </w:tcPr>
          <w:p w14:paraId="27E07D78" w14:textId="77777777" w:rsidR="00A85061" w:rsidRDefault="00A85061">
            <w:pPr>
              <w:rPr>
                <w:rFonts w:ascii="宋体"/>
              </w:rPr>
            </w:pPr>
          </w:p>
        </w:tc>
        <w:tc>
          <w:tcPr>
            <w:tcW w:w="50" w:type="pct"/>
            <w:shd w:val="clear" w:color="auto" w:fill="auto"/>
            <w:vAlign w:val="bottom"/>
          </w:tcPr>
          <w:p w14:paraId="27E07D79" w14:textId="77777777" w:rsidR="00A85061" w:rsidRDefault="00A85061">
            <w:pPr>
              <w:rPr>
                <w:rFonts w:ascii="宋体"/>
              </w:rPr>
            </w:pPr>
          </w:p>
        </w:tc>
        <w:tc>
          <w:tcPr>
            <w:tcW w:w="511" w:type="pct"/>
            <w:shd w:val="clear" w:color="auto" w:fill="auto"/>
            <w:vAlign w:val="bottom"/>
          </w:tcPr>
          <w:p w14:paraId="27E07D7A" w14:textId="77777777" w:rsidR="00A85061" w:rsidRDefault="00A85061">
            <w:pPr>
              <w:rPr>
                <w:rFonts w:ascii="宋体"/>
              </w:rPr>
            </w:pPr>
          </w:p>
        </w:tc>
        <w:tc>
          <w:tcPr>
            <w:tcW w:w="5" w:type="pct"/>
            <w:shd w:val="clear" w:color="auto" w:fill="auto"/>
            <w:vAlign w:val="bottom"/>
          </w:tcPr>
          <w:p w14:paraId="27E07D7B" w14:textId="77777777" w:rsidR="00A85061" w:rsidRDefault="00A85061">
            <w:pPr>
              <w:rPr>
                <w:rFonts w:ascii="宋体"/>
              </w:rPr>
            </w:pPr>
          </w:p>
        </w:tc>
        <w:tc>
          <w:tcPr>
            <w:tcW w:w="5" w:type="pct"/>
            <w:shd w:val="clear" w:color="auto" w:fill="auto"/>
            <w:vAlign w:val="bottom"/>
          </w:tcPr>
          <w:p w14:paraId="27E07D7C" w14:textId="77777777" w:rsidR="00A85061" w:rsidRDefault="00A85061">
            <w:pPr>
              <w:rPr>
                <w:rFonts w:ascii="宋体"/>
              </w:rPr>
            </w:pPr>
          </w:p>
        </w:tc>
        <w:tc>
          <w:tcPr>
            <w:tcW w:w="26" w:type="pct"/>
            <w:shd w:val="clear" w:color="auto" w:fill="auto"/>
            <w:vAlign w:val="bottom"/>
          </w:tcPr>
          <w:p w14:paraId="27E07D7D" w14:textId="77777777" w:rsidR="00A85061" w:rsidRDefault="00A85061">
            <w:pPr>
              <w:rPr>
                <w:rFonts w:ascii="宋体"/>
              </w:rPr>
            </w:pPr>
          </w:p>
        </w:tc>
        <w:tc>
          <w:tcPr>
            <w:tcW w:w="5" w:type="pct"/>
            <w:shd w:val="clear" w:color="auto" w:fill="auto"/>
            <w:vAlign w:val="bottom"/>
          </w:tcPr>
          <w:p w14:paraId="27E07D7E" w14:textId="77777777" w:rsidR="00A85061" w:rsidRDefault="00A85061">
            <w:pPr>
              <w:rPr>
                <w:rFonts w:ascii="宋体"/>
              </w:rPr>
            </w:pPr>
          </w:p>
        </w:tc>
        <w:tc>
          <w:tcPr>
            <w:tcW w:w="50" w:type="pct"/>
            <w:shd w:val="clear" w:color="auto" w:fill="auto"/>
            <w:vAlign w:val="bottom"/>
          </w:tcPr>
          <w:p w14:paraId="27E07D7F" w14:textId="77777777" w:rsidR="00A85061" w:rsidRDefault="00A85061">
            <w:pPr>
              <w:rPr>
                <w:rFonts w:ascii="宋体"/>
              </w:rPr>
            </w:pPr>
          </w:p>
        </w:tc>
        <w:tc>
          <w:tcPr>
            <w:tcW w:w="496" w:type="pct"/>
            <w:shd w:val="clear" w:color="auto" w:fill="auto"/>
            <w:vAlign w:val="bottom"/>
          </w:tcPr>
          <w:p w14:paraId="27E07D80" w14:textId="77777777" w:rsidR="00A85061" w:rsidRDefault="00A85061">
            <w:pPr>
              <w:rPr>
                <w:rFonts w:ascii="宋体"/>
              </w:rPr>
            </w:pPr>
          </w:p>
        </w:tc>
        <w:tc>
          <w:tcPr>
            <w:tcW w:w="5" w:type="pct"/>
            <w:shd w:val="clear" w:color="auto" w:fill="auto"/>
            <w:vAlign w:val="bottom"/>
          </w:tcPr>
          <w:p w14:paraId="27E07D81" w14:textId="77777777" w:rsidR="00A85061" w:rsidRDefault="00A85061">
            <w:pPr>
              <w:rPr>
                <w:rFonts w:ascii="宋体"/>
              </w:rPr>
            </w:pPr>
          </w:p>
        </w:tc>
      </w:tr>
      <w:tr w:rsidR="00A85061" w14:paraId="27E07D85" w14:textId="77777777">
        <w:tc>
          <w:tcPr>
            <w:tcW w:w="0" w:type="auto"/>
            <w:gridSpan w:val="3"/>
            <w:shd w:val="clear" w:color="auto" w:fill="auto"/>
            <w:tcMar>
              <w:top w:w="40" w:type="dxa"/>
              <w:left w:w="20" w:type="dxa"/>
              <w:bottom w:w="40" w:type="dxa"/>
              <w:right w:w="20" w:type="dxa"/>
            </w:tcMar>
            <w:vAlign w:val="bottom"/>
          </w:tcPr>
          <w:p w14:paraId="27E07D83" w14:textId="77777777" w:rsidR="00A85061" w:rsidRDefault="00F04891">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7E07D84" w14:textId="77777777" w:rsidR="00A85061" w:rsidRDefault="00F04891">
            <w:pPr>
              <w:jc w:val="center"/>
              <w:textAlignment w:val="bottom"/>
            </w:pPr>
            <w:r>
              <w:rPr>
                <w:rFonts w:ascii="sans-serif" w:eastAsia="sans-serif" w:hAnsi="sans-serif" w:cs="sans-serif"/>
                <w:b/>
                <w:bCs/>
                <w:color w:val="000000"/>
                <w:sz w:val="20"/>
                <w:szCs w:val="20"/>
              </w:rPr>
              <w:t>May 2, 2021</w:t>
            </w:r>
          </w:p>
        </w:tc>
      </w:tr>
      <w:tr w:rsidR="00A85061" w14:paraId="27E07D90" w14:textId="77777777">
        <w:trPr>
          <w:trHeight w:val="300"/>
        </w:trPr>
        <w:tc>
          <w:tcPr>
            <w:tcW w:w="0" w:type="auto"/>
            <w:gridSpan w:val="3"/>
            <w:shd w:val="clear" w:color="auto" w:fill="auto"/>
            <w:tcMar>
              <w:top w:w="0" w:type="dxa"/>
              <w:left w:w="20" w:type="dxa"/>
              <w:bottom w:w="0" w:type="dxa"/>
              <w:right w:w="20" w:type="dxa"/>
            </w:tcMar>
            <w:vAlign w:val="bottom"/>
          </w:tcPr>
          <w:p w14:paraId="27E07D86"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D87" w14:textId="77777777" w:rsidR="00A85061" w:rsidRDefault="00F04891">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88"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D89" w14:textId="77777777" w:rsidR="00A85061" w:rsidRDefault="00F04891">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8A"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D8B" w14:textId="77777777" w:rsidR="00A85061" w:rsidRDefault="00F04891">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8C"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D8D" w14:textId="77777777" w:rsidR="00A85061" w:rsidRDefault="00F04891">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8E" w14:textId="77777777" w:rsidR="00A85061" w:rsidRDefault="00A8506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7E07D8F" w14:textId="77777777" w:rsidR="00A85061" w:rsidRDefault="00F04891">
            <w:pPr>
              <w:jc w:val="center"/>
              <w:textAlignment w:val="bottom"/>
            </w:pPr>
            <w:r>
              <w:rPr>
                <w:rFonts w:ascii="sans-serif" w:eastAsia="sans-serif" w:hAnsi="sans-serif" w:cs="sans-serif"/>
                <w:b/>
                <w:bCs/>
                <w:color w:val="000000"/>
                <w:sz w:val="20"/>
                <w:szCs w:val="20"/>
              </w:rPr>
              <w:t>Reported as</w:t>
            </w:r>
          </w:p>
        </w:tc>
      </w:tr>
      <w:tr w:rsidR="00A85061" w14:paraId="27E07D9D" w14:textId="77777777">
        <w:trPr>
          <w:trHeight w:val="520"/>
        </w:trPr>
        <w:tc>
          <w:tcPr>
            <w:tcW w:w="0" w:type="auto"/>
            <w:gridSpan w:val="3"/>
            <w:shd w:val="clear" w:color="auto" w:fill="auto"/>
            <w:tcMar>
              <w:top w:w="40" w:type="dxa"/>
              <w:left w:w="20" w:type="dxa"/>
              <w:bottom w:w="40" w:type="dxa"/>
              <w:right w:w="20" w:type="dxa"/>
            </w:tcMar>
            <w:vAlign w:val="bottom"/>
          </w:tcPr>
          <w:p w14:paraId="27E07D91"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D92"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D93"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D94"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D95"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D96"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D97"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D98"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D99"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D9A" w14:textId="77777777" w:rsidR="00A85061" w:rsidRDefault="00F04891">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9B"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D9C" w14:textId="77777777" w:rsidR="00A85061" w:rsidRDefault="00F04891">
            <w:pPr>
              <w:jc w:val="center"/>
              <w:textAlignment w:val="bottom"/>
            </w:pPr>
            <w:r>
              <w:rPr>
                <w:rFonts w:ascii="sans-serif" w:eastAsia="sans-serif" w:hAnsi="sans-serif" w:cs="sans-serif"/>
                <w:b/>
                <w:bCs/>
                <w:color w:val="000000"/>
                <w:sz w:val="20"/>
                <w:szCs w:val="20"/>
              </w:rPr>
              <w:t>Marketable Securities</w:t>
            </w:r>
          </w:p>
        </w:tc>
      </w:tr>
      <w:tr w:rsidR="00A85061" w14:paraId="27E07DAA" w14:textId="77777777">
        <w:trPr>
          <w:trHeight w:val="60"/>
        </w:trPr>
        <w:tc>
          <w:tcPr>
            <w:tcW w:w="0" w:type="auto"/>
            <w:gridSpan w:val="3"/>
            <w:shd w:val="clear" w:color="auto" w:fill="auto"/>
            <w:tcMar>
              <w:top w:w="0" w:type="dxa"/>
              <w:left w:w="20" w:type="dxa"/>
              <w:bottom w:w="0" w:type="dxa"/>
              <w:right w:w="20" w:type="dxa"/>
            </w:tcMar>
            <w:vAlign w:val="bottom"/>
          </w:tcPr>
          <w:p w14:paraId="27E07D9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9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DA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A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DA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A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DA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A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DA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A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DA8"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DA9" w14:textId="77777777" w:rsidR="00A85061" w:rsidRDefault="00A85061">
            <w:pPr>
              <w:rPr>
                <w:rFonts w:ascii="宋体"/>
              </w:rPr>
            </w:pPr>
          </w:p>
        </w:tc>
      </w:tr>
      <w:tr w:rsidR="00A85061" w14:paraId="27E07DAD" w14:textId="77777777">
        <w:tc>
          <w:tcPr>
            <w:tcW w:w="0" w:type="auto"/>
            <w:gridSpan w:val="3"/>
            <w:shd w:val="clear" w:color="auto" w:fill="auto"/>
            <w:tcMar>
              <w:top w:w="40" w:type="dxa"/>
              <w:left w:w="20" w:type="dxa"/>
              <w:bottom w:w="40" w:type="dxa"/>
              <w:right w:w="20" w:type="dxa"/>
            </w:tcMar>
            <w:vAlign w:val="bottom"/>
          </w:tcPr>
          <w:p w14:paraId="27E07DAB" w14:textId="77777777" w:rsidR="00A85061" w:rsidRDefault="00F04891">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27E07DAC"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DC6" w14:textId="77777777">
        <w:tc>
          <w:tcPr>
            <w:tcW w:w="0" w:type="auto"/>
            <w:gridSpan w:val="3"/>
            <w:shd w:val="clear" w:color="auto" w:fill="E2EFD9"/>
            <w:tcMar>
              <w:top w:w="40" w:type="dxa"/>
              <w:left w:w="20" w:type="dxa"/>
              <w:bottom w:w="40" w:type="dxa"/>
              <w:right w:w="20" w:type="dxa"/>
            </w:tcMar>
            <w:vAlign w:val="bottom"/>
          </w:tcPr>
          <w:p w14:paraId="27E07DAE" w14:textId="77777777" w:rsidR="00A85061" w:rsidRDefault="00F04891">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27E07DA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B0" w14:textId="77777777" w:rsidR="00A85061" w:rsidRDefault="00F04891">
            <w:pPr>
              <w:jc w:val="right"/>
              <w:textAlignment w:val="bottom"/>
            </w:pPr>
            <w:r>
              <w:rPr>
                <w:rFonts w:ascii="sans-serif" w:eastAsia="sans-serif" w:hAnsi="sans-serif" w:cs="sans-serif"/>
                <w:color w:val="000000"/>
                <w:sz w:val="20"/>
                <w:szCs w:val="20"/>
              </w:rPr>
              <w:t>5,240 </w:t>
            </w:r>
          </w:p>
        </w:tc>
        <w:tc>
          <w:tcPr>
            <w:tcW w:w="0" w:type="auto"/>
            <w:shd w:val="clear" w:color="auto" w:fill="E2EFD9"/>
            <w:tcMar>
              <w:top w:w="40" w:type="dxa"/>
              <w:left w:w="0" w:type="dxa"/>
              <w:bottom w:w="40" w:type="dxa"/>
              <w:right w:w="20" w:type="dxa"/>
            </w:tcMar>
            <w:vAlign w:val="bottom"/>
          </w:tcPr>
          <w:p w14:paraId="27E07DB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B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DB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B4" w14:textId="77777777" w:rsidR="00A85061" w:rsidRDefault="00F04891">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27E07DB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B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DB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B8"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DB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B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DB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BC" w14:textId="77777777" w:rsidR="00A85061" w:rsidRDefault="00F04891">
            <w:pPr>
              <w:jc w:val="right"/>
              <w:textAlignment w:val="bottom"/>
            </w:pPr>
            <w:r>
              <w:rPr>
                <w:rFonts w:ascii="sans-serif" w:eastAsia="sans-serif" w:hAnsi="sans-serif" w:cs="sans-serif"/>
                <w:color w:val="000000"/>
                <w:sz w:val="20"/>
                <w:szCs w:val="20"/>
              </w:rPr>
              <w:t>5,242 </w:t>
            </w:r>
          </w:p>
        </w:tc>
        <w:tc>
          <w:tcPr>
            <w:tcW w:w="0" w:type="auto"/>
            <w:shd w:val="clear" w:color="auto" w:fill="E2EFD9"/>
            <w:tcMar>
              <w:top w:w="40" w:type="dxa"/>
              <w:left w:w="0" w:type="dxa"/>
              <w:bottom w:w="40" w:type="dxa"/>
              <w:right w:w="20" w:type="dxa"/>
            </w:tcMar>
            <w:vAlign w:val="bottom"/>
          </w:tcPr>
          <w:p w14:paraId="27E07DB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B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DB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C0" w14:textId="77777777" w:rsidR="00A85061" w:rsidRDefault="00F04891">
            <w:pPr>
              <w:jc w:val="right"/>
              <w:textAlignment w:val="bottom"/>
            </w:pPr>
            <w:r>
              <w:rPr>
                <w:rFonts w:ascii="sans-serif" w:eastAsia="sans-serif" w:hAnsi="sans-serif" w:cs="sans-serif"/>
                <w:color w:val="000000"/>
                <w:sz w:val="20"/>
                <w:szCs w:val="20"/>
              </w:rPr>
              <w:t>323 </w:t>
            </w:r>
          </w:p>
        </w:tc>
        <w:tc>
          <w:tcPr>
            <w:tcW w:w="0" w:type="auto"/>
            <w:shd w:val="clear" w:color="auto" w:fill="E2EFD9"/>
            <w:tcMar>
              <w:top w:w="40" w:type="dxa"/>
              <w:left w:w="0" w:type="dxa"/>
              <w:bottom w:w="40" w:type="dxa"/>
              <w:right w:w="20" w:type="dxa"/>
            </w:tcMar>
            <w:vAlign w:val="bottom"/>
          </w:tcPr>
          <w:p w14:paraId="27E07DC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C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DC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DC4" w14:textId="77777777" w:rsidR="00A85061" w:rsidRDefault="00F04891">
            <w:pPr>
              <w:jc w:val="right"/>
              <w:textAlignment w:val="bottom"/>
            </w:pPr>
            <w:r>
              <w:rPr>
                <w:rFonts w:ascii="sans-serif" w:eastAsia="sans-serif" w:hAnsi="sans-serif" w:cs="sans-serif"/>
                <w:color w:val="000000"/>
                <w:sz w:val="20"/>
                <w:szCs w:val="20"/>
              </w:rPr>
              <w:t>4,919 </w:t>
            </w:r>
          </w:p>
        </w:tc>
        <w:tc>
          <w:tcPr>
            <w:tcW w:w="0" w:type="auto"/>
            <w:shd w:val="clear" w:color="auto" w:fill="E2EFD9"/>
            <w:tcMar>
              <w:top w:w="40" w:type="dxa"/>
              <w:left w:w="0" w:type="dxa"/>
              <w:bottom w:w="40" w:type="dxa"/>
              <w:right w:w="20" w:type="dxa"/>
            </w:tcMar>
            <w:vAlign w:val="bottom"/>
          </w:tcPr>
          <w:p w14:paraId="27E07DC5" w14:textId="77777777" w:rsidR="00A85061" w:rsidRDefault="00A85061">
            <w:pPr>
              <w:jc w:val="right"/>
              <w:rPr>
                <w:rFonts w:ascii="宋体"/>
              </w:rPr>
            </w:pPr>
          </w:p>
        </w:tc>
      </w:tr>
      <w:tr w:rsidR="00A85061" w14:paraId="27E07DD9" w14:textId="77777777">
        <w:tc>
          <w:tcPr>
            <w:tcW w:w="0" w:type="auto"/>
            <w:gridSpan w:val="3"/>
            <w:shd w:val="clear" w:color="auto" w:fill="FFFFFF"/>
            <w:tcMar>
              <w:top w:w="40" w:type="dxa"/>
              <w:left w:w="20" w:type="dxa"/>
              <w:bottom w:w="40" w:type="dxa"/>
              <w:right w:w="20" w:type="dxa"/>
            </w:tcMar>
            <w:vAlign w:val="bottom"/>
          </w:tcPr>
          <w:p w14:paraId="27E07DC7" w14:textId="77777777" w:rsidR="00A85061" w:rsidRDefault="00F04891">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27E07DC8" w14:textId="77777777" w:rsidR="00A85061" w:rsidRDefault="00F04891">
            <w:pPr>
              <w:jc w:val="right"/>
              <w:textAlignment w:val="bottom"/>
            </w:pPr>
            <w:r>
              <w:rPr>
                <w:rFonts w:ascii="sans-serif" w:eastAsia="sans-serif" w:hAnsi="sans-serif" w:cs="sans-serif"/>
                <w:color w:val="000000"/>
                <w:sz w:val="20"/>
                <w:szCs w:val="20"/>
              </w:rPr>
              <w:t>3,045 </w:t>
            </w:r>
          </w:p>
        </w:tc>
        <w:tc>
          <w:tcPr>
            <w:tcW w:w="0" w:type="auto"/>
            <w:shd w:val="clear" w:color="auto" w:fill="FFFFFF"/>
            <w:tcMar>
              <w:top w:w="40" w:type="dxa"/>
              <w:left w:w="0" w:type="dxa"/>
              <w:bottom w:w="40" w:type="dxa"/>
              <w:right w:w="20" w:type="dxa"/>
            </w:tcMar>
            <w:vAlign w:val="bottom"/>
          </w:tcPr>
          <w:p w14:paraId="27E07DC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C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CB"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27E07DC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C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CE"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DC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D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D1" w14:textId="77777777" w:rsidR="00A85061" w:rsidRDefault="00F04891">
            <w:pPr>
              <w:jc w:val="right"/>
              <w:textAlignment w:val="bottom"/>
            </w:pPr>
            <w:r>
              <w:rPr>
                <w:rFonts w:ascii="sans-serif" w:eastAsia="sans-serif" w:hAnsi="sans-serif" w:cs="sans-serif"/>
                <w:color w:val="000000"/>
                <w:sz w:val="20"/>
                <w:szCs w:val="20"/>
              </w:rPr>
              <w:t>3,046 </w:t>
            </w:r>
          </w:p>
        </w:tc>
        <w:tc>
          <w:tcPr>
            <w:tcW w:w="0" w:type="auto"/>
            <w:shd w:val="clear" w:color="auto" w:fill="FFFFFF"/>
            <w:tcMar>
              <w:top w:w="40" w:type="dxa"/>
              <w:left w:w="0" w:type="dxa"/>
              <w:bottom w:w="40" w:type="dxa"/>
              <w:right w:w="20" w:type="dxa"/>
            </w:tcMar>
            <w:vAlign w:val="bottom"/>
          </w:tcPr>
          <w:p w14:paraId="27E07DD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D3"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D4"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DD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D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D7" w14:textId="77777777" w:rsidR="00A85061" w:rsidRDefault="00F04891">
            <w:pPr>
              <w:jc w:val="right"/>
              <w:textAlignment w:val="bottom"/>
            </w:pPr>
            <w:r>
              <w:rPr>
                <w:rFonts w:ascii="sans-serif" w:eastAsia="sans-serif" w:hAnsi="sans-serif" w:cs="sans-serif"/>
                <w:color w:val="000000"/>
                <w:sz w:val="20"/>
                <w:szCs w:val="20"/>
              </w:rPr>
              <w:t>3,046 </w:t>
            </w:r>
          </w:p>
        </w:tc>
        <w:tc>
          <w:tcPr>
            <w:tcW w:w="0" w:type="auto"/>
            <w:shd w:val="clear" w:color="auto" w:fill="FFFFFF"/>
            <w:tcMar>
              <w:top w:w="40" w:type="dxa"/>
              <w:left w:w="0" w:type="dxa"/>
              <w:bottom w:w="40" w:type="dxa"/>
              <w:right w:w="20" w:type="dxa"/>
            </w:tcMar>
            <w:vAlign w:val="bottom"/>
          </w:tcPr>
          <w:p w14:paraId="27E07DD8" w14:textId="77777777" w:rsidR="00A85061" w:rsidRDefault="00A85061">
            <w:pPr>
              <w:jc w:val="right"/>
              <w:rPr>
                <w:rFonts w:ascii="宋体"/>
              </w:rPr>
            </w:pPr>
          </w:p>
        </w:tc>
      </w:tr>
      <w:tr w:rsidR="00A85061" w14:paraId="27E07DEC" w14:textId="77777777">
        <w:tc>
          <w:tcPr>
            <w:tcW w:w="0" w:type="auto"/>
            <w:gridSpan w:val="3"/>
            <w:shd w:val="clear" w:color="auto" w:fill="E2EFD9"/>
            <w:tcMar>
              <w:top w:w="40" w:type="dxa"/>
              <w:left w:w="20" w:type="dxa"/>
              <w:bottom w:w="40" w:type="dxa"/>
              <w:right w:w="20" w:type="dxa"/>
            </w:tcMar>
            <w:vAlign w:val="bottom"/>
          </w:tcPr>
          <w:p w14:paraId="27E07DDA" w14:textId="77777777" w:rsidR="00A85061" w:rsidRDefault="00F04891">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27E07DDB" w14:textId="77777777" w:rsidR="00A85061" w:rsidRDefault="00F04891">
            <w:pPr>
              <w:jc w:val="right"/>
              <w:textAlignment w:val="bottom"/>
            </w:pPr>
            <w:r>
              <w:rPr>
                <w:rFonts w:ascii="sans-serif" w:eastAsia="sans-serif" w:hAnsi="sans-serif" w:cs="sans-serif"/>
                <w:color w:val="000000"/>
                <w:sz w:val="20"/>
                <w:szCs w:val="20"/>
              </w:rPr>
              <w:t>2,820 </w:t>
            </w:r>
          </w:p>
        </w:tc>
        <w:tc>
          <w:tcPr>
            <w:tcW w:w="0" w:type="auto"/>
            <w:shd w:val="clear" w:color="auto" w:fill="E2EFD9"/>
            <w:tcMar>
              <w:top w:w="40" w:type="dxa"/>
              <w:left w:w="0" w:type="dxa"/>
              <w:bottom w:w="40" w:type="dxa"/>
              <w:right w:w="20" w:type="dxa"/>
            </w:tcMar>
            <w:vAlign w:val="bottom"/>
          </w:tcPr>
          <w:p w14:paraId="27E07DD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D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DDE"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27E07DD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E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DE1"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DE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E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DE4" w14:textId="77777777" w:rsidR="00A85061" w:rsidRDefault="00F04891">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27E07DE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E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DE7"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DE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DE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DEA" w14:textId="77777777" w:rsidR="00A85061" w:rsidRDefault="00F04891">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27E07DEB" w14:textId="77777777" w:rsidR="00A85061" w:rsidRDefault="00A85061">
            <w:pPr>
              <w:jc w:val="right"/>
              <w:rPr>
                <w:rFonts w:ascii="宋体"/>
              </w:rPr>
            </w:pPr>
          </w:p>
        </w:tc>
      </w:tr>
      <w:tr w:rsidR="00A85061" w14:paraId="27E07DFF" w14:textId="77777777">
        <w:tc>
          <w:tcPr>
            <w:tcW w:w="0" w:type="auto"/>
            <w:gridSpan w:val="3"/>
            <w:shd w:val="clear" w:color="auto" w:fill="FFFFFF"/>
            <w:tcMar>
              <w:top w:w="40" w:type="dxa"/>
              <w:left w:w="20" w:type="dxa"/>
              <w:bottom w:w="40" w:type="dxa"/>
              <w:right w:w="20" w:type="dxa"/>
            </w:tcMar>
            <w:vAlign w:val="bottom"/>
          </w:tcPr>
          <w:p w14:paraId="27E07DED" w14:textId="77777777" w:rsidR="00A85061" w:rsidRDefault="00F04891">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27E07DEE" w14:textId="77777777" w:rsidR="00A85061" w:rsidRDefault="00F04891">
            <w:pPr>
              <w:jc w:val="right"/>
              <w:textAlignment w:val="bottom"/>
            </w:pPr>
            <w:r>
              <w:rPr>
                <w:rFonts w:ascii="sans-serif" w:eastAsia="sans-serif" w:hAnsi="sans-serif" w:cs="sans-serif"/>
                <w:color w:val="000000"/>
                <w:sz w:val="20"/>
                <w:szCs w:val="20"/>
              </w:rPr>
              <w:t>884 </w:t>
            </w:r>
          </w:p>
        </w:tc>
        <w:tc>
          <w:tcPr>
            <w:tcW w:w="0" w:type="auto"/>
            <w:shd w:val="clear" w:color="auto" w:fill="FFFFFF"/>
            <w:tcMar>
              <w:top w:w="40" w:type="dxa"/>
              <w:left w:w="0" w:type="dxa"/>
              <w:bottom w:w="40" w:type="dxa"/>
              <w:right w:w="20" w:type="dxa"/>
            </w:tcMar>
            <w:vAlign w:val="bottom"/>
          </w:tcPr>
          <w:p w14:paraId="27E07DE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F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F1"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DF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F3"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F4"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DF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F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F7" w14:textId="77777777" w:rsidR="00A85061" w:rsidRDefault="00F04891">
            <w:pPr>
              <w:jc w:val="right"/>
              <w:textAlignment w:val="bottom"/>
            </w:pPr>
            <w:r>
              <w:rPr>
                <w:rFonts w:ascii="sans-serif" w:eastAsia="sans-serif" w:hAnsi="sans-serif" w:cs="sans-serif"/>
                <w:color w:val="000000"/>
                <w:sz w:val="20"/>
                <w:szCs w:val="20"/>
              </w:rPr>
              <w:t>884 </w:t>
            </w:r>
          </w:p>
        </w:tc>
        <w:tc>
          <w:tcPr>
            <w:tcW w:w="0" w:type="auto"/>
            <w:shd w:val="clear" w:color="auto" w:fill="FFFFFF"/>
            <w:tcMar>
              <w:top w:w="40" w:type="dxa"/>
              <w:left w:w="0" w:type="dxa"/>
              <w:bottom w:w="40" w:type="dxa"/>
              <w:right w:w="20" w:type="dxa"/>
            </w:tcMar>
            <w:vAlign w:val="bottom"/>
          </w:tcPr>
          <w:p w14:paraId="27E07DF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F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FA" w14:textId="77777777" w:rsidR="00A85061" w:rsidRDefault="00F04891">
            <w:pPr>
              <w:jc w:val="right"/>
              <w:textAlignment w:val="bottom"/>
            </w:pPr>
            <w:r>
              <w:rPr>
                <w:rFonts w:ascii="sans-serif" w:eastAsia="sans-serif" w:hAnsi="sans-serif" w:cs="sans-serif"/>
                <w:color w:val="000000"/>
                <w:sz w:val="20"/>
                <w:szCs w:val="20"/>
              </w:rPr>
              <w:t>48 </w:t>
            </w:r>
          </w:p>
        </w:tc>
        <w:tc>
          <w:tcPr>
            <w:tcW w:w="0" w:type="auto"/>
            <w:shd w:val="clear" w:color="auto" w:fill="FFFFFF"/>
            <w:tcMar>
              <w:top w:w="40" w:type="dxa"/>
              <w:left w:w="0" w:type="dxa"/>
              <w:bottom w:w="40" w:type="dxa"/>
              <w:right w:w="20" w:type="dxa"/>
            </w:tcMar>
            <w:vAlign w:val="bottom"/>
          </w:tcPr>
          <w:p w14:paraId="27E07DF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DF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DFD" w14:textId="77777777" w:rsidR="00A85061" w:rsidRDefault="00F04891">
            <w:pPr>
              <w:jc w:val="right"/>
              <w:textAlignment w:val="bottom"/>
            </w:pPr>
            <w:r>
              <w:rPr>
                <w:rFonts w:ascii="sans-serif" w:eastAsia="sans-serif" w:hAnsi="sans-serif" w:cs="sans-serif"/>
                <w:color w:val="000000"/>
                <w:sz w:val="20"/>
                <w:szCs w:val="20"/>
              </w:rPr>
              <w:t>836 </w:t>
            </w:r>
          </w:p>
        </w:tc>
        <w:tc>
          <w:tcPr>
            <w:tcW w:w="0" w:type="auto"/>
            <w:shd w:val="clear" w:color="auto" w:fill="FFFFFF"/>
            <w:tcMar>
              <w:top w:w="40" w:type="dxa"/>
              <w:left w:w="0" w:type="dxa"/>
              <w:bottom w:w="40" w:type="dxa"/>
              <w:right w:w="20" w:type="dxa"/>
            </w:tcMar>
            <w:vAlign w:val="bottom"/>
          </w:tcPr>
          <w:p w14:paraId="27E07DFE" w14:textId="77777777" w:rsidR="00A85061" w:rsidRDefault="00A85061">
            <w:pPr>
              <w:jc w:val="right"/>
              <w:rPr>
                <w:rFonts w:ascii="宋体"/>
              </w:rPr>
            </w:pPr>
          </w:p>
        </w:tc>
      </w:tr>
      <w:tr w:rsidR="00A85061" w14:paraId="27E07E12" w14:textId="77777777">
        <w:tc>
          <w:tcPr>
            <w:tcW w:w="0" w:type="auto"/>
            <w:gridSpan w:val="3"/>
            <w:shd w:val="clear" w:color="auto" w:fill="E2EFD9"/>
            <w:tcMar>
              <w:top w:w="40" w:type="dxa"/>
              <w:left w:w="20" w:type="dxa"/>
              <w:bottom w:w="40" w:type="dxa"/>
              <w:right w:w="20" w:type="dxa"/>
            </w:tcMar>
            <w:vAlign w:val="bottom"/>
          </w:tcPr>
          <w:p w14:paraId="27E07E00" w14:textId="77777777" w:rsidR="00A85061" w:rsidRDefault="00F04891">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27E07E01" w14:textId="77777777" w:rsidR="00A85061" w:rsidRDefault="00F04891">
            <w:pPr>
              <w:jc w:val="right"/>
              <w:textAlignment w:val="bottom"/>
            </w:pPr>
            <w:r>
              <w:rPr>
                <w:rFonts w:ascii="sans-serif" w:eastAsia="sans-serif" w:hAnsi="sans-serif" w:cs="sans-serif"/>
                <w:color w:val="000000"/>
                <w:sz w:val="20"/>
                <w:szCs w:val="20"/>
              </w:rPr>
              <w:t>319 </w:t>
            </w:r>
          </w:p>
        </w:tc>
        <w:tc>
          <w:tcPr>
            <w:tcW w:w="0" w:type="auto"/>
            <w:shd w:val="clear" w:color="auto" w:fill="E2EFD9"/>
            <w:tcMar>
              <w:top w:w="40" w:type="dxa"/>
              <w:left w:w="0" w:type="dxa"/>
              <w:bottom w:w="40" w:type="dxa"/>
              <w:right w:w="20" w:type="dxa"/>
            </w:tcMar>
            <w:vAlign w:val="bottom"/>
          </w:tcPr>
          <w:p w14:paraId="27E07E0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0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04"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0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0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07"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0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0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0A" w14:textId="77777777" w:rsidR="00A85061" w:rsidRDefault="00F04891">
            <w:pPr>
              <w:jc w:val="right"/>
              <w:textAlignment w:val="bottom"/>
            </w:pPr>
            <w:r>
              <w:rPr>
                <w:rFonts w:ascii="sans-serif" w:eastAsia="sans-serif" w:hAnsi="sans-serif" w:cs="sans-serif"/>
                <w:color w:val="000000"/>
                <w:sz w:val="20"/>
                <w:szCs w:val="20"/>
              </w:rPr>
              <w:t>319 </w:t>
            </w:r>
          </w:p>
        </w:tc>
        <w:tc>
          <w:tcPr>
            <w:tcW w:w="0" w:type="auto"/>
            <w:shd w:val="clear" w:color="auto" w:fill="E2EFD9"/>
            <w:tcMar>
              <w:top w:w="40" w:type="dxa"/>
              <w:left w:w="0" w:type="dxa"/>
              <w:bottom w:w="40" w:type="dxa"/>
              <w:right w:w="20" w:type="dxa"/>
            </w:tcMar>
            <w:vAlign w:val="bottom"/>
          </w:tcPr>
          <w:p w14:paraId="27E07E0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0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0D" w14:textId="77777777" w:rsidR="00A85061" w:rsidRDefault="00F04891">
            <w:pPr>
              <w:jc w:val="right"/>
              <w:textAlignment w:val="bottom"/>
            </w:pPr>
            <w:r>
              <w:rPr>
                <w:rFonts w:ascii="sans-serif" w:eastAsia="sans-serif" w:hAnsi="sans-serif" w:cs="sans-serif"/>
                <w:color w:val="000000"/>
                <w:sz w:val="20"/>
                <w:szCs w:val="20"/>
              </w:rPr>
              <w:t>319 </w:t>
            </w:r>
          </w:p>
        </w:tc>
        <w:tc>
          <w:tcPr>
            <w:tcW w:w="0" w:type="auto"/>
            <w:shd w:val="clear" w:color="auto" w:fill="E2EFD9"/>
            <w:tcMar>
              <w:top w:w="40" w:type="dxa"/>
              <w:left w:w="0" w:type="dxa"/>
              <w:bottom w:w="40" w:type="dxa"/>
              <w:right w:w="20" w:type="dxa"/>
            </w:tcMar>
            <w:vAlign w:val="bottom"/>
          </w:tcPr>
          <w:p w14:paraId="27E07E0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0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10"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11" w14:textId="77777777" w:rsidR="00A85061" w:rsidRDefault="00A85061">
            <w:pPr>
              <w:jc w:val="right"/>
              <w:rPr>
                <w:rFonts w:ascii="宋体"/>
              </w:rPr>
            </w:pPr>
          </w:p>
        </w:tc>
      </w:tr>
      <w:tr w:rsidR="00A85061" w14:paraId="27E07E25" w14:textId="77777777">
        <w:tc>
          <w:tcPr>
            <w:tcW w:w="0" w:type="auto"/>
            <w:gridSpan w:val="3"/>
            <w:shd w:val="clear" w:color="auto" w:fill="FFFFFF"/>
            <w:tcMar>
              <w:top w:w="40" w:type="dxa"/>
              <w:left w:w="20" w:type="dxa"/>
              <w:bottom w:w="40" w:type="dxa"/>
              <w:right w:w="20" w:type="dxa"/>
            </w:tcMar>
            <w:vAlign w:val="bottom"/>
          </w:tcPr>
          <w:p w14:paraId="27E07E13" w14:textId="77777777" w:rsidR="00A85061" w:rsidRDefault="00F04891">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27E07E14"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E1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1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17"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1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1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1A"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1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1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1D"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E1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1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20"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2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2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23"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E24" w14:textId="77777777" w:rsidR="00A85061" w:rsidRDefault="00A85061">
            <w:pPr>
              <w:jc w:val="right"/>
              <w:rPr>
                <w:rFonts w:ascii="宋体"/>
              </w:rPr>
            </w:pPr>
          </w:p>
        </w:tc>
      </w:tr>
      <w:tr w:rsidR="00A85061" w14:paraId="27E07E32" w14:textId="77777777">
        <w:trPr>
          <w:hidden/>
        </w:trPr>
        <w:tc>
          <w:tcPr>
            <w:tcW w:w="0" w:type="auto"/>
            <w:gridSpan w:val="3"/>
            <w:shd w:val="clear" w:color="auto" w:fill="auto"/>
            <w:vAlign w:val="bottom"/>
          </w:tcPr>
          <w:p w14:paraId="27E07E26" w14:textId="77777777" w:rsidR="00A85061" w:rsidRDefault="00A85061">
            <w:pPr>
              <w:rPr>
                <w:rFonts w:ascii="宋体"/>
                <w:vanish/>
              </w:rPr>
            </w:pPr>
          </w:p>
        </w:tc>
        <w:tc>
          <w:tcPr>
            <w:tcW w:w="0" w:type="auto"/>
            <w:gridSpan w:val="3"/>
            <w:shd w:val="clear" w:color="auto" w:fill="auto"/>
            <w:vAlign w:val="bottom"/>
          </w:tcPr>
          <w:p w14:paraId="27E07E27" w14:textId="77777777" w:rsidR="00A85061" w:rsidRDefault="00A85061">
            <w:pPr>
              <w:rPr>
                <w:rFonts w:ascii="宋体"/>
                <w:vanish/>
              </w:rPr>
            </w:pPr>
          </w:p>
        </w:tc>
        <w:tc>
          <w:tcPr>
            <w:tcW w:w="0" w:type="auto"/>
            <w:gridSpan w:val="3"/>
            <w:shd w:val="clear" w:color="auto" w:fill="auto"/>
            <w:vAlign w:val="bottom"/>
          </w:tcPr>
          <w:p w14:paraId="27E07E28" w14:textId="77777777" w:rsidR="00A85061" w:rsidRDefault="00A85061">
            <w:pPr>
              <w:rPr>
                <w:rFonts w:ascii="宋体"/>
                <w:vanish/>
              </w:rPr>
            </w:pPr>
          </w:p>
        </w:tc>
        <w:tc>
          <w:tcPr>
            <w:tcW w:w="0" w:type="auto"/>
            <w:gridSpan w:val="3"/>
            <w:shd w:val="clear" w:color="auto" w:fill="auto"/>
            <w:vAlign w:val="bottom"/>
          </w:tcPr>
          <w:p w14:paraId="27E07E29" w14:textId="77777777" w:rsidR="00A85061" w:rsidRDefault="00A85061">
            <w:pPr>
              <w:rPr>
                <w:rFonts w:ascii="宋体"/>
                <w:vanish/>
              </w:rPr>
            </w:pPr>
          </w:p>
        </w:tc>
        <w:tc>
          <w:tcPr>
            <w:tcW w:w="0" w:type="auto"/>
            <w:gridSpan w:val="3"/>
            <w:shd w:val="clear" w:color="auto" w:fill="auto"/>
            <w:vAlign w:val="bottom"/>
          </w:tcPr>
          <w:p w14:paraId="27E07E2A" w14:textId="77777777" w:rsidR="00A85061" w:rsidRDefault="00A85061">
            <w:pPr>
              <w:rPr>
                <w:rFonts w:ascii="宋体"/>
                <w:vanish/>
              </w:rPr>
            </w:pPr>
          </w:p>
        </w:tc>
        <w:tc>
          <w:tcPr>
            <w:tcW w:w="0" w:type="auto"/>
            <w:gridSpan w:val="3"/>
            <w:shd w:val="clear" w:color="auto" w:fill="auto"/>
            <w:vAlign w:val="bottom"/>
          </w:tcPr>
          <w:p w14:paraId="27E07E2B" w14:textId="77777777" w:rsidR="00A85061" w:rsidRDefault="00A85061">
            <w:pPr>
              <w:rPr>
                <w:rFonts w:ascii="宋体"/>
                <w:vanish/>
              </w:rPr>
            </w:pPr>
          </w:p>
        </w:tc>
        <w:tc>
          <w:tcPr>
            <w:tcW w:w="0" w:type="auto"/>
            <w:gridSpan w:val="3"/>
            <w:shd w:val="clear" w:color="auto" w:fill="auto"/>
            <w:vAlign w:val="bottom"/>
          </w:tcPr>
          <w:p w14:paraId="27E07E2C" w14:textId="77777777" w:rsidR="00A85061" w:rsidRDefault="00A85061">
            <w:pPr>
              <w:rPr>
                <w:rFonts w:ascii="宋体"/>
                <w:vanish/>
              </w:rPr>
            </w:pPr>
          </w:p>
        </w:tc>
        <w:tc>
          <w:tcPr>
            <w:tcW w:w="0" w:type="auto"/>
            <w:gridSpan w:val="3"/>
            <w:shd w:val="clear" w:color="auto" w:fill="auto"/>
            <w:vAlign w:val="bottom"/>
          </w:tcPr>
          <w:p w14:paraId="27E07E2D" w14:textId="77777777" w:rsidR="00A85061" w:rsidRDefault="00A85061">
            <w:pPr>
              <w:rPr>
                <w:rFonts w:ascii="宋体"/>
                <w:vanish/>
              </w:rPr>
            </w:pPr>
          </w:p>
        </w:tc>
        <w:tc>
          <w:tcPr>
            <w:tcW w:w="0" w:type="auto"/>
            <w:gridSpan w:val="3"/>
            <w:shd w:val="clear" w:color="auto" w:fill="auto"/>
            <w:vAlign w:val="bottom"/>
          </w:tcPr>
          <w:p w14:paraId="27E07E2E" w14:textId="77777777" w:rsidR="00A85061" w:rsidRDefault="00A85061">
            <w:pPr>
              <w:rPr>
                <w:rFonts w:ascii="宋体"/>
                <w:vanish/>
              </w:rPr>
            </w:pPr>
          </w:p>
        </w:tc>
        <w:tc>
          <w:tcPr>
            <w:tcW w:w="0" w:type="auto"/>
            <w:gridSpan w:val="3"/>
            <w:shd w:val="clear" w:color="auto" w:fill="auto"/>
            <w:vAlign w:val="bottom"/>
          </w:tcPr>
          <w:p w14:paraId="27E07E2F" w14:textId="77777777" w:rsidR="00A85061" w:rsidRDefault="00A85061">
            <w:pPr>
              <w:rPr>
                <w:rFonts w:ascii="宋体"/>
                <w:vanish/>
              </w:rPr>
            </w:pPr>
          </w:p>
        </w:tc>
        <w:tc>
          <w:tcPr>
            <w:tcW w:w="0" w:type="auto"/>
            <w:gridSpan w:val="3"/>
            <w:shd w:val="clear" w:color="auto" w:fill="auto"/>
            <w:vAlign w:val="bottom"/>
          </w:tcPr>
          <w:p w14:paraId="27E07E30" w14:textId="77777777" w:rsidR="00A85061" w:rsidRDefault="00A85061">
            <w:pPr>
              <w:rPr>
                <w:rFonts w:ascii="宋体"/>
                <w:vanish/>
              </w:rPr>
            </w:pPr>
          </w:p>
        </w:tc>
        <w:tc>
          <w:tcPr>
            <w:tcW w:w="0" w:type="auto"/>
            <w:gridSpan w:val="3"/>
            <w:shd w:val="clear" w:color="auto" w:fill="auto"/>
            <w:vAlign w:val="bottom"/>
          </w:tcPr>
          <w:p w14:paraId="27E07E31" w14:textId="77777777" w:rsidR="00A85061" w:rsidRDefault="00A85061">
            <w:pPr>
              <w:rPr>
                <w:rFonts w:ascii="宋体"/>
                <w:vanish/>
              </w:rPr>
            </w:pPr>
          </w:p>
        </w:tc>
      </w:tr>
      <w:tr w:rsidR="00A85061" w14:paraId="27E07E3F" w14:textId="77777777">
        <w:trPr>
          <w:hidden/>
        </w:trPr>
        <w:tc>
          <w:tcPr>
            <w:tcW w:w="0" w:type="auto"/>
            <w:gridSpan w:val="3"/>
            <w:shd w:val="clear" w:color="auto" w:fill="auto"/>
            <w:vAlign w:val="bottom"/>
          </w:tcPr>
          <w:p w14:paraId="27E07E33" w14:textId="77777777" w:rsidR="00A85061" w:rsidRDefault="00A85061">
            <w:pPr>
              <w:rPr>
                <w:rFonts w:ascii="宋体"/>
                <w:vanish/>
              </w:rPr>
            </w:pPr>
          </w:p>
        </w:tc>
        <w:tc>
          <w:tcPr>
            <w:tcW w:w="0" w:type="auto"/>
            <w:gridSpan w:val="3"/>
            <w:shd w:val="clear" w:color="auto" w:fill="auto"/>
            <w:vAlign w:val="bottom"/>
          </w:tcPr>
          <w:p w14:paraId="27E07E34" w14:textId="77777777" w:rsidR="00A85061" w:rsidRDefault="00A85061">
            <w:pPr>
              <w:rPr>
                <w:rFonts w:ascii="宋体"/>
                <w:vanish/>
              </w:rPr>
            </w:pPr>
          </w:p>
        </w:tc>
        <w:tc>
          <w:tcPr>
            <w:tcW w:w="0" w:type="auto"/>
            <w:gridSpan w:val="3"/>
            <w:shd w:val="clear" w:color="auto" w:fill="auto"/>
            <w:vAlign w:val="bottom"/>
          </w:tcPr>
          <w:p w14:paraId="27E07E35" w14:textId="77777777" w:rsidR="00A85061" w:rsidRDefault="00A85061">
            <w:pPr>
              <w:rPr>
                <w:rFonts w:ascii="宋体"/>
                <w:vanish/>
              </w:rPr>
            </w:pPr>
          </w:p>
        </w:tc>
        <w:tc>
          <w:tcPr>
            <w:tcW w:w="0" w:type="auto"/>
            <w:gridSpan w:val="3"/>
            <w:shd w:val="clear" w:color="auto" w:fill="auto"/>
            <w:vAlign w:val="bottom"/>
          </w:tcPr>
          <w:p w14:paraId="27E07E36" w14:textId="77777777" w:rsidR="00A85061" w:rsidRDefault="00A85061">
            <w:pPr>
              <w:rPr>
                <w:rFonts w:ascii="宋体"/>
                <w:vanish/>
              </w:rPr>
            </w:pPr>
          </w:p>
        </w:tc>
        <w:tc>
          <w:tcPr>
            <w:tcW w:w="0" w:type="auto"/>
            <w:gridSpan w:val="3"/>
            <w:shd w:val="clear" w:color="auto" w:fill="auto"/>
            <w:vAlign w:val="bottom"/>
          </w:tcPr>
          <w:p w14:paraId="27E07E37" w14:textId="77777777" w:rsidR="00A85061" w:rsidRDefault="00A85061">
            <w:pPr>
              <w:rPr>
                <w:rFonts w:ascii="宋体"/>
                <w:vanish/>
              </w:rPr>
            </w:pPr>
          </w:p>
        </w:tc>
        <w:tc>
          <w:tcPr>
            <w:tcW w:w="0" w:type="auto"/>
            <w:gridSpan w:val="3"/>
            <w:shd w:val="clear" w:color="auto" w:fill="auto"/>
            <w:vAlign w:val="bottom"/>
          </w:tcPr>
          <w:p w14:paraId="27E07E38" w14:textId="77777777" w:rsidR="00A85061" w:rsidRDefault="00A85061">
            <w:pPr>
              <w:rPr>
                <w:rFonts w:ascii="宋体"/>
                <w:vanish/>
              </w:rPr>
            </w:pPr>
          </w:p>
        </w:tc>
        <w:tc>
          <w:tcPr>
            <w:tcW w:w="0" w:type="auto"/>
            <w:gridSpan w:val="3"/>
            <w:shd w:val="clear" w:color="auto" w:fill="auto"/>
            <w:vAlign w:val="bottom"/>
          </w:tcPr>
          <w:p w14:paraId="27E07E39" w14:textId="77777777" w:rsidR="00A85061" w:rsidRDefault="00A85061">
            <w:pPr>
              <w:rPr>
                <w:rFonts w:ascii="宋体"/>
                <w:vanish/>
              </w:rPr>
            </w:pPr>
          </w:p>
        </w:tc>
        <w:tc>
          <w:tcPr>
            <w:tcW w:w="0" w:type="auto"/>
            <w:gridSpan w:val="3"/>
            <w:shd w:val="clear" w:color="auto" w:fill="auto"/>
            <w:vAlign w:val="bottom"/>
          </w:tcPr>
          <w:p w14:paraId="27E07E3A" w14:textId="77777777" w:rsidR="00A85061" w:rsidRDefault="00A85061">
            <w:pPr>
              <w:rPr>
                <w:rFonts w:ascii="宋体"/>
                <w:vanish/>
              </w:rPr>
            </w:pPr>
          </w:p>
        </w:tc>
        <w:tc>
          <w:tcPr>
            <w:tcW w:w="0" w:type="auto"/>
            <w:gridSpan w:val="3"/>
            <w:shd w:val="clear" w:color="auto" w:fill="auto"/>
            <w:vAlign w:val="bottom"/>
          </w:tcPr>
          <w:p w14:paraId="27E07E3B" w14:textId="77777777" w:rsidR="00A85061" w:rsidRDefault="00A85061">
            <w:pPr>
              <w:rPr>
                <w:rFonts w:ascii="宋体"/>
                <w:vanish/>
              </w:rPr>
            </w:pPr>
          </w:p>
        </w:tc>
        <w:tc>
          <w:tcPr>
            <w:tcW w:w="0" w:type="auto"/>
            <w:gridSpan w:val="3"/>
            <w:shd w:val="clear" w:color="auto" w:fill="auto"/>
            <w:vAlign w:val="bottom"/>
          </w:tcPr>
          <w:p w14:paraId="27E07E3C" w14:textId="77777777" w:rsidR="00A85061" w:rsidRDefault="00A85061">
            <w:pPr>
              <w:rPr>
                <w:rFonts w:ascii="宋体"/>
                <w:vanish/>
              </w:rPr>
            </w:pPr>
          </w:p>
        </w:tc>
        <w:tc>
          <w:tcPr>
            <w:tcW w:w="0" w:type="auto"/>
            <w:gridSpan w:val="3"/>
            <w:shd w:val="clear" w:color="auto" w:fill="auto"/>
            <w:vAlign w:val="bottom"/>
          </w:tcPr>
          <w:p w14:paraId="27E07E3D" w14:textId="77777777" w:rsidR="00A85061" w:rsidRDefault="00A85061">
            <w:pPr>
              <w:rPr>
                <w:rFonts w:ascii="宋体"/>
                <w:vanish/>
              </w:rPr>
            </w:pPr>
          </w:p>
        </w:tc>
        <w:tc>
          <w:tcPr>
            <w:tcW w:w="0" w:type="auto"/>
            <w:gridSpan w:val="3"/>
            <w:shd w:val="clear" w:color="auto" w:fill="auto"/>
            <w:vAlign w:val="bottom"/>
          </w:tcPr>
          <w:p w14:paraId="27E07E3E" w14:textId="77777777" w:rsidR="00A85061" w:rsidRDefault="00A85061">
            <w:pPr>
              <w:rPr>
                <w:rFonts w:ascii="宋体"/>
                <w:vanish/>
              </w:rPr>
            </w:pPr>
          </w:p>
        </w:tc>
      </w:tr>
      <w:tr w:rsidR="00A85061" w14:paraId="27E07E58" w14:textId="77777777">
        <w:tc>
          <w:tcPr>
            <w:tcW w:w="0" w:type="auto"/>
            <w:gridSpan w:val="3"/>
            <w:shd w:val="clear" w:color="auto" w:fill="E2EFD9"/>
            <w:tcMar>
              <w:top w:w="40" w:type="dxa"/>
              <w:left w:w="20" w:type="dxa"/>
              <w:bottom w:w="40" w:type="dxa"/>
              <w:right w:w="20" w:type="dxa"/>
            </w:tcMar>
            <w:vAlign w:val="bottom"/>
          </w:tcPr>
          <w:p w14:paraId="27E07E40"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4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42" w14:textId="77777777" w:rsidR="00A85061" w:rsidRDefault="00F04891">
            <w:pPr>
              <w:jc w:val="right"/>
              <w:textAlignment w:val="bottom"/>
            </w:pPr>
            <w:r>
              <w:rPr>
                <w:rFonts w:ascii="sans-serif" w:eastAsia="sans-serif" w:hAnsi="sans-serif" w:cs="sans-serif"/>
                <w:color w:val="000000"/>
                <w:sz w:val="20"/>
                <w:szCs w:val="20"/>
              </w:rPr>
              <w:t>12,375 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4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44"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45"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46" w14:textId="77777777" w:rsidR="00A85061" w:rsidRDefault="00F04891">
            <w:pPr>
              <w:jc w:val="right"/>
              <w:textAlignment w:val="bottom"/>
            </w:pPr>
            <w:r>
              <w:rPr>
                <w:rFonts w:ascii="sans-serif" w:eastAsia="sans-serif" w:hAnsi="sans-serif" w:cs="sans-serif"/>
                <w:color w:val="000000"/>
                <w:sz w:val="20"/>
                <w:szCs w:val="20"/>
              </w:rPr>
              <w:t>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4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48"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49"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4A" w14:textId="77777777" w:rsidR="00A85061" w:rsidRDefault="00F04891">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4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4C"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4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4E" w14:textId="77777777" w:rsidR="00A85061" w:rsidRDefault="00F04891">
            <w:pPr>
              <w:jc w:val="right"/>
              <w:textAlignment w:val="bottom"/>
            </w:pPr>
            <w:r>
              <w:rPr>
                <w:rFonts w:ascii="sans-serif" w:eastAsia="sans-serif" w:hAnsi="sans-serif" w:cs="sans-serif"/>
                <w:color w:val="000000"/>
                <w:sz w:val="20"/>
                <w:szCs w:val="20"/>
              </w:rPr>
              <w:t>12,379 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4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50"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5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52" w14:textId="77777777" w:rsidR="00A85061" w:rsidRDefault="00F04891">
            <w:pPr>
              <w:jc w:val="right"/>
              <w:textAlignment w:val="bottom"/>
            </w:pPr>
            <w:r>
              <w:rPr>
                <w:rFonts w:ascii="sans-serif" w:eastAsia="sans-serif" w:hAnsi="sans-serif" w:cs="sans-serif"/>
                <w:color w:val="000000"/>
                <w:sz w:val="20"/>
                <w:szCs w:val="20"/>
              </w:rPr>
              <w:t>690 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5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54"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E55"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E56" w14:textId="77777777" w:rsidR="00A85061" w:rsidRDefault="00F04891">
            <w:pPr>
              <w:jc w:val="right"/>
              <w:textAlignment w:val="bottom"/>
            </w:pPr>
            <w:r>
              <w:rPr>
                <w:rFonts w:ascii="sans-serif" w:eastAsia="sans-serif" w:hAnsi="sans-serif" w:cs="sans-serif"/>
                <w:color w:val="000000"/>
                <w:sz w:val="20"/>
                <w:szCs w:val="20"/>
              </w:rPr>
              <w:t>11,689 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E57" w14:textId="77777777" w:rsidR="00A85061" w:rsidRDefault="00A85061">
            <w:pPr>
              <w:jc w:val="right"/>
              <w:rPr>
                <w:rFonts w:ascii="宋体"/>
              </w:rPr>
            </w:pPr>
          </w:p>
        </w:tc>
      </w:tr>
    </w:tbl>
    <w:p w14:paraId="27E07E59" w14:textId="77777777" w:rsidR="00A85061" w:rsidRDefault="00A85061">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A85061" w14:paraId="27E07E7E" w14:textId="77777777">
        <w:tc>
          <w:tcPr>
            <w:tcW w:w="50" w:type="pct"/>
            <w:shd w:val="clear" w:color="auto" w:fill="auto"/>
            <w:vAlign w:val="bottom"/>
          </w:tcPr>
          <w:p w14:paraId="27E07E5A" w14:textId="77777777" w:rsidR="00A85061" w:rsidRDefault="00A85061">
            <w:pPr>
              <w:rPr>
                <w:rFonts w:ascii="宋体"/>
              </w:rPr>
            </w:pPr>
          </w:p>
        </w:tc>
        <w:tc>
          <w:tcPr>
            <w:tcW w:w="1481" w:type="pct"/>
            <w:shd w:val="clear" w:color="auto" w:fill="auto"/>
            <w:vAlign w:val="bottom"/>
          </w:tcPr>
          <w:p w14:paraId="27E07E5B" w14:textId="77777777" w:rsidR="00A85061" w:rsidRDefault="00A85061">
            <w:pPr>
              <w:rPr>
                <w:rFonts w:ascii="宋体"/>
              </w:rPr>
            </w:pPr>
          </w:p>
        </w:tc>
        <w:tc>
          <w:tcPr>
            <w:tcW w:w="5" w:type="pct"/>
            <w:shd w:val="clear" w:color="auto" w:fill="auto"/>
            <w:vAlign w:val="bottom"/>
          </w:tcPr>
          <w:p w14:paraId="27E07E5C" w14:textId="77777777" w:rsidR="00A85061" w:rsidRDefault="00A85061">
            <w:pPr>
              <w:rPr>
                <w:rFonts w:ascii="宋体"/>
              </w:rPr>
            </w:pPr>
          </w:p>
        </w:tc>
        <w:tc>
          <w:tcPr>
            <w:tcW w:w="50" w:type="pct"/>
            <w:shd w:val="clear" w:color="auto" w:fill="auto"/>
            <w:vAlign w:val="bottom"/>
          </w:tcPr>
          <w:p w14:paraId="27E07E5D" w14:textId="77777777" w:rsidR="00A85061" w:rsidRDefault="00A85061">
            <w:pPr>
              <w:rPr>
                <w:rFonts w:ascii="宋体"/>
              </w:rPr>
            </w:pPr>
          </w:p>
        </w:tc>
        <w:tc>
          <w:tcPr>
            <w:tcW w:w="481" w:type="pct"/>
            <w:shd w:val="clear" w:color="auto" w:fill="auto"/>
            <w:vAlign w:val="bottom"/>
          </w:tcPr>
          <w:p w14:paraId="27E07E5E" w14:textId="77777777" w:rsidR="00A85061" w:rsidRDefault="00A85061">
            <w:pPr>
              <w:rPr>
                <w:rFonts w:ascii="宋体"/>
              </w:rPr>
            </w:pPr>
          </w:p>
        </w:tc>
        <w:tc>
          <w:tcPr>
            <w:tcW w:w="5" w:type="pct"/>
            <w:shd w:val="clear" w:color="auto" w:fill="auto"/>
            <w:vAlign w:val="bottom"/>
          </w:tcPr>
          <w:p w14:paraId="27E07E5F" w14:textId="77777777" w:rsidR="00A85061" w:rsidRDefault="00A85061">
            <w:pPr>
              <w:rPr>
                <w:rFonts w:ascii="宋体"/>
              </w:rPr>
            </w:pPr>
          </w:p>
        </w:tc>
        <w:tc>
          <w:tcPr>
            <w:tcW w:w="5" w:type="pct"/>
            <w:shd w:val="clear" w:color="auto" w:fill="auto"/>
            <w:vAlign w:val="bottom"/>
          </w:tcPr>
          <w:p w14:paraId="27E07E60" w14:textId="77777777" w:rsidR="00A85061" w:rsidRDefault="00A85061">
            <w:pPr>
              <w:rPr>
                <w:rFonts w:ascii="宋体"/>
              </w:rPr>
            </w:pPr>
          </w:p>
        </w:tc>
        <w:tc>
          <w:tcPr>
            <w:tcW w:w="26" w:type="pct"/>
            <w:shd w:val="clear" w:color="auto" w:fill="auto"/>
            <w:vAlign w:val="bottom"/>
          </w:tcPr>
          <w:p w14:paraId="27E07E61" w14:textId="77777777" w:rsidR="00A85061" w:rsidRDefault="00A85061">
            <w:pPr>
              <w:rPr>
                <w:rFonts w:ascii="宋体"/>
              </w:rPr>
            </w:pPr>
          </w:p>
        </w:tc>
        <w:tc>
          <w:tcPr>
            <w:tcW w:w="5" w:type="pct"/>
            <w:shd w:val="clear" w:color="auto" w:fill="auto"/>
            <w:vAlign w:val="bottom"/>
          </w:tcPr>
          <w:p w14:paraId="27E07E62" w14:textId="77777777" w:rsidR="00A85061" w:rsidRDefault="00A85061">
            <w:pPr>
              <w:rPr>
                <w:rFonts w:ascii="宋体"/>
              </w:rPr>
            </w:pPr>
          </w:p>
        </w:tc>
        <w:tc>
          <w:tcPr>
            <w:tcW w:w="50" w:type="pct"/>
            <w:shd w:val="clear" w:color="auto" w:fill="auto"/>
            <w:vAlign w:val="bottom"/>
          </w:tcPr>
          <w:p w14:paraId="27E07E63" w14:textId="77777777" w:rsidR="00A85061" w:rsidRDefault="00A85061">
            <w:pPr>
              <w:rPr>
                <w:rFonts w:ascii="宋体"/>
              </w:rPr>
            </w:pPr>
          </w:p>
        </w:tc>
        <w:tc>
          <w:tcPr>
            <w:tcW w:w="496" w:type="pct"/>
            <w:shd w:val="clear" w:color="auto" w:fill="auto"/>
            <w:vAlign w:val="bottom"/>
          </w:tcPr>
          <w:p w14:paraId="27E07E64" w14:textId="77777777" w:rsidR="00A85061" w:rsidRDefault="00A85061">
            <w:pPr>
              <w:rPr>
                <w:rFonts w:ascii="宋体"/>
              </w:rPr>
            </w:pPr>
          </w:p>
        </w:tc>
        <w:tc>
          <w:tcPr>
            <w:tcW w:w="5" w:type="pct"/>
            <w:shd w:val="clear" w:color="auto" w:fill="auto"/>
            <w:vAlign w:val="bottom"/>
          </w:tcPr>
          <w:p w14:paraId="27E07E65" w14:textId="77777777" w:rsidR="00A85061" w:rsidRDefault="00A85061">
            <w:pPr>
              <w:rPr>
                <w:rFonts w:ascii="宋体"/>
              </w:rPr>
            </w:pPr>
          </w:p>
        </w:tc>
        <w:tc>
          <w:tcPr>
            <w:tcW w:w="5" w:type="pct"/>
            <w:shd w:val="clear" w:color="auto" w:fill="auto"/>
            <w:vAlign w:val="bottom"/>
          </w:tcPr>
          <w:p w14:paraId="27E07E66" w14:textId="77777777" w:rsidR="00A85061" w:rsidRDefault="00A85061">
            <w:pPr>
              <w:rPr>
                <w:rFonts w:ascii="宋体"/>
              </w:rPr>
            </w:pPr>
          </w:p>
        </w:tc>
        <w:tc>
          <w:tcPr>
            <w:tcW w:w="26" w:type="pct"/>
            <w:shd w:val="clear" w:color="auto" w:fill="auto"/>
            <w:vAlign w:val="bottom"/>
          </w:tcPr>
          <w:p w14:paraId="27E07E67" w14:textId="77777777" w:rsidR="00A85061" w:rsidRDefault="00A85061">
            <w:pPr>
              <w:rPr>
                <w:rFonts w:ascii="宋体"/>
              </w:rPr>
            </w:pPr>
          </w:p>
        </w:tc>
        <w:tc>
          <w:tcPr>
            <w:tcW w:w="5" w:type="pct"/>
            <w:shd w:val="clear" w:color="auto" w:fill="auto"/>
            <w:vAlign w:val="bottom"/>
          </w:tcPr>
          <w:p w14:paraId="27E07E68" w14:textId="77777777" w:rsidR="00A85061" w:rsidRDefault="00A85061">
            <w:pPr>
              <w:rPr>
                <w:rFonts w:ascii="宋体"/>
              </w:rPr>
            </w:pPr>
          </w:p>
        </w:tc>
        <w:tc>
          <w:tcPr>
            <w:tcW w:w="50" w:type="pct"/>
            <w:shd w:val="clear" w:color="auto" w:fill="auto"/>
            <w:vAlign w:val="bottom"/>
          </w:tcPr>
          <w:p w14:paraId="27E07E69" w14:textId="77777777" w:rsidR="00A85061" w:rsidRDefault="00A85061">
            <w:pPr>
              <w:rPr>
                <w:rFonts w:ascii="宋体"/>
              </w:rPr>
            </w:pPr>
          </w:p>
        </w:tc>
        <w:tc>
          <w:tcPr>
            <w:tcW w:w="481" w:type="pct"/>
            <w:shd w:val="clear" w:color="auto" w:fill="auto"/>
            <w:vAlign w:val="bottom"/>
          </w:tcPr>
          <w:p w14:paraId="27E07E6A" w14:textId="77777777" w:rsidR="00A85061" w:rsidRDefault="00A85061">
            <w:pPr>
              <w:rPr>
                <w:rFonts w:ascii="宋体"/>
              </w:rPr>
            </w:pPr>
          </w:p>
        </w:tc>
        <w:tc>
          <w:tcPr>
            <w:tcW w:w="5" w:type="pct"/>
            <w:shd w:val="clear" w:color="auto" w:fill="auto"/>
            <w:vAlign w:val="bottom"/>
          </w:tcPr>
          <w:p w14:paraId="27E07E6B" w14:textId="77777777" w:rsidR="00A85061" w:rsidRDefault="00A85061">
            <w:pPr>
              <w:rPr>
                <w:rFonts w:ascii="宋体"/>
              </w:rPr>
            </w:pPr>
          </w:p>
        </w:tc>
        <w:tc>
          <w:tcPr>
            <w:tcW w:w="5" w:type="pct"/>
            <w:shd w:val="clear" w:color="auto" w:fill="auto"/>
            <w:vAlign w:val="bottom"/>
          </w:tcPr>
          <w:p w14:paraId="27E07E6C" w14:textId="77777777" w:rsidR="00A85061" w:rsidRDefault="00A85061">
            <w:pPr>
              <w:rPr>
                <w:rFonts w:ascii="宋体"/>
              </w:rPr>
            </w:pPr>
          </w:p>
        </w:tc>
        <w:tc>
          <w:tcPr>
            <w:tcW w:w="26" w:type="pct"/>
            <w:shd w:val="clear" w:color="auto" w:fill="auto"/>
            <w:vAlign w:val="bottom"/>
          </w:tcPr>
          <w:p w14:paraId="27E07E6D" w14:textId="77777777" w:rsidR="00A85061" w:rsidRDefault="00A85061">
            <w:pPr>
              <w:rPr>
                <w:rFonts w:ascii="宋体"/>
              </w:rPr>
            </w:pPr>
          </w:p>
        </w:tc>
        <w:tc>
          <w:tcPr>
            <w:tcW w:w="5" w:type="pct"/>
            <w:shd w:val="clear" w:color="auto" w:fill="auto"/>
            <w:vAlign w:val="bottom"/>
          </w:tcPr>
          <w:p w14:paraId="27E07E6E" w14:textId="77777777" w:rsidR="00A85061" w:rsidRDefault="00A85061">
            <w:pPr>
              <w:rPr>
                <w:rFonts w:ascii="宋体"/>
              </w:rPr>
            </w:pPr>
          </w:p>
        </w:tc>
        <w:tc>
          <w:tcPr>
            <w:tcW w:w="50" w:type="pct"/>
            <w:shd w:val="clear" w:color="auto" w:fill="auto"/>
            <w:vAlign w:val="bottom"/>
          </w:tcPr>
          <w:p w14:paraId="27E07E6F" w14:textId="77777777" w:rsidR="00A85061" w:rsidRDefault="00A85061">
            <w:pPr>
              <w:rPr>
                <w:rFonts w:ascii="宋体"/>
              </w:rPr>
            </w:pPr>
          </w:p>
        </w:tc>
        <w:tc>
          <w:tcPr>
            <w:tcW w:w="481" w:type="pct"/>
            <w:shd w:val="clear" w:color="auto" w:fill="auto"/>
            <w:vAlign w:val="bottom"/>
          </w:tcPr>
          <w:p w14:paraId="27E07E70" w14:textId="77777777" w:rsidR="00A85061" w:rsidRDefault="00A85061">
            <w:pPr>
              <w:rPr>
                <w:rFonts w:ascii="宋体"/>
              </w:rPr>
            </w:pPr>
          </w:p>
        </w:tc>
        <w:tc>
          <w:tcPr>
            <w:tcW w:w="5" w:type="pct"/>
            <w:shd w:val="clear" w:color="auto" w:fill="auto"/>
            <w:vAlign w:val="bottom"/>
          </w:tcPr>
          <w:p w14:paraId="27E07E71" w14:textId="77777777" w:rsidR="00A85061" w:rsidRDefault="00A85061">
            <w:pPr>
              <w:rPr>
                <w:rFonts w:ascii="宋体"/>
              </w:rPr>
            </w:pPr>
          </w:p>
        </w:tc>
        <w:tc>
          <w:tcPr>
            <w:tcW w:w="5" w:type="pct"/>
            <w:shd w:val="clear" w:color="auto" w:fill="auto"/>
            <w:vAlign w:val="bottom"/>
          </w:tcPr>
          <w:p w14:paraId="27E07E72" w14:textId="77777777" w:rsidR="00A85061" w:rsidRDefault="00A85061">
            <w:pPr>
              <w:rPr>
                <w:rFonts w:ascii="宋体"/>
              </w:rPr>
            </w:pPr>
          </w:p>
        </w:tc>
        <w:tc>
          <w:tcPr>
            <w:tcW w:w="26" w:type="pct"/>
            <w:shd w:val="clear" w:color="auto" w:fill="auto"/>
            <w:vAlign w:val="bottom"/>
          </w:tcPr>
          <w:p w14:paraId="27E07E73" w14:textId="77777777" w:rsidR="00A85061" w:rsidRDefault="00A85061">
            <w:pPr>
              <w:rPr>
                <w:rFonts w:ascii="宋体"/>
              </w:rPr>
            </w:pPr>
          </w:p>
        </w:tc>
        <w:tc>
          <w:tcPr>
            <w:tcW w:w="5" w:type="pct"/>
            <w:shd w:val="clear" w:color="auto" w:fill="auto"/>
            <w:vAlign w:val="bottom"/>
          </w:tcPr>
          <w:p w14:paraId="27E07E74" w14:textId="77777777" w:rsidR="00A85061" w:rsidRDefault="00A85061">
            <w:pPr>
              <w:rPr>
                <w:rFonts w:ascii="宋体"/>
              </w:rPr>
            </w:pPr>
          </w:p>
        </w:tc>
        <w:tc>
          <w:tcPr>
            <w:tcW w:w="50" w:type="pct"/>
            <w:shd w:val="clear" w:color="auto" w:fill="auto"/>
            <w:vAlign w:val="bottom"/>
          </w:tcPr>
          <w:p w14:paraId="27E07E75" w14:textId="77777777" w:rsidR="00A85061" w:rsidRDefault="00A85061">
            <w:pPr>
              <w:rPr>
                <w:rFonts w:ascii="宋体"/>
              </w:rPr>
            </w:pPr>
          </w:p>
        </w:tc>
        <w:tc>
          <w:tcPr>
            <w:tcW w:w="511" w:type="pct"/>
            <w:shd w:val="clear" w:color="auto" w:fill="auto"/>
            <w:vAlign w:val="bottom"/>
          </w:tcPr>
          <w:p w14:paraId="27E07E76" w14:textId="77777777" w:rsidR="00A85061" w:rsidRDefault="00A85061">
            <w:pPr>
              <w:rPr>
                <w:rFonts w:ascii="宋体"/>
              </w:rPr>
            </w:pPr>
          </w:p>
        </w:tc>
        <w:tc>
          <w:tcPr>
            <w:tcW w:w="5" w:type="pct"/>
            <w:shd w:val="clear" w:color="auto" w:fill="auto"/>
            <w:vAlign w:val="bottom"/>
          </w:tcPr>
          <w:p w14:paraId="27E07E77" w14:textId="77777777" w:rsidR="00A85061" w:rsidRDefault="00A85061">
            <w:pPr>
              <w:rPr>
                <w:rFonts w:ascii="宋体"/>
              </w:rPr>
            </w:pPr>
          </w:p>
        </w:tc>
        <w:tc>
          <w:tcPr>
            <w:tcW w:w="5" w:type="pct"/>
            <w:shd w:val="clear" w:color="auto" w:fill="auto"/>
            <w:vAlign w:val="bottom"/>
          </w:tcPr>
          <w:p w14:paraId="27E07E78" w14:textId="77777777" w:rsidR="00A85061" w:rsidRDefault="00A85061">
            <w:pPr>
              <w:rPr>
                <w:rFonts w:ascii="宋体"/>
              </w:rPr>
            </w:pPr>
          </w:p>
        </w:tc>
        <w:tc>
          <w:tcPr>
            <w:tcW w:w="26" w:type="pct"/>
            <w:shd w:val="clear" w:color="auto" w:fill="auto"/>
            <w:vAlign w:val="bottom"/>
          </w:tcPr>
          <w:p w14:paraId="27E07E79" w14:textId="77777777" w:rsidR="00A85061" w:rsidRDefault="00A85061">
            <w:pPr>
              <w:rPr>
                <w:rFonts w:ascii="宋体"/>
              </w:rPr>
            </w:pPr>
          </w:p>
        </w:tc>
        <w:tc>
          <w:tcPr>
            <w:tcW w:w="5" w:type="pct"/>
            <w:shd w:val="clear" w:color="auto" w:fill="auto"/>
            <w:vAlign w:val="bottom"/>
          </w:tcPr>
          <w:p w14:paraId="27E07E7A" w14:textId="77777777" w:rsidR="00A85061" w:rsidRDefault="00A85061">
            <w:pPr>
              <w:rPr>
                <w:rFonts w:ascii="宋体"/>
              </w:rPr>
            </w:pPr>
          </w:p>
        </w:tc>
        <w:tc>
          <w:tcPr>
            <w:tcW w:w="50" w:type="pct"/>
            <w:shd w:val="clear" w:color="auto" w:fill="auto"/>
            <w:vAlign w:val="bottom"/>
          </w:tcPr>
          <w:p w14:paraId="27E07E7B" w14:textId="77777777" w:rsidR="00A85061" w:rsidRDefault="00A85061">
            <w:pPr>
              <w:rPr>
                <w:rFonts w:ascii="宋体"/>
              </w:rPr>
            </w:pPr>
          </w:p>
        </w:tc>
        <w:tc>
          <w:tcPr>
            <w:tcW w:w="496" w:type="pct"/>
            <w:shd w:val="clear" w:color="auto" w:fill="auto"/>
            <w:vAlign w:val="bottom"/>
          </w:tcPr>
          <w:p w14:paraId="27E07E7C" w14:textId="77777777" w:rsidR="00A85061" w:rsidRDefault="00A85061">
            <w:pPr>
              <w:rPr>
                <w:rFonts w:ascii="宋体"/>
              </w:rPr>
            </w:pPr>
          </w:p>
        </w:tc>
        <w:tc>
          <w:tcPr>
            <w:tcW w:w="5" w:type="pct"/>
            <w:shd w:val="clear" w:color="auto" w:fill="auto"/>
            <w:vAlign w:val="bottom"/>
          </w:tcPr>
          <w:p w14:paraId="27E07E7D" w14:textId="77777777" w:rsidR="00A85061" w:rsidRDefault="00A85061">
            <w:pPr>
              <w:rPr>
                <w:rFonts w:ascii="宋体"/>
              </w:rPr>
            </w:pPr>
          </w:p>
        </w:tc>
      </w:tr>
      <w:tr w:rsidR="00A85061" w14:paraId="27E07E81" w14:textId="77777777">
        <w:tc>
          <w:tcPr>
            <w:tcW w:w="0" w:type="auto"/>
            <w:gridSpan w:val="3"/>
            <w:shd w:val="clear" w:color="auto" w:fill="auto"/>
            <w:tcMar>
              <w:top w:w="40" w:type="dxa"/>
              <w:left w:w="20" w:type="dxa"/>
              <w:bottom w:w="40" w:type="dxa"/>
              <w:right w:w="20" w:type="dxa"/>
            </w:tcMar>
            <w:vAlign w:val="bottom"/>
          </w:tcPr>
          <w:p w14:paraId="27E07E7F" w14:textId="77777777" w:rsidR="00A85061" w:rsidRDefault="00F04891">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27E07E80"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7E8C" w14:textId="77777777">
        <w:trPr>
          <w:trHeight w:val="300"/>
        </w:trPr>
        <w:tc>
          <w:tcPr>
            <w:tcW w:w="0" w:type="auto"/>
            <w:gridSpan w:val="3"/>
            <w:shd w:val="clear" w:color="auto" w:fill="auto"/>
            <w:tcMar>
              <w:top w:w="0" w:type="dxa"/>
              <w:left w:w="20" w:type="dxa"/>
              <w:bottom w:w="0" w:type="dxa"/>
              <w:right w:w="20" w:type="dxa"/>
            </w:tcMar>
            <w:vAlign w:val="bottom"/>
          </w:tcPr>
          <w:p w14:paraId="27E07E82"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E83" w14:textId="77777777" w:rsidR="00A85061" w:rsidRDefault="00F04891">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84"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E85" w14:textId="77777777" w:rsidR="00A85061" w:rsidRDefault="00F04891">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86"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E87" w14:textId="77777777" w:rsidR="00A85061" w:rsidRDefault="00F04891">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88" w14:textId="77777777" w:rsidR="00A85061" w:rsidRDefault="00A8506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27E07E89" w14:textId="77777777" w:rsidR="00A85061" w:rsidRDefault="00F04891">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8A" w14:textId="77777777" w:rsidR="00A85061" w:rsidRDefault="00A8506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27E07E8B" w14:textId="77777777" w:rsidR="00A85061" w:rsidRDefault="00F04891">
            <w:pPr>
              <w:jc w:val="center"/>
              <w:textAlignment w:val="bottom"/>
            </w:pPr>
            <w:r>
              <w:rPr>
                <w:rFonts w:ascii="sans-serif" w:eastAsia="sans-serif" w:hAnsi="sans-serif" w:cs="sans-serif"/>
                <w:b/>
                <w:bCs/>
                <w:color w:val="000000"/>
                <w:sz w:val="20"/>
                <w:szCs w:val="20"/>
              </w:rPr>
              <w:t>Reported as</w:t>
            </w:r>
          </w:p>
        </w:tc>
      </w:tr>
      <w:tr w:rsidR="00A85061" w14:paraId="27E07E99" w14:textId="77777777">
        <w:trPr>
          <w:trHeight w:val="520"/>
        </w:trPr>
        <w:tc>
          <w:tcPr>
            <w:tcW w:w="0" w:type="auto"/>
            <w:gridSpan w:val="3"/>
            <w:shd w:val="clear" w:color="auto" w:fill="auto"/>
            <w:tcMar>
              <w:top w:w="40" w:type="dxa"/>
              <w:left w:w="20" w:type="dxa"/>
              <w:bottom w:w="40" w:type="dxa"/>
              <w:right w:w="20" w:type="dxa"/>
            </w:tcMar>
            <w:vAlign w:val="bottom"/>
          </w:tcPr>
          <w:p w14:paraId="27E07E8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E8E"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E8F"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E90"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E91"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E92"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E93" w14:textId="77777777" w:rsidR="00A85061" w:rsidRDefault="00A8506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27E07E94" w14:textId="77777777" w:rsidR="00A85061" w:rsidRDefault="00A85061">
            <w:pPr>
              <w:jc w:val="center"/>
              <w:rPr>
                <w:rFonts w:ascii="宋体"/>
              </w:rPr>
            </w:pPr>
          </w:p>
        </w:tc>
        <w:tc>
          <w:tcPr>
            <w:tcW w:w="0" w:type="auto"/>
            <w:gridSpan w:val="3"/>
            <w:shd w:val="clear" w:color="auto" w:fill="auto"/>
            <w:tcMar>
              <w:top w:w="0" w:type="dxa"/>
              <w:left w:w="20" w:type="dxa"/>
              <w:bottom w:w="0" w:type="dxa"/>
              <w:right w:w="20" w:type="dxa"/>
            </w:tcMar>
            <w:vAlign w:val="bottom"/>
          </w:tcPr>
          <w:p w14:paraId="27E07E95"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E96" w14:textId="77777777" w:rsidR="00A85061" w:rsidRDefault="00F04891">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97"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E98" w14:textId="77777777" w:rsidR="00A85061" w:rsidRDefault="00F04891">
            <w:pPr>
              <w:jc w:val="center"/>
              <w:textAlignment w:val="bottom"/>
            </w:pPr>
            <w:r>
              <w:rPr>
                <w:rFonts w:ascii="sans-serif" w:eastAsia="sans-serif" w:hAnsi="sans-serif" w:cs="sans-serif"/>
                <w:b/>
                <w:bCs/>
                <w:color w:val="000000"/>
                <w:sz w:val="20"/>
                <w:szCs w:val="20"/>
              </w:rPr>
              <w:t>Marketable Securities</w:t>
            </w:r>
          </w:p>
        </w:tc>
      </w:tr>
      <w:tr w:rsidR="00A85061" w14:paraId="27E07EA6" w14:textId="77777777">
        <w:trPr>
          <w:trHeight w:val="60"/>
        </w:trPr>
        <w:tc>
          <w:tcPr>
            <w:tcW w:w="0" w:type="auto"/>
            <w:gridSpan w:val="3"/>
            <w:shd w:val="clear" w:color="auto" w:fill="auto"/>
            <w:tcMar>
              <w:top w:w="0" w:type="dxa"/>
              <w:left w:w="20" w:type="dxa"/>
              <w:bottom w:w="0" w:type="dxa"/>
              <w:right w:w="20" w:type="dxa"/>
            </w:tcMar>
            <w:vAlign w:val="bottom"/>
          </w:tcPr>
          <w:p w14:paraId="27E07E9A"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9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E9C"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9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E9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9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EA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A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EA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A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EA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EA5" w14:textId="77777777" w:rsidR="00A85061" w:rsidRDefault="00A85061">
            <w:pPr>
              <w:rPr>
                <w:rFonts w:ascii="宋体"/>
              </w:rPr>
            </w:pPr>
          </w:p>
        </w:tc>
      </w:tr>
      <w:tr w:rsidR="00A85061" w14:paraId="27E07EA9" w14:textId="77777777">
        <w:tc>
          <w:tcPr>
            <w:tcW w:w="0" w:type="auto"/>
            <w:gridSpan w:val="3"/>
            <w:shd w:val="clear" w:color="auto" w:fill="auto"/>
            <w:tcMar>
              <w:top w:w="40" w:type="dxa"/>
              <w:left w:w="20" w:type="dxa"/>
              <w:bottom w:w="40" w:type="dxa"/>
              <w:right w:w="20" w:type="dxa"/>
            </w:tcMar>
            <w:vAlign w:val="bottom"/>
          </w:tcPr>
          <w:p w14:paraId="27E07EA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27E07EA8"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EC2" w14:textId="77777777">
        <w:tc>
          <w:tcPr>
            <w:tcW w:w="0" w:type="auto"/>
            <w:gridSpan w:val="3"/>
            <w:shd w:val="clear" w:color="auto" w:fill="E2EFD9"/>
            <w:tcMar>
              <w:top w:w="40" w:type="dxa"/>
              <w:left w:w="20" w:type="dxa"/>
              <w:bottom w:w="40" w:type="dxa"/>
              <w:right w:w="20" w:type="dxa"/>
            </w:tcMar>
            <w:vAlign w:val="bottom"/>
          </w:tcPr>
          <w:p w14:paraId="27E07EAA" w14:textId="77777777" w:rsidR="00A85061" w:rsidRDefault="00F04891">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27E07EA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AC" w14:textId="77777777" w:rsidR="00A85061" w:rsidRDefault="00F04891">
            <w:pPr>
              <w:jc w:val="right"/>
              <w:textAlignment w:val="bottom"/>
            </w:pPr>
            <w:r>
              <w:rPr>
                <w:rFonts w:ascii="sans-serif" w:eastAsia="sans-serif" w:hAnsi="sans-serif" w:cs="sans-serif"/>
                <w:color w:val="000000"/>
                <w:sz w:val="20"/>
                <w:szCs w:val="20"/>
              </w:rPr>
              <w:t>4,442 </w:t>
            </w:r>
          </w:p>
        </w:tc>
        <w:tc>
          <w:tcPr>
            <w:tcW w:w="0" w:type="auto"/>
            <w:shd w:val="clear" w:color="auto" w:fill="E2EFD9"/>
            <w:tcMar>
              <w:top w:w="40" w:type="dxa"/>
              <w:left w:w="0" w:type="dxa"/>
              <w:bottom w:w="40" w:type="dxa"/>
              <w:right w:w="20" w:type="dxa"/>
            </w:tcMar>
            <w:vAlign w:val="bottom"/>
          </w:tcPr>
          <w:p w14:paraId="27E07EA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A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EA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B0" w14:textId="77777777" w:rsidR="00A85061" w:rsidRDefault="00F04891">
            <w:pPr>
              <w:jc w:val="right"/>
              <w:textAlignment w:val="bottom"/>
            </w:pPr>
            <w:r>
              <w:rPr>
                <w:rFonts w:ascii="sans-serif" w:eastAsia="sans-serif" w:hAnsi="sans-serif" w:cs="sans-serif"/>
                <w:color w:val="000000"/>
                <w:sz w:val="20"/>
                <w:szCs w:val="20"/>
              </w:rPr>
              <w:t>2 </w:t>
            </w:r>
          </w:p>
        </w:tc>
        <w:tc>
          <w:tcPr>
            <w:tcW w:w="0" w:type="auto"/>
            <w:shd w:val="clear" w:color="auto" w:fill="E2EFD9"/>
            <w:tcMar>
              <w:top w:w="40" w:type="dxa"/>
              <w:left w:w="0" w:type="dxa"/>
              <w:bottom w:w="40" w:type="dxa"/>
              <w:right w:w="20" w:type="dxa"/>
            </w:tcMar>
            <w:vAlign w:val="bottom"/>
          </w:tcPr>
          <w:p w14:paraId="27E07EB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B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EB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B4"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B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B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EB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B8" w14:textId="77777777" w:rsidR="00A85061" w:rsidRDefault="00F04891">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27E07EB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B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EB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BC" w14:textId="77777777" w:rsidR="00A85061" w:rsidRDefault="00F04891">
            <w:pPr>
              <w:jc w:val="right"/>
              <w:textAlignment w:val="bottom"/>
            </w:pPr>
            <w:r>
              <w:rPr>
                <w:rFonts w:ascii="sans-serif" w:eastAsia="sans-serif" w:hAnsi="sans-serif" w:cs="sans-serif"/>
                <w:color w:val="000000"/>
                <w:sz w:val="20"/>
                <w:szCs w:val="20"/>
              </w:rPr>
              <w:t>234 </w:t>
            </w:r>
          </w:p>
        </w:tc>
        <w:tc>
          <w:tcPr>
            <w:tcW w:w="0" w:type="auto"/>
            <w:shd w:val="clear" w:color="auto" w:fill="E2EFD9"/>
            <w:tcMar>
              <w:top w:w="40" w:type="dxa"/>
              <w:left w:w="0" w:type="dxa"/>
              <w:bottom w:w="40" w:type="dxa"/>
              <w:right w:w="20" w:type="dxa"/>
            </w:tcMar>
            <w:vAlign w:val="bottom"/>
          </w:tcPr>
          <w:p w14:paraId="27E07EB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B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EB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EC0" w14:textId="77777777" w:rsidR="00A85061" w:rsidRDefault="00F04891">
            <w:pPr>
              <w:jc w:val="right"/>
              <w:textAlignment w:val="bottom"/>
            </w:pPr>
            <w:r>
              <w:rPr>
                <w:rFonts w:ascii="sans-serif" w:eastAsia="sans-serif" w:hAnsi="sans-serif" w:cs="sans-serif"/>
                <w:color w:val="000000"/>
                <w:sz w:val="20"/>
                <w:szCs w:val="20"/>
              </w:rPr>
              <w:t>4,210 </w:t>
            </w:r>
          </w:p>
        </w:tc>
        <w:tc>
          <w:tcPr>
            <w:tcW w:w="0" w:type="auto"/>
            <w:shd w:val="clear" w:color="auto" w:fill="E2EFD9"/>
            <w:tcMar>
              <w:top w:w="40" w:type="dxa"/>
              <w:left w:w="0" w:type="dxa"/>
              <w:bottom w:w="40" w:type="dxa"/>
              <w:right w:w="20" w:type="dxa"/>
            </w:tcMar>
            <w:vAlign w:val="bottom"/>
          </w:tcPr>
          <w:p w14:paraId="27E07EC1" w14:textId="77777777" w:rsidR="00A85061" w:rsidRDefault="00A85061">
            <w:pPr>
              <w:jc w:val="right"/>
              <w:rPr>
                <w:rFonts w:ascii="宋体"/>
              </w:rPr>
            </w:pPr>
          </w:p>
        </w:tc>
      </w:tr>
      <w:tr w:rsidR="00A85061" w14:paraId="27E07ED5" w14:textId="77777777">
        <w:tc>
          <w:tcPr>
            <w:tcW w:w="0" w:type="auto"/>
            <w:gridSpan w:val="3"/>
            <w:shd w:val="clear" w:color="auto" w:fill="FFFFFF"/>
            <w:tcMar>
              <w:top w:w="40" w:type="dxa"/>
              <w:left w:w="20" w:type="dxa"/>
              <w:bottom w:w="40" w:type="dxa"/>
              <w:right w:w="20" w:type="dxa"/>
            </w:tcMar>
            <w:vAlign w:val="bottom"/>
          </w:tcPr>
          <w:p w14:paraId="27E07EC3" w14:textId="77777777" w:rsidR="00A85061" w:rsidRDefault="00F04891">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27E07EC4" w14:textId="77777777" w:rsidR="00A85061" w:rsidRDefault="00F04891">
            <w:pPr>
              <w:jc w:val="right"/>
              <w:textAlignment w:val="bottom"/>
            </w:pPr>
            <w:r>
              <w:rPr>
                <w:rFonts w:ascii="sans-serif" w:eastAsia="sans-serif" w:hAnsi="sans-serif" w:cs="sans-serif"/>
                <w:color w:val="000000"/>
                <w:sz w:val="20"/>
                <w:szCs w:val="20"/>
              </w:rPr>
              <w:t>2,975 </w:t>
            </w:r>
          </w:p>
        </w:tc>
        <w:tc>
          <w:tcPr>
            <w:tcW w:w="0" w:type="auto"/>
            <w:shd w:val="clear" w:color="auto" w:fill="FFFFFF"/>
            <w:tcMar>
              <w:top w:w="40" w:type="dxa"/>
              <w:left w:w="0" w:type="dxa"/>
              <w:bottom w:w="40" w:type="dxa"/>
              <w:right w:w="20" w:type="dxa"/>
            </w:tcMar>
            <w:vAlign w:val="bottom"/>
          </w:tcPr>
          <w:p w14:paraId="27E07EC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C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C7"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27E07EC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C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CA"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C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C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CD" w14:textId="77777777" w:rsidR="00A85061" w:rsidRDefault="00F04891">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27E07EC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C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D0" w14:textId="77777777" w:rsidR="00A85061" w:rsidRDefault="00F04891">
            <w:pPr>
              <w:jc w:val="right"/>
              <w:textAlignment w:val="bottom"/>
            </w:pPr>
            <w:r>
              <w:rPr>
                <w:rFonts w:ascii="sans-serif" w:eastAsia="sans-serif" w:hAnsi="sans-serif" w:cs="sans-serif"/>
                <w:color w:val="000000"/>
                <w:sz w:val="20"/>
                <w:szCs w:val="20"/>
              </w:rPr>
              <w:t>28 </w:t>
            </w:r>
          </w:p>
        </w:tc>
        <w:tc>
          <w:tcPr>
            <w:tcW w:w="0" w:type="auto"/>
            <w:shd w:val="clear" w:color="auto" w:fill="FFFFFF"/>
            <w:tcMar>
              <w:top w:w="40" w:type="dxa"/>
              <w:left w:w="0" w:type="dxa"/>
              <w:bottom w:w="40" w:type="dxa"/>
              <w:right w:w="20" w:type="dxa"/>
            </w:tcMar>
            <w:vAlign w:val="bottom"/>
          </w:tcPr>
          <w:p w14:paraId="27E07ED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D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D3" w14:textId="77777777" w:rsidR="00A85061" w:rsidRDefault="00F04891">
            <w:pPr>
              <w:jc w:val="right"/>
              <w:textAlignment w:val="bottom"/>
            </w:pPr>
            <w:r>
              <w:rPr>
                <w:rFonts w:ascii="sans-serif" w:eastAsia="sans-serif" w:hAnsi="sans-serif" w:cs="sans-serif"/>
                <w:color w:val="000000"/>
                <w:sz w:val="20"/>
                <w:szCs w:val="20"/>
              </w:rPr>
              <w:t>2,948 </w:t>
            </w:r>
          </w:p>
        </w:tc>
        <w:tc>
          <w:tcPr>
            <w:tcW w:w="0" w:type="auto"/>
            <w:shd w:val="clear" w:color="auto" w:fill="FFFFFF"/>
            <w:tcMar>
              <w:top w:w="40" w:type="dxa"/>
              <w:left w:w="0" w:type="dxa"/>
              <w:bottom w:w="40" w:type="dxa"/>
              <w:right w:w="20" w:type="dxa"/>
            </w:tcMar>
            <w:vAlign w:val="bottom"/>
          </w:tcPr>
          <w:p w14:paraId="27E07ED4" w14:textId="77777777" w:rsidR="00A85061" w:rsidRDefault="00A85061">
            <w:pPr>
              <w:jc w:val="right"/>
              <w:rPr>
                <w:rFonts w:ascii="宋体"/>
              </w:rPr>
            </w:pPr>
          </w:p>
        </w:tc>
      </w:tr>
      <w:tr w:rsidR="00A85061" w14:paraId="27E07EE8" w14:textId="77777777">
        <w:tc>
          <w:tcPr>
            <w:tcW w:w="0" w:type="auto"/>
            <w:gridSpan w:val="3"/>
            <w:shd w:val="clear" w:color="auto" w:fill="E2EFD9"/>
            <w:tcMar>
              <w:top w:w="40" w:type="dxa"/>
              <w:left w:w="20" w:type="dxa"/>
              <w:bottom w:w="40" w:type="dxa"/>
              <w:right w:w="20" w:type="dxa"/>
            </w:tcMar>
            <w:vAlign w:val="bottom"/>
          </w:tcPr>
          <w:p w14:paraId="27E07ED6" w14:textId="77777777" w:rsidR="00A85061" w:rsidRDefault="00F04891">
            <w:pPr>
              <w:textAlignment w:val="bottom"/>
            </w:pPr>
            <w:r>
              <w:rPr>
                <w:rFonts w:ascii="sans-serif" w:eastAsia="sans-serif" w:hAnsi="sans-serif" w:cs="sans-serif"/>
                <w:color w:val="000000"/>
                <w:sz w:val="20"/>
                <w:szCs w:val="20"/>
              </w:rPr>
              <w:t>Debt securities issued by the United States Treasury</w:t>
            </w:r>
          </w:p>
        </w:tc>
        <w:tc>
          <w:tcPr>
            <w:tcW w:w="0" w:type="auto"/>
            <w:gridSpan w:val="2"/>
            <w:shd w:val="clear" w:color="auto" w:fill="E2EFD9"/>
            <w:tcMar>
              <w:top w:w="40" w:type="dxa"/>
              <w:left w:w="20" w:type="dxa"/>
              <w:bottom w:w="40" w:type="dxa"/>
              <w:right w:w="0" w:type="dxa"/>
            </w:tcMar>
            <w:vAlign w:val="bottom"/>
          </w:tcPr>
          <w:p w14:paraId="27E07ED7" w14:textId="77777777" w:rsidR="00A85061" w:rsidRDefault="00F04891">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27E07ED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D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DA"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D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D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DD"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ED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D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E0" w14:textId="77777777" w:rsidR="00A85061" w:rsidRDefault="00F04891">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27E07EE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E2"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E3" w14:textId="77777777" w:rsidR="00A85061" w:rsidRDefault="00F04891">
            <w:pPr>
              <w:jc w:val="right"/>
              <w:textAlignment w:val="bottom"/>
            </w:pPr>
            <w:r>
              <w:rPr>
                <w:rFonts w:ascii="sans-serif" w:eastAsia="sans-serif" w:hAnsi="sans-serif" w:cs="sans-serif"/>
                <w:color w:val="000000"/>
                <w:sz w:val="20"/>
                <w:szCs w:val="20"/>
              </w:rPr>
              <w:t>25 </w:t>
            </w:r>
          </w:p>
        </w:tc>
        <w:tc>
          <w:tcPr>
            <w:tcW w:w="0" w:type="auto"/>
            <w:shd w:val="clear" w:color="auto" w:fill="E2EFD9"/>
            <w:tcMar>
              <w:top w:w="40" w:type="dxa"/>
              <w:left w:w="0" w:type="dxa"/>
              <w:bottom w:w="40" w:type="dxa"/>
              <w:right w:w="20" w:type="dxa"/>
            </w:tcMar>
            <w:vAlign w:val="bottom"/>
          </w:tcPr>
          <w:p w14:paraId="27E07EE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E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EE6" w14:textId="77777777" w:rsidR="00A85061" w:rsidRDefault="00F04891">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27E07EE7" w14:textId="77777777" w:rsidR="00A85061" w:rsidRDefault="00A85061">
            <w:pPr>
              <w:jc w:val="right"/>
              <w:rPr>
                <w:rFonts w:ascii="宋体"/>
              </w:rPr>
            </w:pPr>
          </w:p>
        </w:tc>
      </w:tr>
      <w:tr w:rsidR="00A85061" w14:paraId="27E07EFB" w14:textId="77777777">
        <w:tc>
          <w:tcPr>
            <w:tcW w:w="0" w:type="auto"/>
            <w:gridSpan w:val="3"/>
            <w:shd w:val="clear" w:color="auto" w:fill="FFFFFF"/>
            <w:tcMar>
              <w:top w:w="40" w:type="dxa"/>
              <w:left w:w="20" w:type="dxa"/>
              <w:bottom w:w="40" w:type="dxa"/>
              <w:right w:w="20" w:type="dxa"/>
            </w:tcMar>
            <w:vAlign w:val="bottom"/>
          </w:tcPr>
          <w:p w14:paraId="27E07EE9" w14:textId="77777777" w:rsidR="00A85061" w:rsidRDefault="00F04891">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27E07EEA" w14:textId="77777777" w:rsidR="00A85061" w:rsidRDefault="00F04891">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27E07EE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E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ED"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E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E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F0"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EF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F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F3" w14:textId="77777777" w:rsidR="00A85061" w:rsidRDefault="00F04891">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27E07EF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F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F6" w14:textId="77777777" w:rsidR="00A85061" w:rsidRDefault="00F04891">
            <w:pPr>
              <w:jc w:val="right"/>
              <w:textAlignment w:val="bottom"/>
            </w:pPr>
            <w:r>
              <w:rPr>
                <w:rFonts w:ascii="sans-serif" w:eastAsia="sans-serif" w:hAnsi="sans-serif" w:cs="sans-serif"/>
                <w:color w:val="000000"/>
                <w:sz w:val="20"/>
                <w:szCs w:val="20"/>
              </w:rPr>
              <w:t>37 </w:t>
            </w:r>
          </w:p>
        </w:tc>
        <w:tc>
          <w:tcPr>
            <w:tcW w:w="0" w:type="auto"/>
            <w:shd w:val="clear" w:color="auto" w:fill="FFFFFF"/>
            <w:tcMar>
              <w:top w:w="40" w:type="dxa"/>
              <w:left w:w="0" w:type="dxa"/>
              <w:bottom w:w="40" w:type="dxa"/>
              <w:right w:w="20" w:type="dxa"/>
            </w:tcMar>
            <w:vAlign w:val="bottom"/>
          </w:tcPr>
          <w:p w14:paraId="27E07EF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EF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EF9" w14:textId="77777777" w:rsidR="00A85061" w:rsidRDefault="00F04891">
            <w:pPr>
              <w:jc w:val="right"/>
              <w:textAlignment w:val="bottom"/>
            </w:pPr>
            <w:r>
              <w:rPr>
                <w:rFonts w:ascii="sans-serif" w:eastAsia="sans-serif" w:hAnsi="sans-serif" w:cs="sans-serif"/>
                <w:color w:val="000000"/>
                <w:sz w:val="20"/>
                <w:szCs w:val="20"/>
              </w:rPr>
              <w:t>668 </w:t>
            </w:r>
          </w:p>
        </w:tc>
        <w:tc>
          <w:tcPr>
            <w:tcW w:w="0" w:type="auto"/>
            <w:shd w:val="clear" w:color="auto" w:fill="FFFFFF"/>
            <w:tcMar>
              <w:top w:w="40" w:type="dxa"/>
              <w:left w:w="0" w:type="dxa"/>
              <w:bottom w:w="40" w:type="dxa"/>
              <w:right w:w="20" w:type="dxa"/>
            </w:tcMar>
            <w:vAlign w:val="bottom"/>
          </w:tcPr>
          <w:p w14:paraId="27E07EFA" w14:textId="77777777" w:rsidR="00A85061" w:rsidRDefault="00A85061">
            <w:pPr>
              <w:jc w:val="right"/>
              <w:rPr>
                <w:rFonts w:ascii="宋体"/>
              </w:rPr>
            </w:pPr>
          </w:p>
        </w:tc>
      </w:tr>
      <w:tr w:rsidR="00A85061" w14:paraId="27E07F0E" w14:textId="77777777">
        <w:tc>
          <w:tcPr>
            <w:tcW w:w="0" w:type="auto"/>
            <w:gridSpan w:val="3"/>
            <w:shd w:val="clear" w:color="auto" w:fill="E2EFD9"/>
            <w:tcMar>
              <w:top w:w="40" w:type="dxa"/>
              <w:left w:w="20" w:type="dxa"/>
              <w:bottom w:w="40" w:type="dxa"/>
              <w:right w:w="20" w:type="dxa"/>
            </w:tcMar>
            <w:vAlign w:val="bottom"/>
          </w:tcPr>
          <w:p w14:paraId="27E07EFC" w14:textId="77777777" w:rsidR="00A85061" w:rsidRDefault="00F04891">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27E07EFD" w14:textId="77777777" w:rsidR="00A85061" w:rsidRDefault="00F04891">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27E07EF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EF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F00"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F0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02"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F03"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F0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05"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F06" w14:textId="77777777" w:rsidR="00A85061" w:rsidRDefault="00F04891">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27E07F0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0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F09" w14:textId="77777777" w:rsidR="00A85061" w:rsidRDefault="00F04891">
            <w:pPr>
              <w:jc w:val="right"/>
              <w:textAlignment w:val="bottom"/>
            </w:pPr>
            <w:r>
              <w:rPr>
                <w:rFonts w:ascii="sans-serif" w:eastAsia="sans-serif" w:hAnsi="sans-serif" w:cs="sans-serif"/>
                <w:color w:val="000000"/>
                <w:sz w:val="20"/>
                <w:szCs w:val="20"/>
              </w:rPr>
              <w:t>313 </w:t>
            </w:r>
          </w:p>
        </w:tc>
        <w:tc>
          <w:tcPr>
            <w:tcW w:w="0" w:type="auto"/>
            <w:shd w:val="clear" w:color="auto" w:fill="E2EFD9"/>
            <w:tcMar>
              <w:top w:w="40" w:type="dxa"/>
              <w:left w:w="0" w:type="dxa"/>
              <w:bottom w:w="40" w:type="dxa"/>
              <w:right w:w="20" w:type="dxa"/>
            </w:tcMar>
            <w:vAlign w:val="bottom"/>
          </w:tcPr>
          <w:p w14:paraId="27E07F0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0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7F0C"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7F0D" w14:textId="77777777" w:rsidR="00A85061" w:rsidRDefault="00A85061">
            <w:pPr>
              <w:jc w:val="right"/>
              <w:rPr>
                <w:rFonts w:ascii="宋体"/>
              </w:rPr>
            </w:pPr>
          </w:p>
        </w:tc>
      </w:tr>
      <w:tr w:rsidR="00A85061" w14:paraId="27E07F21" w14:textId="77777777">
        <w:tc>
          <w:tcPr>
            <w:tcW w:w="0" w:type="auto"/>
            <w:gridSpan w:val="3"/>
            <w:shd w:val="clear" w:color="auto" w:fill="FFFFFF"/>
            <w:tcMar>
              <w:top w:w="40" w:type="dxa"/>
              <w:left w:w="20" w:type="dxa"/>
              <w:bottom w:w="40" w:type="dxa"/>
              <w:right w:w="20" w:type="dxa"/>
            </w:tcMar>
            <w:vAlign w:val="bottom"/>
          </w:tcPr>
          <w:p w14:paraId="27E07F0F" w14:textId="77777777" w:rsidR="00A85061" w:rsidRDefault="00F04891">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27E07F10"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F1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1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13"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F1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1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16"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F1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1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19"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F1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1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1C"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7F1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1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1F"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FFFFFF"/>
            <w:tcMar>
              <w:top w:w="40" w:type="dxa"/>
              <w:left w:w="0" w:type="dxa"/>
              <w:bottom w:w="40" w:type="dxa"/>
              <w:right w:w="20" w:type="dxa"/>
            </w:tcMar>
            <w:vAlign w:val="bottom"/>
          </w:tcPr>
          <w:p w14:paraId="27E07F20" w14:textId="77777777" w:rsidR="00A85061" w:rsidRDefault="00A85061">
            <w:pPr>
              <w:jc w:val="right"/>
              <w:rPr>
                <w:rFonts w:ascii="宋体"/>
              </w:rPr>
            </w:pPr>
          </w:p>
        </w:tc>
      </w:tr>
      <w:tr w:rsidR="00A85061" w14:paraId="27E07F2E" w14:textId="77777777">
        <w:trPr>
          <w:hidden/>
        </w:trPr>
        <w:tc>
          <w:tcPr>
            <w:tcW w:w="0" w:type="auto"/>
            <w:gridSpan w:val="3"/>
            <w:shd w:val="clear" w:color="auto" w:fill="auto"/>
            <w:vAlign w:val="bottom"/>
          </w:tcPr>
          <w:p w14:paraId="27E07F22" w14:textId="77777777" w:rsidR="00A85061" w:rsidRDefault="00A85061">
            <w:pPr>
              <w:rPr>
                <w:rFonts w:ascii="宋体"/>
                <w:vanish/>
              </w:rPr>
            </w:pPr>
          </w:p>
        </w:tc>
        <w:tc>
          <w:tcPr>
            <w:tcW w:w="0" w:type="auto"/>
            <w:gridSpan w:val="3"/>
            <w:shd w:val="clear" w:color="auto" w:fill="auto"/>
            <w:vAlign w:val="bottom"/>
          </w:tcPr>
          <w:p w14:paraId="27E07F23" w14:textId="77777777" w:rsidR="00A85061" w:rsidRDefault="00A85061">
            <w:pPr>
              <w:rPr>
                <w:rFonts w:ascii="宋体"/>
                <w:vanish/>
              </w:rPr>
            </w:pPr>
          </w:p>
        </w:tc>
        <w:tc>
          <w:tcPr>
            <w:tcW w:w="0" w:type="auto"/>
            <w:gridSpan w:val="3"/>
            <w:shd w:val="clear" w:color="auto" w:fill="auto"/>
            <w:vAlign w:val="bottom"/>
          </w:tcPr>
          <w:p w14:paraId="27E07F24" w14:textId="77777777" w:rsidR="00A85061" w:rsidRDefault="00A85061">
            <w:pPr>
              <w:rPr>
                <w:rFonts w:ascii="宋体"/>
                <w:vanish/>
              </w:rPr>
            </w:pPr>
          </w:p>
        </w:tc>
        <w:tc>
          <w:tcPr>
            <w:tcW w:w="0" w:type="auto"/>
            <w:gridSpan w:val="3"/>
            <w:shd w:val="clear" w:color="auto" w:fill="auto"/>
            <w:vAlign w:val="bottom"/>
          </w:tcPr>
          <w:p w14:paraId="27E07F25" w14:textId="77777777" w:rsidR="00A85061" w:rsidRDefault="00A85061">
            <w:pPr>
              <w:rPr>
                <w:rFonts w:ascii="宋体"/>
                <w:vanish/>
              </w:rPr>
            </w:pPr>
          </w:p>
        </w:tc>
        <w:tc>
          <w:tcPr>
            <w:tcW w:w="0" w:type="auto"/>
            <w:gridSpan w:val="3"/>
            <w:shd w:val="clear" w:color="auto" w:fill="auto"/>
            <w:vAlign w:val="bottom"/>
          </w:tcPr>
          <w:p w14:paraId="27E07F26" w14:textId="77777777" w:rsidR="00A85061" w:rsidRDefault="00A85061">
            <w:pPr>
              <w:rPr>
                <w:rFonts w:ascii="宋体"/>
                <w:vanish/>
              </w:rPr>
            </w:pPr>
          </w:p>
        </w:tc>
        <w:tc>
          <w:tcPr>
            <w:tcW w:w="0" w:type="auto"/>
            <w:gridSpan w:val="3"/>
            <w:shd w:val="clear" w:color="auto" w:fill="auto"/>
            <w:vAlign w:val="bottom"/>
          </w:tcPr>
          <w:p w14:paraId="27E07F27" w14:textId="77777777" w:rsidR="00A85061" w:rsidRDefault="00A85061">
            <w:pPr>
              <w:rPr>
                <w:rFonts w:ascii="宋体"/>
                <w:vanish/>
              </w:rPr>
            </w:pPr>
          </w:p>
        </w:tc>
        <w:tc>
          <w:tcPr>
            <w:tcW w:w="0" w:type="auto"/>
            <w:gridSpan w:val="3"/>
            <w:shd w:val="clear" w:color="auto" w:fill="auto"/>
            <w:vAlign w:val="bottom"/>
          </w:tcPr>
          <w:p w14:paraId="27E07F28" w14:textId="77777777" w:rsidR="00A85061" w:rsidRDefault="00A85061">
            <w:pPr>
              <w:rPr>
                <w:rFonts w:ascii="宋体"/>
                <w:vanish/>
              </w:rPr>
            </w:pPr>
          </w:p>
        </w:tc>
        <w:tc>
          <w:tcPr>
            <w:tcW w:w="0" w:type="auto"/>
            <w:gridSpan w:val="3"/>
            <w:shd w:val="clear" w:color="auto" w:fill="auto"/>
            <w:vAlign w:val="bottom"/>
          </w:tcPr>
          <w:p w14:paraId="27E07F29" w14:textId="77777777" w:rsidR="00A85061" w:rsidRDefault="00A85061">
            <w:pPr>
              <w:rPr>
                <w:rFonts w:ascii="宋体"/>
                <w:vanish/>
              </w:rPr>
            </w:pPr>
          </w:p>
        </w:tc>
        <w:tc>
          <w:tcPr>
            <w:tcW w:w="0" w:type="auto"/>
            <w:gridSpan w:val="3"/>
            <w:shd w:val="clear" w:color="auto" w:fill="auto"/>
            <w:vAlign w:val="bottom"/>
          </w:tcPr>
          <w:p w14:paraId="27E07F2A" w14:textId="77777777" w:rsidR="00A85061" w:rsidRDefault="00A85061">
            <w:pPr>
              <w:rPr>
                <w:rFonts w:ascii="宋体"/>
                <w:vanish/>
              </w:rPr>
            </w:pPr>
          </w:p>
        </w:tc>
        <w:tc>
          <w:tcPr>
            <w:tcW w:w="0" w:type="auto"/>
            <w:gridSpan w:val="3"/>
            <w:shd w:val="clear" w:color="auto" w:fill="auto"/>
            <w:vAlign w:val="bottom"/>
          </w:tcPr>
          <w:p w14:paraId="27E07F2B" w14:textId="77777777" w:rsidR="00A85061" w:rsidRDefault="00A85061">
            <w:pPr>
              <w:rPr>
                <w:rFonts w:ascii="宋体"/>
                <w:vanish/>
              </w:rPr>
            </w:pPr>
          </w:p>
        </w:tc>
        <w:tc>
          <w:tcPr>
            <w:tcW w:w="0" w:type="auto"/>
            <w:gridSpan w:val="3"/>
            <w:shd w:val="clear" w:color="auto" w:fill="auto"/>
            <w:vAlign w:val="bottom"/>
          </w:tcPr>
          <w:p w14:paraId="27E07F2C" w14:textId="77777777" w:rsidR="00A85061" w:rsidRDefault="00A85061">
            <w:pPr>
              <w:rPr>
                <w:rFonts w:ascii="宋体"/>
                <w:vanish/>
              </w:rPr>
            </w:pPr>
          </w:p>
        </w:tc>
        <w:tc>
          <w:tcPr>
            <w:tcW w:w="0" w:type="auto"/>
            <w:gridSpan w:val="3"/>
            <w:shd w:val="clear" w:color="auto" w:fill="auto"/>
            <w:vAlign w:val="bottom"/>
          </w:tcPr>
          <w:p w14:paraId="27E07F2D" w14:textId="77777777" w:rsidR="00A85061" w:rsidRDefault="00A85061">
            <w:pPr>
              <w:rPr>
                <w:rFonts w:ascii="宋体"/>
                <w:vanish/>
              </w:rPr>
            </w:pPr>
          </w:p>
        </w:tc>
      </w:tr>
      <w:tr w:rsidR="00A85061" w14:paraId="27E07F3B" w14:textId="77777777">
        <w:trPr>
          <w:hidden/>
        </w:trPr>
        <w:tc>
          <w:tcPr>
            <w:tcW w:w="0" w:type="auto"/>
            <w:gridSpan w:val="3"/>
            <w:shd w:val="clear" w:color="auto" w:fill="auto"/>
            <w:vAlign w:val="bottom"/>
          </w:tcPr>
          <w:p w14:paraId="27E07F2F" w14:textId="77777777" w:rsidR="00A85061" w:rsidRDefault="00A85061">
            <w:pPr>
              <w:rPr>
                <w:rFonts w:ascii="宋体"/>
                <w:vanish/>
              </w:rPr>
            </w:pPr>
          </w:p>
        </w:tc>
        <w:tc>
          <w:tcPr>
            <w:tcW w:w="0" w:type="auto"/>
            <w:gridSpan w:val="3"/>
            <w:shd w:val="clear" w:color="auto" w:fill="auto"/>
            <w:vAlign w:val="bottom"/>
          </w:tcPr>
          <w:p w14:paraId="27E07F30" w14:textId="77777777" w:rsidR="00A85061" w:rsidRDefault="00A85061">
            <w:pPr>
              <w:rPr>
                <w:rFonts w:ascii="宋体"/>
                <w:vanish/>
              </w:rPr>
            </w:pPr>
          </w:p>
        </w:tc>
        <w:tc>
          <w:tcPr>
            <w:tcW w:w="0" w:type="auto"/>
            <w:gridSpan w:val="3"/>
            <w:shd w:val="clear" w:color="auto" w:fill="auto"/>
            <w:vAlign w:val="bottom"/>
          </w:tcPr>
          <w:p w14:paraId="27E07F31" w14:textId="77777777" w:rsidR="00A85061" w:rsidRDefault="00A85061">
            <w:pPr>
              <w:rPr>
                <w:rFonts w:ascii="宋体"/>
                <w:vanish/>
              </w:rPr>
            </w:pPr>
          </w:p>
        </w:tc>
        <w:tc>
          <w:tcPr>
            <w:tcW w:w="0" w:type="auto"/>
            <w:gridSpan w:val="3"/>
            <w:shd w:val="clear" w:color="auto" w:fill="auto"/>
            <w:vAlign w:val="bottom"/>
          </w:tcPr>
          <w:p w14:paraId="27E07F32" w14:textId="77777777" w:rsidR="00A85061" w:rsidRDefault="00A85061">
            <w:pPr>
              <w:rPr>
                <w:rFonts w:ascii="宋体"/>
                <w:vanish/>
              </w:rPr>
            </w:pPr>
          </w:p>
        </w:tc>
        <w:tc>
          <w:tcPr>
            <w:tcW w:w="0" w:type="auto"/>
            <w:gridSpan w:val="3"/>
            <w:shd w:val="clear" w:color="auto" w:fill="auto"/>
            <w:vAlign w:val="bottom"/>
          </w:tcPr>
          <w:p w14:paraId="27E07F33" w14:textId="77777777" w:rsidR="00A85061" w:rsidRDefault="00A85061">
            <w:pPr>
              <w:rPr>
                <w:rFonts w:ascii="宋体"/>
                <w:vanish/>
              </w:rPr>
            </w:pPr>
          </w:p>
        </w:tc>
        <w:tc>
          <w:tcPr>
            <w:tcW w:w="0" w:type="auto"/>
            <w:gridSpan w:val="3"/>
            <w:shd w:val="clear" w:color="auto" w:fill="auto"/>
            <w:vAlign w:val="bottom"/>
          </w:tcPr>
          <w:p w14:paraId="27E07F34" w14:textId="77777777" w:rsidR="00A85061" w:rsidRDefault="00A85061">
            <w:pPr>
              <w:rPr>
                <w:rFonts w:ascii="宋体"/>
                <w:vanish/>
              </w:rPr>
            </w:pPr>
          </w:p>
        </w:tc>
        <w:tc>
          <w:tcPr>
            <w:tcW w:w="0" w:type="auto"/>
            <w:gridSpan w:val="3"/>
            <w:shd w:val="clear" w:color="auto" w:fill="auto"/>
            <w:vAlign w:val="bottom"/>
          </w:tcPr>
          <w:p w14:paraId="27E07F35" w14:textId="77777777" w:rsidR="00A85061" w:rsidRDefault="00A85061">
            <w:pPr>
              <w:rPr>
                <w:rFonts w:ascii="宋体"/>
                <w:vanish/>
              </w:rPr>
            </w:pPr>
          </w:p>
        </w:tc>
        <w:tc>
          <w:tcPr>
            <w:tcW w:w="0" w:type="auto"/>
            <w:gridSpan w:val="3"/>
            <w:shd w:val="clear" w:color="auto" w:fill="auto"/>
            <w:vAlign w:val="bottom"/>
          </w:tcPr>
          <w:p w14:paraId="27E07F36" w14:textId="77777777" w:rsidR="00A85061" w:rsidRDefault="00A85061">
            <w:pPr>
              <w:rPr>
                <w:rFonts w:ascii="宋体"/>
                <w:vanish/>
              </w:rPr>
            </w:pPr>
          </w:p>
        </w:tc>
        <w:tc>
          <w:tcPr>
            <w:tcW w:w="0" w:type="auto"/>
            <w:gridSpan w:val="3"/>
            <w:shd w:val="clear" w:color="auto" w:fill="auto"/>
            <w:vAlign w:val="bottom"/>
          </w:tcPr>
          <w:p w14:paraId="27E07F37" w14:textId="77777777" w:rsidR="00A85061" w:rsidRDefault="00A85061">
            <w:pPr>
              <w:rPr>
                <w:rFonts w:ascii="宋体"/>
                <w:vanish/>
              </w:rPr>
            </w:pPr>
          </w:p>
        </w:tc>
        <w:tc>
          <w:tcPr>
            <w:tcW w:w="0" w:type="auto"/>
            <w:gridSpan w:val="3"/>
            <w:shd w:val="clear" w:color="auto" w:fill="auto"/>
            <w:vAlign w:val="bottom"/>
          </w:tcPr>
          <w:p w14:paraId="27E07F38" w14:textId="77777777" w:rsidR="00A85061" w:rsidRDefault="00A85061">
            <w:pPr>
              <w:rPr>
                <w:rFonts w:ascii="宋体"/>
                <w:vanish/>
              </w:rPr>
            </w:pPr>
          </w:p>
        </w:tc>
        <w:tc>
          <w:tcPr>
            <w:tcW w:w="0" w:type="auto"/>
            <w:gridSpan w:val="3"/>
            <w:shd w:val="clear" w:color="auto" w:fill="auto"/>
            <w:vAlign w:val="bottom"/>
          </w:tcPr>
          <w:p w14:paraId="27E07F39" w14:textId="77777777" w:rsidR="00A85061" w:rsidRDefault="00A85061">
            <w:pPr>
              <w:rPr>
                <w:rFonts w:ascii="宋体"/>
                <w:vanish/>
              </w:rPr>
            </w:pPr>
          </w:p>
        </w:tc>
        <w:tc>
          <w:tcPr>
            <w:tcW w:w="0" w:type="auto"/>
            <w:gridSpan w:val="3"/>
            <w:shd w:val="clear" w:color="auto" w:fill="auto"/>
            <w:vAlign w:val="bottom"/>
          </w:tcPr>
          <w:p w14:paraId="27E07F3A" w14:textId="77777777" w:rsidR="00A85061" w:rsidRDefault="00A85061">
            <w:pPr>
              <w:rPr>
                <w:rFonts w:ascii="宋体"/>
                <w:vanish/>
              </w:rPr>
            </w:pPr>
          </w:p>
        </w:tc>
      </w:tr>
      <w:tr w:rsidR="00A85061" w14:paraId="27E07F54" w14:textId="77777777">
        <w:tc>
          <w:tcPr>
            <w:tcW w:w="0" w:type="auto"/>
            <w:gridSpan w:val="3"/>
            <w:shd w:val="clear" w:color="auto" w:fill="E2EFD9"/>
            <w:tcMar>
              <w:top w:w="40" w:type="dxa"/>
              <w:left w:w="20" w:type="dxa"/>
              <w:bottom w:w="40" w:type="dxa"/>
              <w:right w:w="20" w:type="dxa"/>
            </w:tcMar>
            <w:vAlign w:val="bottom"/>
          </w:tcPr>
          <w:p w14:paraId="27E07F3C"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3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3E" w14:textId="77777777" w:rsidR="00A85061" w:rsidRDefault="00F04891">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3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40"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4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42" w14:textId="77777777" w:rsidR="00A85061" w:rsidRDefault="00F04891">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4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44"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45"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46" w14:textId="77777777" w:rsidR="00A85061" w:rsidRDefault="00F04891">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4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48"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49"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4A" w14:textId="77777777" w:rsidR="00A85061" w:rsidRDefault="00F04891">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4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4C"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4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4E" w14:textId="77777777" w:rsidR="00A85061" w:rsidRDefault="00F04891">
            <w:pPr>
              <w:jc w:val="right"/>
              <w:textAlignment w:val="bottom"/>
            </w:pPr>
            <w:r>
              <w:rPr>
                <w:rFonts w:ascii="sans-serif" w:eastAsia="sans-serif" w:hAnsi="sans-serif" w:cs="sans-serif"/>
                <w:color w:val="000000"/>
                <w:sz w:val="20"/>
                <w:szCs w:val="20"/>
              </w:rPr>
              <w:t>637 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4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50"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5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52" w14:textId="77777777" w:rsidR="00A85061" w:rsidRDefault="00F04891">
            <w:pPr>
              <w:jc w:val="right"/>
              <w:textAlignment w:val="bottom"/>
            </w:pPr>
            <w:r>
              <w:rPr>
                <w:rFonts w:ascii="sans-serif" w:eastAsia="sans-serif" w:hAnsi="sans-serif" w:cs="sans-serif"/>
                <w:color w:val="000000"/>
                <w:sz w:val="20"/>
                <w:szCs w:val="20"/>
              </w:rPr>
              <w:t>10,714 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53" w14:textId="77777777" w:rsidR="00A85061" w:rsidRDefault="00A85061">
            <w:pPr>
              <w:jc w:val="right"/>
              <w:rPr>
                <w:rFonts w:ascii="宋体"/>
              </w:rPr>
            </w:pPr>
          </w:p>
        </w:tc>
      </w:tr>
    </w:tbl>
    <w:p w14:paraId="27E07F55" w14:textId="77777777" w:rsidR="00A85061" w:rsidRDefault="00F04891">
      <w:pPr>
        <w:spacing w:before="180" w:after="180"/>
        <w:jc w:val="both"/>
      </w:pPr>
      <w:r>
        <w:rPr>
          <w:rFonts w:ascii="sans-serif" w:eastAsia="sans-serif" w:hAnsi="sans-serif" w:cs="sans-serif"/>
          <w:color w:val="000000"/>
          <w:sz w:val="20"/>
          <w:szCs w:val="20"/>
        </w:rPr>
        <w:t xml:space="preserve">Net realized gains and unrealized gains and losses were not significant for all periods presented. </w:t>
      </w:r>
    </w:p>
    <w:p w14:paraId="27E07F56" w14:textId="77777777" w:rsidR="00A85061" w:rsidRDefault="00F04891">
      <w:pPr>
        <w:spacing w:before="180" w:after="180"/>
        <w:jc w:val="both"/>
      </w:pPr>
      <w:r>
        <w:rPr>
          <w:rFonts w:ascii="sans-serif" w:eastAsia="sans-serif" w:hAnsi="sans-serif" w:cs="sans-serif"/>
          <w:color w:val="000000"/>
          <w:sz w:val="20"/>
          <w:szCs w:val="20"/>
        </w:rPr>
        <w:t>The amortized cost and estimated fair value of cash equivalents and marketable secu</w:t>
      </w:r>
      <w:r>
        <w:rPr>
          <w:rFonts w:ascii="sans-serif" w:eastAsia="sans-serif" w:hAnsi="sans-serif" w:cs="sans-serif"/>
          <w:color w:val="000000"/>
          <w:sz w:val="20"/>
          <w:szCs w:val="20"/>
        </w:rPr>
        <w:t>rities as of May 2, 2021 and January 31, 2021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A85061" w14:paraId="27E07F6F" w14:textId="77777777">
        <w:tc>
          <w:tcPr>
            <w:tcW w:w="50" w:type="pct"/>
            <w:shd w:val="clear" w:color="auto" w:fill="auto"/>
            <w:vAlign w:val="bottom"/>
          </w:tcPr>
          <w:p w14:paraId="27E07F57" w14:textId="77777777" w:rsidR="00A85061" w:rsidRDefault="00A85061">
            <w:pPr>
              <w:rPr>
                <w:rFonts w:ascii="宋体"/>
              </w:rPr>
            </w:pPr>
          </w:p>
        </w:tc>
        <w:tc>
          <w:tcPr>
            <w:tcW w:w="2189" w:type="pct"/>
            <w:shd w:val="clear" w:color="auto" w:fill="auto"/>
            <w:vAlign w:val="bottom"/>
          </w:tcPr>
          <w:p w14:paraId="27E07F58" w14:textId="77777777" w:rsidR="00A85061" w:rsidRDefault="00A85061">
            <w:pPr>
              <w:rPr>
                <w:rFonts w:ascii="宋体"/>
              </w:rPr>
            </w:pPr>
          </w:p>
        </w:tc>
        <w:tc>
          <w:tcPr>
            <w:tcW w:w="5" w:type="pct"/>
            <w:shd w:val="clear" w:color="auto" w:fill="auto"/>
            <w:vAlign w:val="bottom"/>
          </w:tcPr>
          <w:p w14:paraId="27E07F59" w14:textId="77777777" w:rsidR="00A85061" w:rsidRDefault="00A85061">
            <w:pPr>
              <w:rPr>
                <w:rFonts w:ascii="宋体"/>
              </w:rPr>
            </w:pPr>
          </w:p>
        </w:tc>
        <w:tc>
          <w:tcPr>
            <w:tcW w:w="50" w:type="pct"/>
            <w:shd w:val="clear" w:color="auto" w:fill="auto"/>
            <w:vAlign w:val="bottom"/>
          </w:tcPr>
          <w:p w14:paraId="27E07F5A" w14:textId="77777777" w:rsidR="00A85061" w:rsidRDefault="00A85061">
            <w:pPr>
              <w:rPr>
                <w:rFonts w:ascii="宋体"/>
              </w:rPr>
            </w:pPr>
          </w:p>
        </w:tc>
        <w:tc>
          <w:tcPr>
            <w:tcW w:w="610" w:type="pct"/>
            <w:shd w:val="clear" w:color="auto" w:fill="auto"/>
            <w:vAlign w:val="bottom"/>
          </w:tcPr>
          <w:p w14:paraId="27E07F5B" w14:textId="77777777" w:rsidR="00A85061" w:rsidRDefault="00A85061">
            <w:pPr>
              <w:rPr>
                <w:rFonts w:ascii="宋体"/>
              </w:rPr>
            </w:pPr>
          </w:p>
        </w:tc>
        <w:tc>
          <w:tcPr>
            <w:tcW w:w="5" w:type="pct"/>
            <w:shd w:val="clear" w:color="auto" w:fill="auto"/>
            <w:vAlign w:val="bottom"/>
          </w:tcPr>
          <w:p w14:paraId="27E07F5C" w14:textId="77777777" w:rsidR="00A85061" w:rsidRDefault="00A85061">
            <w:pPr>
              <w:rPr>
                <w:rFonts w:ascii="宋体"/>
              </w:rPr>
            </w:pPr>
          </w:p>
        </w:tc>
        <w:tc>
          <w:tcPr>
            <w:tcW w:w="5" w:type="pct"/>
            <w:shd w:val="clear" w:color="auto" w:fill="auto"/>
            <w:vAlign w:val="bottom"/>
          </w:tcPr>
          <w:p w14:paraId="27E07F5D" w14:textId="77777777" w:rsidR="00A85061" w:rsidRDefault="00A85061">
            <w:pPr>
              <w:rPr>
                <w:rFonts w:ascii="宋体"/>
              </w:rPr>
            </w:pPr>
          </w:p>
        </w:tc>
        <w:tc>
          <w:tcPr>
            <w:tcW w:w="26" w:type="pct"/>
            <w:shd w:val="clear" w:color="auto" w:fill="auto"/>
            <w:vAlign w:val="bottom"/>
          </w:tcPr>
          <w:p w14:paraId="27E07F5E" w14:textId="77777777" w:rsidR="00A85061" w:rsidRDefault="00A85061">
            <w:pPr>
              <w:rPr>
                <w:rFonts w:ascii="宋体"/>
              </w:rPr>
            </w:pPr>
          </w:p>
        </w:tc>
        <w:tc>
          <w:tcPr>
            <w:tcW w:w="5" w:type="pct"/>
            <w:shd w:val="clear" w:color="auto" w:fill="auto"/>
            <w:vAlign w:val="bottom"/>
          </w:tcPr>
          <w:p w14:paraId="27E07F5F" w14:textId="77777777" w:rsidR="00A85061" w:rsidRDefault="00A85061">
            <w:pPr>
              <w:rPr>
                <w:rFonts w:ascii="宋体"/>
              </w:rPr>
            </w:pPr>
          </w:p>
        </w:tc>
        <w:tc>
          <w:tcPr>
            <w:tcW w:w="50" w:type="pct"/>
            <w:shd w:val="clear" w:color="auto" w:fill="auto"/>
            <w:vAlign w:val="bottom"/>
          </w:tcPr>
          <w:p w14:paraId="27E07F60" w14:textId="77777777" w:rsidR="00A85061" w:rsidRDefault="00A85061">
            <w:pPr>
              <w:rPr>
                <w:rFonts w:ascii="宋体"/>
              </w:rPr>
            </w:pPr>
          </w:p>
        </w:tc>
        <w:tc>
          <w:tcPr>
            <w:tcW w:w="610" w:type="pct"/>
            <w:shd w:val="clear" w:color="auto" w:fill="auto"/>
            <w:vAlign w:val="bottom"/>
          </w:tcPr>
          <w:p w14:paraId="27E07F61" w14:textId="77777777" w:rsidR="00A85061" w:rsidRDefault="00A85061">
            <w:pPr>
              <w:rPr>
                <w:rFonts w:ascii="宋体"/>
              </w:rPr>
            </w:pPr>
          </w:p>
        </w:tc>
        <w:tc>
          <w:tcPr>
            <w:tcW w:w="5" w:type="pct"/>
            <w:shd w:val="clear" w:color="auto" w:fill="auto"/>
            <w:vAlign w:val="bottom"/>
          </w:tcPr>
          <w:p w14:paraId="27E07F62" w14:textId="77777777" w:rsidR="00A85061" w:rsidRDefault="00A85061">
            <w:pPr>
              <w:rPr>
                <w:rFonts w:ascii="宋体"/>
              </w:rPr>
            </w:pPr>
          </w:p>
        </w:tc>
        <w:tc>
          <w:tcPr>
            <w:tcW w:w="5" w:type="pct"/>
            <w:shd w:val="clear" w:color="auto" w:fill="auto"/>
            <w:vAlign w:val="bottom"/>
          </w:tcPr>
          <w:p w14:paraId="27E07F63" w14:textId="77777777" w:rsidR="00A85061" w:rsidRDefault="00A85061">
            <w:pPr>
              <w:rPr>
                <w:rFonts w:ascii="宋体"/>
              </w:rPr>
            </w:pPr>
          </w:p>
        </w:tc>
        <w:tc>
          <w:tcPr>
            <w:tcW w:w="19" w:type="pct"/>
            <w:shd w:val="clear" w:color="auto" w:fill="auto"/>
            <w:vAlign w:val="bottom"/>
          </w:tcPr>
          <w:p w14:paraId="27E07F64" w14:textId="77777777" w:rsidR="00A85061" w:rsidRDefault="00A85061">
            <w:pPr>
              <w:rPr>
                <w:rFonts w:ascii="宋体"/>
              </w:rPr>
            </w:pPr>
          </w:p>
        </w:tc>
        <w:tc>
          <w:tcPr>
            <w:tcW w:w="5" w:type="pct"/>
            <w:shd w:val="clear" w:color="auto" w:fill="auto"/>
            <w:vAlign w:val="bottom"/>
          </w:tcPr>
          <w:p w14:paraId="27E07F65" w14:textId="77777777" w:rsidR="00A85061" w:rsidRDefault="00A85061">
            <w:pPr>
              <w:rPr>
                <w:rFonts w:ascii="宋体"/>
              </w:rPr>
            </w:pPr>
          </w:p>
        </w:tc>
        <w:tc>
          <w:tcPr>
            <w:tcW w:w="50" w:type="pct"/>
            <w:shd w:val="clear" w:color="auto" w:fill="auto"/>
            <w:vAlign w:val="bottom"/>
          </w:tcPr>
          <w:p w14:paraId="27E07F66" w14:textId="77777777" w:rsidR="00A85061" w:rsidRDefault="00A85061">
            <w:pPr>
              <w:rPr>
                <w:rFonts w:ascii="宋体"/>
              </w:rPr>
            </w:pPr>
          </w:p>
        </w:tc>
        <w:tc>
          <w:tcPr>
            <w:tcW w:w="610" w:type="pct"/>
            <w:shd w:val="clear" w:color="auto" w:fill="auto"/>
            <w:vAlign w:val="bottom"/>
          </w:tcPr>
          <w:p w14:paraId="27E07F67" w14:textId="77777777" w:rsidR="00A85061" w:rsidRDefault="00A85061">
            <w:pPr>
              <w:rPr>
                <w:rFonts w:ascii="宋体"/>
              </w:rPr>
            </w:pPr>
          </w:p>
        </w:tc>
        <w:tc>
          <w:tcPr>
            <w:tcW w:w="5" w:type="pct"/>
            <w:shd w:val="clear" w:color="auto" w:fill="auto"/>
            <w:vAlign w:val="bottom"/>
          </w:tcPr>
          <w:p w14:paraId="27E07F68" w14:textId="77777777" w:rsidR="00A85061" w:rsidRDefault="00A85061">
            <w:pPr>
              <w:rPr>
                <w:rFonts w:ascii="宋体"/>
              </w:rPr>
            </w:pPr>
          </w:p>
        </w:tc>
        <w:tc>
          <w:tcPr>
            <w:tcW w:w="5" w:type="pct"/>
            <w:shd w:val="clear" w:color="auto" w:fill="auto"/>
            <w:vAlign w:val="bottom"/>
          </w:tcPr>
          <w:p w14:paraId="27E07F69" w14:textId="77777777" w:rsidR="00A85061" w:rsidRDefault="00A85061">
            <w:pPr>
              <w:rPr>
                <w:rFonts w:ascii="宋体"/>
              </w:rPr>
            </w:pPr>
          </w:p>
        </w:tc>
        <w:tc>
          <w:tcPr>
            <w:tcW w:w="19" w:type="pct"/>
            <w:shd w:val="clear" w:color="auto" w:fill="auto"/>
            <w:vAlign w:val="bottom"/>
          </w:tcPr>
          <w:p w14:paraId="27E07F6A" w14:textId="77777777" w:rsidR="00A85061" w:rsidRDefault="00A85061">
            <w:pPr>
              <w:rPr>
                <w:rFonts w:ascii="宋体"/>
              </w:rPr>
            </w:pPr>
          </w:p>
        </w:tc>
        <w:tc>
          <w:tcPr>
            <w:tcW w:w="5" w:type="pct"/>
            <w:shd w:val="clear" w:color="auto" w:fill="auto"/>
            <w:vAlign w:val="bottom"/>
          </w:tcPr>
          <w:p w14:paraId="27E07F6B" w14:textId="77777777" w:rsidR="00A85061" w:rsidRDefault="00A85061">
            <w:pPr>
              <w:rPr>
                <w:rFonts w:ascii="宋体"/>
              </w:rPr>
            </w:pPr>
          </w:p>
        </w:tc>
        <w:tc>
          <w:tcPr>
            <w:tcW w:w="50" w:type="pct"/>
            <w:shd w:val="clear" w:color="auto" w:fill="auto"/>
            <w:vAlign w:val="bottom"/>
          </w:tcPr>
          <w:p w14:paraId="27E07F6C" w14:textId="77777777" w:rsidR="00A85061" w:rsidRDefault="00A85061">
            <w:pPr>
              <w:rPr>
                <w:rFonts w:ascii="宋体"/>
              </w:rPr>
            </w:pPr>
          </w:p>
        </w:tc>
        <w:tc>
          <w:tcPr>
            <w:tcW w:w="610" w:type="pct"/>
            <w:shd w:val="clear" w:color="auto" w:fill="auto"/>
            <w:vAlign w:val="bottom"/>
          </w:tcPr>
          <w:p w14:paraId="27E07F6D" w14:textId="77777777" w:rsidR="00A85061" w:rsidRDefault="00A85061">
            <w:pPr>
              <w:rPr>
                <w:rFonts w:ascii="宋体"/>
              </w:rPr>
            </w:pPr>
          </w:p>
        </w:tc>
        <w:tc>
          <w:tcPr>
            <w:tcW w:w="5" w:type="pct"/>
            <w:shd w:val="clear" w:color="auto" w:fill="auto"/>
            <w:vAlign w:val="bottom"/>
          </w:tcPr>
          <w:p w14:paraId="27E07F6E" w14:textId="77777777" w:rsidR="00A85061" w:rsidRDefault="00A85061">
            <w:pPr>
              <w:rPr>
                <w:rFonts w:ascii="宋体"/>
              </w:rPr>
            </w:pPr>
          </w:p>
        </w:tc>
      </w:tr>
      <w:tr w:rsidR="00A85061" w14:paraId="27E07F74" w14:textId="77777777">
        <w:tc>
          <w:tcPr>
            <w:tcW w:w="0" w:type="auto"/>
            <w:gridSpan w:val="3"/>
            <w:shd w:val="clear" w:color="auto" w:fill="auto"/>
            <w:tcMar>
              <w:top w:w="0" w:type="dxa"/>
              <w:left w:w="20" w:type="dxa"/>
              <w:bottom w:w="0" w:type="dxa"/>
              <w:right w:w="20" w:type="dxa"/>
            </w:tcMar>
            <w:vAlign w:val="bottom"/>
          </w:tcPr>
          <w:p w14:paraId="27E07F70"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F71"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shd w:val="clear" w:color="auto" w:fill="auto"/>
            <w:tcMar>
              <w:top w:w="0" w:type="dxa"/>
              <w:left w:w="20" w:type="dxa"/>
              <w:bottom w:w="0" w:type="dxa"/>
              <w:right w:w="20" w:type="dxa"/>
            </w:tcMar>
            <w:vAlign w:val="bottom"/>
          </w:tcPr>
          <w:p w14:paraId="27E07F72"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F73"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7F7D" w14:textId="77777777">
        <w:tc>
          <w:tcPr>
            <w:tcW w:w="0" w:type="auto"/>
            <w:gridSpan w:val="3"/>
            <w:shd w:val="clear" w:color="auto" w:fill="auto"/>
            <w:tcMar>
              <w:top w:w="0" w:type="dxa"/>
              <w:left w:w="20" w:type="dxa"/>
              <w:bottom w:w="0" w:type="dxa"/>
              <w:right w:w="20" w:type="dxa"/>
            </w:tcMar>
            <w:vAlign w:val="bottom"/>
          </w:tcPr>
          <w:p w14:paraId="27E07F75"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76" w14:textId="77777777" w:rsidR="00A85061" w:rsidRDefault="00F04891">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77"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78" w14:textId="77777777" w:rsidR="00A85061" w:rsidRDefault="00F04891">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27E07F79"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7A" w14:textId="77777777" w:rsidR="00A85061" w:rsidRDefault="00F04891">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7B"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7C" w14:textId="77777777" w:rsidR="00A85061" w:rsidRDefault="00F04891">
            <w:pPr>
              <w:jc w:val="center"/>
              <w:textAlignment w:val="bottom"/>
            </w:pPr>
            <w:r>
              <w:rPr>
                <w:rFonts w:ascii="sans-serif" w:eastAsia="sans-serif" w:hAnsi="sans-serif" w:cs="sans-serif"/>
                <w:b/>
                <w:bCs/>
                <w:color w:val="000000"/>
                <w:sz w:val="20"/>
                <w:szCs w:val="20"/>
              </w:rPr>
              <w:t>Estimated Fair Value</w:t>
            </w:r>
          </w:p>
        </w:tc>
      </w:tr>
      <w:tr w:rsidR="00A85061" w14:paraId="27E07F86" w14:textId="77777777">
        <w:trPr>
          <w:trHeight w:val="60"/>
        </w:trPr>
        <w:tc>
          <w:tcPr>
            <w:tcW w:w="0" w:type="auto"/>
            <w:gridSpan w:val="3"/>
            <w:shd w:val="clear" w:color="auto" w:fill="auto"/>
            <w:tcMar>
              <w:top w:w="0" w:type="dxa"/>
              <w:left w:w="20" w:type="dxa"/>
              <w:bottom w:w="0" w:type="dxa"/>
              <w:right w:w="20" w:type="dxa"/>
            </w:tcMar>
            <w:vAlign w:val="bottom"/>
          </w:tcPr>
          <w:p w14:paraId="27E07F7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7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8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8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8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8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8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85" w14:textId="77777777" w:rsidR="00A85061" w:rsidRDefault="00A85061">
            <w:pPr>
              <w:rPr>
                <w:rFonts w:ascii="宋体"/>
              </w:rPr>
            </w:pPr>
          </w:p>
        </w:tc>
      </w:tr>
      <w:tr w:rsidR="00A85061" w14:paraId="27E07F89" w14:textId="77777777">
        <w:tc>
          <w:tcPr>
            <w:tcW w:w="0" w:type="auto"/>
            <w:gridSpan w:val="3"/>
            <w:shd w:val="clear" w:color="auto" w:fill="auto"/>
            <w:tcMar>
              <w:top w:w="0" w:type="dxa"/>
              <w:left w:w="20" w:type="dxa"/>
              <w:bottom w:w="0" w:type="dxa"/>
              <w:right w:w="20" w:type="dxa"/>
            </w:tcMar>
            <w:vAlign w:val="bottom"/>
          </w:tcPr>
          <w:p w14:paraId="27E07F87" w14:textId="77777777" w:rsidR="00A85061" w:rsidRDefault="00A85061">
            <w:pPr>
              <w:rPr>
                <w:rFonts w:ascii="宋体"/>
              </w:rPr>
            </w:pPr>
          </w:p>
        </w:tc>
        <w:tc>
          <w:tcPr>
            <w:tcW w:w="0" w:type="auto"/>
            <w:gridSpan w:val="21"/>
            <w:shd w:val="clear" w:color="auto" w:fill="auto"/>
            <w:tcMar>
              <w:top w:w="40" w:type="dxa"/>
              <w:left w:w="20" w:type="dxa"/>
              <w:bottom w:w="40" w:type="dxa"/>
              <w:right w:w="20" w:type="dxa"/>
            </w:tcMar>
            <w:vAlign w:val="bottom"/>
          </w:tcPr>
          <w:p w14:paraId="27E07F88"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F9A" w14:textId="77777777">
        <w:tc>
          <w:tcPr>
            <w:tcW w:w="0" w:type="auto"/>
            <w:gridSpan w:val="3"/>
            <w:shd w:val="clear" w:color="auto" w:fill="E2EFD9"/>
            <w:tcMar>
              <w:top w:w="40" w:type="dxa"/>
              <w:left w:w="20" w:type="dxa"/>
              <w:bottom w:w="40" w:type="dxa"/>
              <w:right w:w="20" w:type="dxa"/>
            </w:tcMar>
            <w:vAlign w:val="bottom"/>
          </w:tcPr>
          <w:p w14:paraId="27E07F8A" w14:textId="77777777" w:rsidR="00A85061" w:rsidRDefault="00F04891">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27E07F8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F8C" w14:textId="77777777" w:rsidR="00A85061" w:rsidRDefault="00F04891">
            <w:pPr>
              <w:jc w:val="right"/>
              <w:textAlignment w:val="bottom"/>
            </w:pPr>
            <w:r>
              <w:rPr>
                <w:rFonts w:ascii="sans-serif" w:eastAsia="sans-serif" w:hAnsi="sans-serif" w:cs="sans-serif"/>
                <w:color w:val="000000"/>
                <w:sz w:val="20"/>
                <w:szCs w:val="20"/>
              </w:rPr>
              <w:t>11,499 </w:t>
            </w:r>
          </w:p>
        </w:tc>
        <w:tc>
          <w:tcPr>
            <w:tcW w:w="0" w:type="auto"/>
            <w:shd w:val="clear" w:color="auto" w:fill="E2EFD9"/>
            <w:tcMar>
              <w:top w:w="40" w:type="dxa"/>
              <w:left w:w="0" w:type="dxa"/>
              <w:bottom w:w="40" w:type="dxa"/>
              <w:right w:w="20" w:type="dxa"/>
            </w:tcMar>
            <w:vAlign w:val="bottom"/>
          </w:tcPr>
          <w:p w14:paraId="27E07F8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8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F8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F90" w14:textId="77777777" w:rsidR="00A85061" w:rsidRDefault="00F04891">
            <w:pPr>
              <w:jc w:val="right"/>
              <w:textAlignment w:val="bottom"/>
            </w:pPr>
            <w:r>
              <w:rPr>
                <w:rFonts w:ascii="sans-serif" w:eastAsia="sans-serif" w:hAnsi="sans-serif" w:cs="sans-serif"/>
                <w:color w:val="000000"/>
                <w:sz w:val="20"/>
                <w:szCs w:val="20"/>
              </w:rPr>
              <w:t>11,502 </w:t>
            </w:r>
          </w:p>
        </w:tc>
        <w:tc>
          <w:tcPr>
            <w:tcW w:w="0" w:type="auto"/>
            <w:shd w:val="clear" w:color="auto" w:fill="E2EFD9"/>
            <w:tcMar>
              <w:top w:w="40" w:type="dxa"/>
              <w:left w:w="0" w:type="dxa"/>
              <w:bottom w:w="40" w:type="dxa"/>
              <w:right w:w="20" w:type="dxa"/>
            </w:tcMar>
            <w:vAlign w:val="bottom"/>
          </w:tcPr>
          <w:p w14:paraId="27E07F9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9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F9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F94" w14:textId="77777777" w:rsidR="00A85061" w:rsidRDefault="00F04891">
            <w:pPr>
              <w:jc w:val="right"/>
              <w:textAlignment w:val="bottom"/>
            </w:pPr>
            <w:r>
              <w:rPr>
                <w:rFonts w:ascii="sans-serif" w:eastAsia="sans-serif" w:hAnsi="sans-serif" w:cs="sans-serif"/>
                <w:color w:val="000000"/>
                <w:sz w:val="20"/>
                <w:szCs w:val="20"/>
              </w:rPr>
              <w:t>10,782 </w:t>
            </w:r>
          </w:p>
        </w:tc>
        <w:tc>
          <w:tcPr>
            <w:tcW w:w="0" w:type="auto"/>
            <w:shd w:val="clear" w:color="auto" w:fill="E2EFD9"/>
            <w:tcMar>
              <w:top w:w="40" w:type="dxa"/>
              <w:left w:w="0" w:type="dxa"/>
              <w:bottom w:w="40" w:type="dxa"/>
              <w:right w:w="20" w:type="dxa"/>
            </w:tcMar>
            <w:vAlign w:val="bottom"/>
          </w:tcPr>
          <w:p w14:paraId="27E07F9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9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7F9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7F98" w14:textId="77777777" w:rsidR="00A85061" w:rsidRDefault="00F04891">
            <w:pPr>
              <w:jc w:val="right"/>
              <w:textAlignment w:val="bottom"/>
            </w:pPr>
            <w:r>
              <w:rPr>
                <w:rFonts w:ascii="sans-serif" w:eastAsia="sans-serif" w:hAnsi="sans-serif" w:cs="sans-serif"/>
                <w:color w:val="000000"/>
                <w:sz w:val="20"/>
                <w:szCs w:val="20"/>
              </w:rPr>
              <w:t>10,783 </w:t>
            </w:r>
          </w:p>
        </w:tc>
        <w:tc>
          <w:tcPr>
            <w:tcW w:w="0" w:type="auto"/>
            <w:shd w:val="clear" w:color="auto" w:fill="E2EFD9"/>
            <w:tcMar>
              <w:top w:w="40" w:type="dxa"/>
              <w:left w:w="0" w:type="dxa"/>
              <w:bottom w:w="40" w:type="dxa"/>
              <w:right w:w="20" w:type="dxa"/>
            </w:tcMar>
            <w:vAlign w:val="bottom"/>
          </w:tcPr>
          <w:p w14:paraId="27E07F99" w14:textId="77777777" w:rsidR="00A85061" w:rsidRDefault="00A85061">
            <w:pPr>
              <w:jc w:val="right"/>
              <w:rPr>
                <w:rFonts w:ascii="宋体"/>
              </w:rPr>
            </w:pPr>
          </w:p>
        </w:tc>
      </w:tr>
      <w:tr w:rsidR="00A85061" w14:paraId="27E07FA7" w14:textId="77777777">
        <w:tc>
          <w:tcPr>
            <w:tcW w:w="0" w:type="auto"/>
            <w:gridSpan w:val="3"/>
            <w:shd w:val="clear" w:color="auto" w:fill="FFFFFF"/>
            <w:tcMar>
              <w:top w:w="40" w:type="dxa"/>
              <w:left w:w="20" w:type="dxa"/>
              <w:bottom w:w="40" w:type="dxa"/>
              <w:right w:w="20" w:type="dxa"/>
            </w:tcMar>
            <w:vAlign w:val="bottom"/>
          </w:tcPr>
          <w:p w14:paraId="27E07F9B" w14:textId="77777777" w:rsidR="00A85061" w:rsidRDefault="00F04891">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27E07F9C" w14:textId="77777777" w:rsidR="00A85061" w:rsidRDefault="00F04891">
            <w:pPr>
              <w:jc w:val="right"/>
              <w:textAlignment w:val="bottom"/>
            </w:pPr>
            <w:r>
              <w:rPr>
                <w:rFonts w:ascii="sans-serif" w:eastAsia="sans-serif" w:hAnsi="sans-serif" w:cs="sans-serif"/>
                <w:color w:val="000000"/>
                <w:sz w:val="20"/>
                <w:szCs w:val="20"/>
              </w:rPr>
              <w:t>876 </w:t>
            </w:r>
          </w:p>
        </w:tc>
        <w:tc>
          <w:tcPr>
            <w:tcW w:w="0" w:type="auto"/>
            <w:shd w:val="clear" w:color="auto" w:fill="FFFFFF"/>
            <w:tcMar>
              <w:top w:w="40" w:type="dxa"/>
              <w:left w:w="0" w:type="dxa"/>
              <w:bottom w:w="40" w:type="dxa"/>
              <w:right w:w="20" w:type="dxa"/>
            </w:tcMar>
            <w:vAlign w:val="bottom"/>
          </w:tcPr>
          <w:p w14:paraId="27E07F9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9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9F" w14:textId="77777777" w:rsidR="00A85061" w:rsidRDefault="00F04891">
            <w:pPr>
              <w:jc w:val="right"/>
              <w:textAlignment w:val="bottom"/>
            </w:pPr>
            <w:r>
              <w:rPr>
                <w:rFonts w:ascii="sans-serif" w:eastAsia="sans-serif" w:hAnsi="sans-serif" w:cs="sans-serif"/>
                <w:color w:val="000000"/>
                <w:sz w:val="20"/>
                <w:szCs w:val="20"/>
              </w:rPr>
              <w:t>877 </w:t>
            </w:r>
          </w:p>
        </w:tc>
        <w:tc>
          <w:tcPr>
            <w:tcW w:w="0" w:type="auto"/>
            <w:shd w:val="clear" w:color="auto" w:fill="FFFFFF"/>
            <w:tcMar>
              <w:top w:w="40" w:type="dxa"/>
              <w:left w:w="0" w:type="dxa"/>
              <w:bottom w:w="40" w:type="dxa"/>
              <w:right w:w="20" w:type="dxa"/>
            </w:tcMar>
            <w:vAlign w:val="bottom"/>
          </w:tcPr>
          <w:p w14:paraId="27E07FA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A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A2" w14:textId="77777777" w:rsidR="00A85061" w:rsidRDefault="00F04891">
            <w:pPr>
              <w:jc w:val="right"/>
              <w:textAlignment w:val="bottom"/>
            </w:pPr>
            <w:r>
              <w:rPr>
                <w:rFonts w:ascii="sans-serif" w:eastAsia="sans-serif" w:hAnsi="sans-serif" w:cs="sans-serif"/>
                <w:color w:val="000000"/>
                <w:sz w:val="20"/>
                <w:szCs w:val="20"/>
              </w:rPr>
              <w:t>566 </w:t>
            </w:r>
          </w:p>
        </w:tc>
        <w:tc>
          <w:tcPr>
            <w:tcW w:w="0" w:type="auto"/>
            <w:shd w:val="clear" w:color="auto" w:fill="FFFFFF"/>
            <w:tcMar>
              <w:top w:w="40" w:type="dxa"/>
              <w:left w:w="0" w:type="dxa"/>
              <w:bottom w:w="40" w:type="dxa"/>
              <w:right w:w="20" w:type="dxa"/>
            </w:tcMar>
            <w:vAlign w:val="bottom"/>
          </w:tcPr>
          <w:p w14:paraId="27E07FA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7FA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7FA5" w14:textId="77777777" w:rsidR="00A85061" w:rsidRDefault="00F04891">
            <w:pPr>
              <w:jc w:val="right"/>
              <w:textAlignment w:val="bottom"/>
            </w:pPr>
            <w:r>
              <w:rPr>
                <w:rFonts w:ascii="sans-serif" w:eastAsia="sans-serif" w:hAnsi="sans-serif" w:cs="sans-serif"/>
                <w:color w:val="000000"/>
                <w:sz w:val="20"/>
                <w:szCs w:val="20"/>
              </w:rPr>
              <w:t>568 </w:t>
            </w:r>
          </w:p>
        </w:tc>
        <w:tc>
          <w:tcPr>
            <w:tcW w:w="0" w:type="auto"/>
            <w:shd w:val="clear" w:color="auto" w:fill="FFFFFF"/>
            <w:tcMar>
              <w:top w:w="40" w:type="dxa"/>
              <w:left w:w="0" w:type="dxa"/>
              <w:bottom w:w="40" w:type="dxa"/>
              <w:right w:w="20" w:type="dxa"/>
            </w:tcMar>
            <w:vAlign w:val="bottom"/>
          </w:tcPr>
          <w:p w14:paraId="27E07FA6" w14:textId="77777777" w:rsidR="00A85061" w:rsidRDefault="00A85061">
            <w:pPr>
              <w:jc w:val="right"/>
              <w:rPr>
                <w:rFonts w:ascii="宋体"/>
              </w:rPr>
            </w:pPr>
          </w:p>
        </w:tc>
      </w:tr>
      <w:tr w:rsidR="00A85061" w14:paraId="27E07FB0" w14:textId="77777777">
        <w:trPr>
          <w:hidden/>
        </w:trPr>
        <w:tc>
          <w:tcPr>
            <w:tcW w:w="0" w:type="auto"/>
            <w:gridSpan w:val="3"/>
            <w:shd w:val="clear" w:color="auto" w:fill="auto"/>
            <w:vAlign w:val="bottom"/>
          </w:tcPr>
          <w:p w14:paraId="27E07FA8" w14:textId="77777777" w:rsidR="00A85061" w:rsidRDefault="00A85061">
            <w:pPr>
              <w:rPr>
                <w:rFonts w:ascii="宋体"/>
                <w:vanish/>
              </w:rPr>
            </w:pPr>
          </w:p>
        </w:tc>
        <w:tc>
          <w:tcPr>
            <w:tcW w:w="0" w:type="auto"/>
            <w:gridSpan w:val="3"/>
            <w:shd w:val="clear" w:color="auto" w:fill="auto"/>
            <w:vAlign w:val="bottom"/>
          </w:tcPr>
          <w:p w14:paraId="27E07FA9" w14:textId="77777777" w:rsidR="00A85061" w:rsidRDefault="00A85061">
            <w:pPr>
              <w:rPr>
                <w:rFonts w:ascii="宋体"/>
                <w:vanish/>
              </w:rPr>
            </w:pPr>
          </w:p>
        </w:tc>
        <w:tc>
          <w:tcPr>
            <w:tcW w:w="0" w:type="auto"/>
            <w:gridSpan w:val="3"/>
            <w:shd w:val="clear" w:color="auto" w:fill="auto"/>
            <w:vAlign w:val="bottom"/>
          </w:tcPr>
          <w:p w14:paraId="27E07FAA" w14:textId="77777777" w:rsidR="00A85061" w:rsidRDefault="00A85061">
            <w:pPr>
              <w:rPr>
                <w:rFonts w:ascii="宋体"/>
                <w:vanish/>
              </w:rPr>
            </w:pPr>
          </w:p>
        </w:tc>
        <w:tc>
          <w:tcPr>
            <w:tcW w:w="0" w:type="auto"/>
            <w:gridSpan w:val="3"/>
            <w:shd w:val="clear" w:color="auto" w:fill="auto"/>
            <w:vAlign w:val="bottom"/>
          </w:tcPr>
          <w:p w14:paraId="27E07FAB" w14:textId="77777777" w:rsidR="00A85061" w:rsidRDefault="00A85061">
            <w:pPr>
              <w:rPr>
                <w:rFonts w:ascii="宋体"/>
                <w:vanish/>
              </w:rPr>
            </w:pPr>
          </w:p>
        </w:tc>
        <w:tc>
          <w:tcPr>
            <w:tcW w:w="0" w:type="auto"/>
            <w:gridSpan w:val="3"/>
            <w:shd w:val="clear" w:color="auto" w:fill="auto"/>
            <w:vAlign w:val="bottom"/>
          </w:tcPr>
          <w:p w14:paraId="27E07FAC" w14:textId="77777777" w:rsidR="00A85061" w:rsidRDefault="00A85061">
            <w:pPr>
              <w:rPr>
                <w:rFonts w:ascii="宋体"/>
                <w:vanish/>
              </w:rPr>
            </w:pPr>
          </w:p>
        </w:tc>
        <w:tc>
          <w:tcPr>
            <w:tcW w:w="0" w:type="auto"/>
            <w:gridSpan w:val="3"/>
            <w:shd w:val="clear" w:color="auto" w:fill="auto"/>
            <w:vAlign w:val="bottom"/>
          </w:tcPr>
          <w:p w14:paraId="27E07FAD" w14:textId="77777777" w:rsidR="00A85061" w:rsidRDefault="00A85061">
            <w:pPr>
              <w:rPr>
                <w:rFonts w:ascii="宋体"/>
                <w:vanish/>
              </w:rPr>
            </w:pPr>
          </w:p>
        </w:tc>
        <w:tc>
          <w:tcPr>
            <w:tcW w:w="0" w:type="auto"/>
            <w:gridSpan w:val="3"/>
            <w:shd w:val="clear" w:color="auto" w:fill="auto"/>
            <w:vAlign w:val="bottom"/>
          </w:tcPr>
          <w:p w14:paraId="27E07FAE" w14:textId="77777777" w:rsidR="00A85061" w:rsidRDefault="00A85061">
            <w:pPr>
              <w:rPr>
                <w:rFonts w:ascii="宋体"/>
                <w:vanish/>
              </w:rPr>
            </w:pPr>
          </w:p>
        </w:tc>
        <w:tc>
          <w:tcPr>
            <w:tcW w:w="0" w:type="auto"/>
            <w:gridSpan w:val="3"/>
            <w:shd w:val="clear" w:color="auto" w:fill="auto"/>
            <w:vAlign w:val="bottom"/>
          </w:tcPr>
          <w:p w14:paraId="27E07FAF" w14:textId="77777777" w:rsidR="00A85061" w:rsidRDefault="00A85061">
            <w:pPr>
              <w:rPr>
                <w:rFonts w:ascii="宋体"/>
                <w:vanish/>
              </w:rPr>
            </w:pPr>
          </w:p>
        </w:tc>
      </w:tr>
      <w:tr w:rsidR="00A85061" w14:paraId="27E07FC1" w14:textId="77777777">
        <w:tc>
          <w:tcPr>
            <w:tcW w:w="0" w:type="auto"/>
            <w:gridSpan w:val="3"/>
            <w:shd w:val="clear" w:color="auto" w:fill="E2EFD9"/>
            <w:tcMar>
              <w:top w:w="40" w:type="dxa"/>
              <w:left w:w="20" w:type="dxa"/>
              <w:bottom w:w="40" w:type="dxa"/>
              <w:right w:w="20" w:type="dxa"/>
            </w:tcMar>
            <w:vAlign w:val="bottom"/>
          </w:tcPr>
          <w:p w14:paraId="27E07FB1"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B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B3" w14:textId="77777777" w:rsidR="00A85061" w:rsidRDefault="00F04891">
            <w:pPr>
              <w:jc w:val="right"/>
              <w:textAlignment w:val="bottom"/>
            </w:pPr>
            <w:r>
              <w:rPr>
                <w:rFonts w:ascii="sans-serif" w:eastAsia="sans-serif" w:hAnsi="sans-serif" w:cs="sans-serif"/>
                <w:color w:val="000000"/>
                <w:sz w:val="20"/>
                <w:szCs w:val="20"/>
              </w:rPr>
              <w:t>12,375 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B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B5"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B6"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B7" w14:textId="77777777" w:rsidR="00A85061" w:rsidRDefault="00F04891">
            <w:pPr>
              <w:jc w:val="right"/>
              <w:textAlignment w:val="bottom"/>
            </w:pPr>
            <w:r>
              <w:rPr>
                <w:rFonts w:ascii="sans-serif" w:eastAsia="sans-serif" w:hAnsi="sans-serif" w:cs="sans-serif"/>
                <w:color w:val="000000"/>
                <w:sz w:val="20"/>
                <w:szCs w:val="20"/>
              </w:rPr>
              <w:t>12,379 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B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B9"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B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BB" w14:textId="77777777" w:rsidR="00A85061" w:rsidRDefault="00F04891">
            <w:pPr>
              <w:jc w:val="right"/>
              <w:textAlignment w:val="bottom"/>
            </w:pPr>
            <w:r>
              <w:rPr>
                <w:rFonts w:ascii="sans-serif" w:eastAsia="sans-serif" w:hAnsi="sans-serif" w:cs="sans-serif"/>
                <w:color w:val="000000"/>
                <w:sz w:val="20"/>
                <w:szCs w:val="20"/>
              </w:rPr>
              <w:t>11,348 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B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7FBD"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7FB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7FBF" w14:textId="77777777" w:rsidR="00A85061" w:rsidRDefault="00F04891">
            <w:pPr>
              <w:jc w:val="right"/>
              <w:textAlignment w:val="bottom"/>
            </w:pPr>
            <w:r>
              <w:rPr>
                <w:rFonts w:ascii="sans-serif" w:eastAsia="sans-serif" w:hAnsi="sans-serif" w:cs="sans-serif"/>
                <w:color w:val="000000"/>
                <w:sz w:val="20"/>
                <w:szCs w:val="20"/>
              </w:rPr>
              <w:t>11,351 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7FC0" w14:textId="77777777" w:rsidR="00A85061" w:rsidRDefault="00A85061">
            <w:pPr>
              <w:jc w:val="right"/>
              <w:rPr>
                <w:rFonts w:ascii="宋体"/>
              </w:rPr>
            </w:pPr>
          </w:p>
        </w:tc>
      </w:tr>
    </w:tbl>
    <w:p w14:paraId="27E07FC2" w14:textId="77777777" w:rsidR="00A85061" w:rsidRDefault="00F04891">
      <w:pPr>
        <w:spacing w:after="180"/>
        <w:jc w:val="center"/>
      </w:pPr>
      <w:r>
        <w:rPr>
          <w:rFonts w:ascii="sans-serif" w:eastAsia="sans-serif" w:hAnsi="sans-serif" w:cs="sans-serif"/>
          <w:color w:val="000000"/>
          <w:sz w:val="20"/>
          <w:szCs w:val="20"/>
        </w:rPr>
        <w:t>13</w:t>
      </w:r>
    </w:p>
    <w:p w14:paraId="27E07FC3" w14:textId="77777777" w:rsidR="00A85061" w:rsidRDefault="00F04891">
      <w:r>
        <w:pict w14:anchorId="27E08EFE">
          <v:rect id="_x0000_i1037" style="width:415.3pt;height:1.5pt" o:hralign="center" o:hrstd="t" o:hr="t" fillcolor="#a0a0a0" stroked="f"/>
        </w:pict>
      </w:r>
    </w:p>
    <w:p w14:paraId="27E07FC4" w14:textId="77777777" w:rsidR="00A85061" w:rsidRDefault="00F04891">
      <w:pPr>
        <w:jc w:val="center"/>
      </w:pPr>
      <w:r>
        <w:rPr>
          <w:rFonts w:ascii="sans-serif" w:eastAsia="sans-serif" w:hAnsi="sans-serif" w:cs="sans-serif"/>
          <w:b/>
          <w:bCs/>
          <w:color w:val="000000"/>
          <w:sz w:val="20"/>
          <w:szCs w:val="20"/>
        </w:rPr>
        <w:t>NVIDIA CORPORATION AND SUBSIDIARIES</w:t>
      </w:r>
    </w:p>
    <w:p w14:paraId="27E07FC5"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7FC6" w14:textId="77777777" w:rsidR="00A85061" w:rsidRDefault="00F04891">
      <w:pPr>
        <w:jc w:val="center"/>
      </w:pPr>
      <w:r>
        <w:rPr>
          <w:rFonts w:ascii="sans-serif" w:eastAsia="sans-serif" w:hAnsi="sans-serif" w:cs="sans-serif"/>
          <w:b/>
          <w:bCs/>
          <w:color w:val="000000"/>
          <w:sz w:val="20"/>
          <w:szCs w:val="20"/>
        </w:rPr>
        <w:t>(Unau</w:t>
      </w:r>
      <w:r>
        <w:rPr>
          <w:rFonts w:ascii="sans-serif" w:eastAsia="sans-serif" w:hAnsi="sans-serif" w:cs="sans-serif"/>
          <w:b/>
          <w:bCs/>
          <w:color w:val="000000"/>
          <w:sz w:val="20"/>
          <w:szCs w:val="20"/>
        </w:rPr>
        <w:t>dited)</w:t>
      </w:r>
    </w:p>
    <w:p w14:paraId="27E07FC7" w14:textId="77777777" w:rsidR="00A85061" w:rsidRDefault="00A85061">
      <w:pPr>
        <w:spacing w:after="180"/>
        <w:jc w:val="both"/>
      </w:pPr>
    </w:p>
    <w:p w14:paraId="27E07FC8" w14:textId="77777777" w:rsidR="00A85061" w:rsidRDefault="00A85061">
      <w:pPr>
        <w:spacing w:after="180"/>
        <w:jc w:val="both"/>
      </w:pPr>
    </w:p>
    <w:p w14:paraId="27E07FC9" w14:textId="77777777" w:rsidR="00A85061" w:rsidRDefault="00F04891">
      <w:pPr>
        <w:spacing w:before="240" w:after="120"/>
        <w:jc w:val="both"/>
      </w:pPr>
      <w:r>
        <w:rPr>
          <w:rFonts w:ascii="sans-serif" w:eastAsia="sans-serif" w:hAnsi="sans-serif" w:cs="sans-serif"/>
          <w:b/>
          <w:bCs/>
          <w:color w:val="76B900"/>
          <w:sz w:val="22"/>
          <w:szCs w:val="22"/>
        </w:rPr>
        <w:t>Note 8 – Fair Value of Financial Assets and Liabilities</w:t>
      </w:r>
    </w:p>
    <w:p w14:paraId="27E07FCA" w14:textId="77777777" w:rsidR="00A85061" w:rsidRDefault="00F04891">
      <w:pPr>
        <w:spacing w:after="180"/>
        <w:jc w:val="both"/>
      </w:pPr>
      <w:r>
        <w:rPr>
          <w:rFonts w:ascii="sans-serif" w:eastAsia="sans-serif" w:hAnsi="sans-serif" w:cs="sans-serif"/>
          <w:color w:val="000000"/>
          <w:sz w:val="20"/>
          <w:szCs w:val="20"/>
        </w:rPr>
        <w:t xml:space="preserve">The fair values of our financial assets and liabilities are determined using quoted market prices of identical assets or quoted market prices of similar assets from active markets. We review </w:t>
      </w:r>
      <w:r>
        <w:rPr>
          <w:rFonts w:ascii="sans-serif" w:eastAsia="sans-serif" w:hAnsi="sans-serif" w:cs="sans-serif"/>
          <w:color w:val="000000"/>
          <w:sz w:val="20"/>
          <w:szCs w:val="20"/>
        </w:rPr>
        <w:t>fair value hierarchy classification on a quarterly basis.</w:t>
      </w:r>
    </w:p>
    <w:tbl>
      <w:tblPr>
        <w:tblW w:w="5000" w:type="pct"/>
        <w:tblCellMar>
          <w:top w:w="15" w:type="dxa"/>
          <w:left w:w="15" w:type="dxa"/>
          <w:bottom w:w="15" w:type="dxa"/>
          <w:right w:w="15" w:type="dxa"/>
        </w:tblCellMar>
        <w:tblLook w:val="04A0" w:firstRow="1" w:lastRow="0" w:firstColumn="1" w:lastColumn="0" w:noHBand="0" w:noVBand="1"/>
      </w:tblPr>
      <w:tblGrid>
        <w:gridCol w:w="45"/>
        <w:gridCol w:w="3685"/>
        <w:gridCol w:w="39"/>
        <w:gridCol w:w="56"/>
        <w:gridCol w:w="1041"/>
        <w:gridCol w:w="36"/>
        <w:gridCol w:w="36"/>
        <w:gridCol w:w="36"/>
        <w:gridCol w:w="36"/>
        <w:gridCol w:w="122"/>
        <w:gridCol w:w="1438"/>
        <w:gridCol w:w="36"/>
        <w:gridCol w:w="36"/>
        <w:gridCol w:w="36"/>
        <w:gridCol w:w="36"/>
        <w:gridCol w:w="123"/>
        <w:gridCol w:w="1463"/>
        <w:gridCol w:w="36"/>
      </w:tblGrid>
      <w:tr w:rsidR="00A85061" w14:paraId="27E07FDD" w14:textId="77777777">
        <w:tc>
          <w:tcPr>
            <w:tcW w:w="50" w:type="pct"/>
            <w:shd w:val="clear" w:color="auto" w:fill="auto"/>
            <w:vAlign w:val="bottom"/>
          </w:tcPr>
          <w:p w14:paraId="27E07FCB" w14:textId="77777777" w:rsidR="00A85061" w:rsidRDefault="00A85061">
            <w:pPr>
              <w:rPr>
                <w:rFonts w:ascii="宋体"/>
              </w:rPr>
            </w:pPr>
          </w:p>
        </w:tc>
        <w:tc>
          <w:tcPr>
            <w:tcW w:w="2232" w:type="pct"/>
            <w:shd w:val="clear" w:color="auto" w:fill="auto"/>
            <w:vAlign w:val="bottom"/>
          </w:tcPr>
          <w:p w14:paraId="27E07FCC" w14:textId="77777777" w:rsidR="00A85061" w:rsidRDefault="00A85061">
            <w:pPr>
              <w:rPr>
                <w:rFonts w:ascii="宋体"/>
              </w:rPr>
            </w:pPr>
          </w:p>
        </w:tc>
        <w:tc>
          <w:tcPr>
            <w:tcW w:w="5" w:type="pct"/>
            <w:shd w:val="clear" w:color="auto" w:fill="auto"/>
            <w:vAlign w:val="bottom"/>
          </w:tcPr>
          <w:p w14:paraId="27E07FCD" w14:textId="77777777" w:rsidR="00A85061" w:rsidRDefault="00A85061">
            <w:pPr>
              <w:rPr>
                <w:rFonts w:ascii="宋体"/>
              </w:rPr>
            </w:pPr>
          </w:p>
        </w:tc>
        <w:tc>
          <w:tcPr>
            <w:tcW w:w="50" w:type="pct"/>
            <w:shd w:val="clear" w:color="auto" w:fill="auto"/>
            <w:vAlign w:val="bottom"/>
          </w:tcPr>
          <w:p w14:paraId="27E07FCE" w14:textId="77777777" w:rsidR="00A85061" w:rsidRDefault="00A85061">
            <w:pPr>
              <w:rPr>
                <w:rFonts w:ascii="宋体"/>
              </w:rPr>
            </w:pPr>
          </w:p>
        </w:tc>
        <w:tc>
          <w:tcPr>
            <w:tcW w:w="654" w:type="pct"/>
            <w:shd w:val="clear" w:color="auto" w:fill="auto"/>
            <w:vAlign w:val="bottom"/>
          </w:tcPr>
          <w:p w14:paraId="27E07FCF" w14:textId="77777777" w:rsidR="00A85061" w:rsidRDefault="00A85061">
            <w:pPr>
              <w:rPr>
                <w:rFonts w:ascii="宋体"/>
              </w:rPr>
            </w:pPr>
          </w:p>
        </w:tc>
        <w:tc>
          <w:tcPr>
            <w:tcW w:w="5" w:type="pct"/>
            <w:shd w:val="clear" w:color="auto" w:fill="auto"/>
            <w:vAlign w:val="bottom"/>
          </w:tcPr>
          <w:p w14:paraId="27E07FD0" w14:textId="77777777" w:rsidR="00A85061" w:rsidRDefault="00A85061">
            <w:pPr>
              <w:rPr>
                <w:rFonts w:ascii="宋体"/>
              </w:rPr>
            </w:pPr>
          </w:p>
        </w:tc>
        <w:tc>
          <w:tcPr>
            <w:tcW w:w="5" w:type="pct"/>
            <w:shd w:val="clear" w:color="auto" w:fill="auto"/>
            <w:vAlign w:val="bottom"/>
          </w:tcPr>
          <w:p w14:paraId="27E07FD1" w14:textId="77777777" w:rsidR="00A85061" w:rsidRDefault="00A85061">
            <w:pPr>
              <w:rPr>
                <w:rFonts w:ascii="宋体"/>
              </w:rPr>
            </w:pPr>
          </w:p>
        </w:tc>
        <w:tc>
          <w:tcPr>
            <w:tcW w:w="26" w:type="pct"/>
            <w:shd w:val="clear" w:color="auto" w:fill="auto"/>
            <w:vAlign w:val="bottom"/>
          </w:tcPr>
          <w:p w14:paraId="27E07FD2" w14:textId="77777777" w:rsidR="00A85061" w:rsidRDefault="00A85061">
            <w:pPr>
              <w:rPr>
                <w:rFonts w:ascii="宋体"/>
              </w:rPr>
            </w:pPr>
          </w:p>
        </w:tc>
        <w:tc>
          <w:tcPr>
            <w:tcW w:w="5" w:type="pct"/>
            <w:shd w:val="clear" w:color="auto" w:fill="auto"/>
            <w:vAlign w:val="bottom"/>
          </w:tcPr>
          <w:p w14:paraId="27E07FD3" w14:textId="77777777" w:rsidR="00A85061" w:rsidRDefault="00A85061">
            <w:pPr>
              <w:rPr>
                <w:rFonts w:ascii="宋体"/>
              </w:rPr>
            </w:pPr>
          </w:p>
        </w:tc>
        <w:tc>
          <w:tcPr>
            <w:tcW w:w="50" w:type="pct"/>
            <w:shd w:val="clear" w:color="auto" w:fill="auto"/>
            <w:vAlign w:val="bottom"/>
          </w:tcPr>
          <w:p w14:paraId="27E07FD4" w14:textId="77777777" w:rsidR="00A85061" w:rsidRDefault="00A85061">
            <w:pPr>
              <w:rPr>
                <w:rFonts w:ascii="宋体"/>
              </w:rPr>
            </w:pPr>
          </w:p>
        </w:tc>
        <w:tc>
          <w:tcPr>
            <w:tcW w:w="902" w:type="pct"/>
            <w:shd w:val="clear" w:color="auto" w:fill="auto"/>
            <w:vAlign w:val="bottom"/>
          </w:tcPr>
          <w:p w14:paraId="27E07FD5" w14:textId="77777777" w:rsidR="00A85061" w:rsidRDefault="00A85061">
            <w:pPr>
              <w:rPr>
                <w:rFonts w:ascii="宋体"/>
              </w:rPr>
            </w:pPr>
          </w:p>
        </w:tc>
        <w:tc>
          <w:tcPr>
            <w:tcW w:w="5" w:type="pct"/>
            <w:shd w:val="clear" w:color="auto" w:fill="auto"/>
            <w:vAlign w:val="bottom"/>
          </w:tcPr>
          <w:p w14:paraId="27E07FD6" w14:textId="77777777" w:rsidR="00A85061" w:rsidRDefault="00A85061">
            <w:pPr>
              <w:rPr>
                <w:rFonts w:ascii="宋体"/>
              </w:rPr>
            </w:pPr>
          </w:p>
        </w:tc>
        <w:tc>
          <w:tcPr>
            <w:tcW w:w="5" w:type="pct"/>
            <w:shd w:val="clear" w:color="auto" w:fill="auto"/>
            <w:vAlign w:val="bottom"/>
          </w:tcPr>
          <w:p w14:paraId="27E07FD7" w14:textId="77777777" w:rsidR="00A85061" w:rsidRDefault="00A85061">
            <w:pPr>
              <w:rPr>
                <w:rFonts w:ascii="宋体"/>
              </w:rPr>
            </w:pPr>
          </w:p>
        </w:tc>
        <w:tc>
          <w:tcPr>
            <w:tcW w:w="41" w:type="pct"/>
            <w:shd w:val="clear" w:color="auto" w:fill="auto"/>
            <w:vAlign w:val="bottom"/>
          </w:tcPr>
          <w:p w14:paraId="27E07FD8" w14:textId="77777777" w:rsidR="00A85061" w:rsidRDefault="00A85061">
            <w:pPr>
              <w:rPr>
                <w:rFonts w:ascii="宋体"/>
              </w:rPr>
            </w:pPr>
          </w:p>
        </w:tc>
        <w:tc>
          <w:tcPr>
            <w:tcW w:w="5" w:type="pct"/>
            <w:shd w:val="clear" w:color="auto" w:fill="auto"/>
            <w:vAlign w:val="bottom"/>
          </w:tcPr>
          <w:p w14:paraId="27E07FD9" w14:textId="77777777" w:rsidR="00A85061" w:rsidRDefault="00A85061">
            <w:pPr>
              <w:rPr>
                <w:rFonts w:ascii="宋体"/>
              </w:rPr>
            </w:pPr>
          </w:p>
        </w:tc>
        <w:tc>
          <w:tcPr>
            <w:tcW w:w="50" w:type="pct"/>
            <w:shd w:val="clear" w:color="auto" w:fill="auto"/>
            <w:vAlign w:val="bottom"/>
          </w:tcPr>
          <w:p w14:paraId="27E07FDA" w14:textId="77777777" w:rsidR="00A85061" w:rsidRDefault="00A85061">
            <w:pPr>
              <w:rPr>
                <w:rFonts w:ascii="宋体"/>
              </w:rPr>
            </w:pPr>
          </w:p>
        </w:tc>
        <w:tc>
          <w:tcPr>
            <w:tcW w:w="902" w:type="pct"/>
            <w:shd w:val="clear" w:color="auto" w:fill="auto"/>
            <w:vAlign w:val="bottom"/>
          </w:tcPr>
          <w:p w14:paraId="27E07FDB" w14:textId="77777777" w:rsidR="00A85061" w:rsidRDefault="00A85061">
            <w:pPr>
              <w:rPr>
                <w:rFonts w:ascii="宋体"/>
              </w:rPr>
            </w:pPr>
          </w:p>
        </w:tc>
        <w:tc>
          <w:tcPr>
            <w:tcW w:w="5" w:type="pct"/>
            <w:shd w:val="clear" w:color="auto" w:fill="auto"/>
            <w:vAlign w:val="bottom"/>
          </w:tcPr>
          <w:p w14:paraId="27E07FDC" w14:textId="77777777" w:rsidR="00A85061" w:rsidRDefault="00A85061">
            <w:pPr>
              <w:rPr>
                <w:rFonts w:ascii="宋体"/>
              </w:rPr>
            </w:pPr>
          </w:p>
        </w:tc>
      </w:tr>
      <w:tr w:rsidR="00A85061" w14:paraId="27E07FE1" w14:textId="77777777">
        <w:tc>
          <w:tcPr>
            <w:tcW w:w="0" w:type="auto"/>
            <w:gridSpan w:val="6"/>
            <w:shd w:val="clear" w:color="auto" w:fill="auto"/>
            <w:tcMar>
              <w:top w:w="0" w:type="dxa"/>
              <w:left w:w="20" w:type="dxa"/>
              <w:bottom w:w="0" w:type="dxa"/>
              <w:right w:w="20" w:type="dxa"/>
            </w:tcMar>
            <w:vAlign w:val="bottom"/>
          </w:tcPr>
          <w:p w14:paraId="27E07FD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DF"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FE0" w14:textId="77777777" w:rsidR="00A85061" w:rsidRDefault="00F04891">
            <w:pPr>
              <w:jc w:val="center"/>
              <w:textAlignment w:val="bottom"/>
            </w:pPr>
            <w:r>
              <w:rPr>
                <w:rFonts w:ascii="sans-serif" w:eastAsia="sans-serif" w:hAnsi="sans-serif" w:cs="sans-serif"/>
                <w:b/>
                <w:bCs/>
                <w:color w:val="000000"/>
                <w:sz w:val="20"/>
                <w:szCs w:val="20"/>
              </w:rPr>
              <w:t>Fair Value at</w:t>
            </w:r>
          </w:p>
        </w:tc>
      </w:tr>
      <w:tr w:rsidR="00A85061" w14:paraId="27E07FE8" w14:textId="77777777">
        <w:tc>
          <w:tcPr>
            <w:tcW w:w="0" w:type="auto"/>
            <w:gridSpan w:val="3"/>
            <w:shd w:val="clear" w:color="auto" w:fill="auto"/>
            <w:tcMar>
              <w:top w:w="0" w:type="dxa"/>
              <w:left w:w="20" w:type="dxa"/>
              <w:bottom w:w="0" w:type="dxa"/>
              <w:right w:w="20" w:type="dxa"/>
            </w:tcMar>
            <w:vAlign w:val="bottom"/>
          </w:tcPr>
          <w:p w14:paraId="27E07FE2"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7FE3" w14:textId="77777777" w:rsidR="00A85061" w:rsidRDefault="00F04891">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27E07FE4"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E5"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E6"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7FE7"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7FEF" w14:textId="77777777">
        <w:trPr>
          <w:trHeight w:val="60"/>
        </w:trPr>
        <w:tc>
          <w:tcPr>
            <w:tcW w:w="0" w:type="auto"/>
            <w:gridSpan w:val="3"/>
            <w:shd w:val="clear" w:color="auto" w:fill="auto"/>
            <w:tcMar>
              <w:top w:w="0" w:type="dxa"/>
              <w:left w:w="20" w:type="dxa"/>
              <w:bottom w:w="0" w:type="dxa"/>
              <w:right w:w="20" w:type="dxa"/>
            </w:tcMar>
            <w:vAlign w:val="bottom"/>
          </w:tcPr>
          <w:p w14:paraId="27E07FE9"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E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EB"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E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ED"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7FEE" w14:textId="77777777" w:rsidR="00A85061" w:rsidRDefault="00A85061">
            <w:pPr>
              <w:rPr>
                <w:rFonts w:ascii="宋体"/>
              </w:rPr>
            </w:pPr>
          </w:p>
        </w:tc>
      </w:tr>
      <w:tr w:rsidR="00A85061" w14:paraId="27E07FF4" w14:textId="77777777">
        <w:tc>
          <w:tcPr>
            <w:tcW w:w="0" w:type="auto"/>
            <w:gridSpan w:val="3"/>
            <w:shd w:val="clear" w:color="auto" w:fill="auto"/>
            <w:tcMar>
              <w:top w:w="0" w:type="dxa"/>
              <w:left w:w="20" w:type="dxa"/>
              <w:bottom w:w="0" w:type="dxa"/>
              <w:right w:w="20" w:type="dxa"/>
            </w:tcMar>
            <w:vAlign w:val="bottom"/>
          </w:tcPr>
          <w:p w14:paraId="27E07FF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F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7FF2"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7FF3"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7FFB" w14:textId="77777777">
        <w:tc>
          <w:tcPr>
            <w:tcW w:w="0" w:type="auto"/>
            <w:gridSpan w:val="3"/>
            <w:shd w:val="clear" w:color="auto" w:fill="FFFFFF"/>
            <w:tcMar>
              <w:top w:w="40" w:type="dxa"/>
              <w:left w:w="20" w:type="dxa"/>
              <w:bottom w:w="40" w:type="dxa"/>
              <w:right w:w="20" w:type="dxa"/>
            </w:tcMar>
            <w:vAlign w:val="bottom"/>
          </w:tcPr>
          <w:p w14:paraId="27E07FF5" w14:textId="77777777" w:rsidR="00A85061" w:rsidRDefault="00F04891">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27E07FF6"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FF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FF8"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FF9"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7FFA" w14:textId="77777777" w:rsidR="00A85061" w:rsidRDefault="00A85061">
            <w:pPr>
              <w:rPr>
                <w:rFonts w:ascii="宋体"/>
              </w:rPr>
            </w:pPr>
          </w:p>
        </w:tc>
      </w:tr>
      <w:tr w:rsidR="00A85061" w14:paraId="27E08002" w14:textId="77777777">
        <w:tc>
          <w:tcPr>
            <w:tcW w:w="0" w:type="auto"/>
            <w:gridSpan w:val="3"/>
            <w:shd w:val="clear" w:color="auto" w:fill="E2EFD9"/>
            <w:tcMar>
              <w:top w:w="40" w:type="dxa"/>
              <w:left w:w="20" w:type="dxa"/>
              <w:bottom w:w="40" w:type="dxa"/>
              <w:right w:w="20" w:type="dxa"/>
            </w:tcMar>
            <w:vAlign w:val="bottom"/>
          </w:tcPr>
          <w:p w14:paraId="27E07FFC" w14:textId="77777777" w:rsidR="00A85061" w:rsidRDefault="00F04891">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27E07FFD"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FFE"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7FFF"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00"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01" w14:textId="77777777" w:rsidR="00A85061" w:rsidRDefault="00A85061">
            <w:pPr>
              <w:rPr>
                <w:rFonts w:ascii="宋体"/>
              </w:rPr>
            </w:pPr>
          </w:p>
        </w:tc>
      </w:tr>
      <w:tr w:rsidR="00A85061" w14:paraId="27E0800D" w14:textId="77777777">
        <w:tc>
          <w:tcPr>
            <w:tcW w:w="0" w:type="auto"/>
            <w:gridSpan w:val="3"/>
            <w:shd w:val="clear" w:color="auto" w:fill="FFFFFF"/>
            <w:tcMar>
              <w:top w:w="40" w:type="dxa"/>
              <w:left w:w="200" w:type="dxa"/>
              <w:bottom w:w="40" w:type="dxa"/>
              <w:right w:w="20" w:type="dxa"/>
            </w:tcMar>
            <w:vAlign w:val="bottom"/>
          </w:tcPr>
          <w:p w14:paraId="27E08003" w14:textId="77777777" w:rsidR="00A85061" w:rsidRDefault="00F04891">
            <w:pPr>
              <w:textAlignment w:val="bottom"/>
            </w:pPr>
            <w:r>
              <w:rPr>
                <w:rFonts w:ascii="sans-serif" w:eastAsia="sans-serif" w:hAnsi="sans-serif" w:cs="sans-serif"/>
                <w:color w:val="000000"/>
                <w:sz w:val="20"/>
                <w:szCs w:val="20"/>
              </w:rPr>
              <w:t>Money market funds</w:t>
            </w:r>
          </w:p>
        </w:tc>
        <w:tc>
          <w:tcPr>
            <w:tcW w:w="0" w:type="auto"/>
            <w:gridSpan w:val="3"/>
            <w:shd w:val="clear" w:color="auto" w:fill="FFFFFF"/>
            <w:tcMar>
              <w:top w:w="40" w:type="dxa"/>
              <w:left w:w="20" w:type="dxa"/>
              <w:bottom w:w="40" w:type="dxa"/>
              <w:right w:w="20" w:type="dxa"/>
            </w:tcMar>
            <w:vAlign w:val="bottom"/>
          </w:tcPr>
          <w:p w14:paraId="27E08004" w14:textId="77777777" w:rsidR="00A85061" w:rsidRDefault="00F04891">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27E08005"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0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07" w14:textId="77777777" w:rsidR="00A85061" w:rsidRDefault="00F04891">
            <w:pPr>
              <w:jc w:val="right"/>
              <w:textAlignment w:val="bottom"/>
            </w:pPr>
            <w:r>
              <w:rPr>
                <w:rFonts w:ascii="sans-serif" w:eastAsia="sans-serif" w:hAnsi="sans-serif" w:cs="sans-serif"/>
                <w:color w:val="000000"/>
                <w:sz w:val="20"/>
                <w:szCs w:val="20"/>
              </w:rPr>
              <w:t>319 </w:t>
            </w:r>
          </w:p>
        </w:tc>
        <w:tc>
          <w:tcPr>
            <w:tcW w:w="0" w:type="auto"/>
            <w:shd w:val="clear" w:color="auto" w:fill="FFFFFF"/>
            <w:tcMar>
              <w:top w:w="40" w:type="dxa"/>
              <w:left w:w="0" w:type="dxa"/>
              <w:bottom w:w="40" w:type="dxa"/>
              <w:right w:w="20" w:type="dxa"/>
            </w:tcMar>
            <w:vAlign w:val="bottom"/>
          </w:tcPr>
          <w:p w14:paraId="27E0800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09"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0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0B" w14:textId="77777777" w:rsidR="00A85061" w:rsidRDefault="00F04891">
            <w:pPr>
              <w:jc w:val="right"/>
              <w:textAlignment w:val="bottom"/>
            </w:pPr>
            <w:r>
              <w:rPr>
                <w:rFonts w:ascii="sans-serif" w:eastAsia="sans-serif" w:hAnsi="sans-serif" w:cs="sans-serif"/>
                <w:color w:val="000000"/>
                <w:sz w:val="20"/>
                <w:szCs w:val="20"/>
              </w:rPr>
              <w:t>313 </w:t>
            </w:r>
          </w:p>
        </w:tc>
        <w:tc>
          <w:tcPr>
            <w:tcW w:w="0" w:type="auto"/>
            <w:shd w:val="clear" w:color="auto" w:fill="FFFFFF"/>
            <w:tcMar>
              <w:top w:w="40" w:type="dxa"/>
              <w:left w:w="0" w:type="dxa"/>
              <w:bottom w:w="40" w:type="dxa"/>
              <w:right w:w="20" w:type="dxa"/>
            </w:tcMar>
            <w:vAlign w:val="bottom"/>
          </w:tcPr>
          <w:p w14:paraId="27E0800C" w14:textId="77777777" w:rsidR="00A85061" w:rsidRDefault="00A85061">
            <w:pPr>
              <w:jc w:val="right"/>
              <w:rPr>
                <w:rFonts w:ascii="宋体"/>
              </w:rPr>
            </w:pPr>
          </w:p>
        </w:tc>
      </w:tr>
      <w:tr w:rsidR="00A85061" w14:paraId="27E08018" w14:textId="77777777">
        <w:tc>
          <w:tcPr>
            <w:tcW w:w="0" w:type="auto"/>
            <w:gridSpan w:val="3"/>
            <w:shd w:val="clear" w:color="auto" w:fill="E2EFD9"/>
            <w:tcMar>
              <w:top w:w="40" w:type="dxa"/>
              <w:left w:w="200" w:type="dxa"/>
              <w:bottom w:w="40" w:type="dxa"/>
              <w:right w:w="20" w:type="dxa"/>
            </w:tcMar>
            <w:vAlign w:val="bottom"/>
          </w:tcPr>
          <w:p w14:paraId="27E0800E" w14:textId="77777777" w:rsidR="00A85061" w:rsidRDefault="00F04891">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27E0800F"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1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1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12" w14:textId="77777777" w:rsidR="00A85061" w:rsidRDefault="00F04891">
            <w:pPr>
              <w:jc w:val="right"/>
              <w:textAlignment w:val="bottom"/>
            </w:pPr>
            <w:r>
              <w:rPr>
                <w:rFonts w:ascii="sans-serif" w:eastAsia="sans-serif" w:hAnsi="sans-serif" w:cs="sans-serif"/>
                <w:color w:val="000000"/>
                <w:sz w:val="20"/>
                <w:szCs w:val="20"/>
              </w:rPr>
              <w:t>5,242 </w:t>
            </w:r>
          </w:p>
        </w:tc>
        <w:tc>
          <w:tcPr>
            <w:tcW w:w="0" w:type="auto"/>
            <w:shd w:val="clear" w:color="auto" w:fill="E2EFD9"/>
            <w:tcMar>
              <w:top w:w="40" w:type="dxa"/>
              <w:left w:w="0" w:type="dxa"/>
              <w:bottom w:w="40" w:type="dxa"/>
              <w:right w:w="20" w:type="dxa"/>
            </w:tcMar>
            <w:vAlign w:val="bottom"/>
          </w:tcPr>
          <w:p w14:paraId="27E0801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14"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1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16" w14:textId="77777777" w:rsidR="00A85061" w:rsidRDefault="00F04891">
            <w:pPr>
              <w:jc w:val="right"/>
              <w:textAlignment w:val="bottom"/>
            </w:pPr>
            <w:r>
              <w:rPr>
                <w:rFonts w:ascii="sans-serif" w:eastAsia="sans-serif" w:hAnsi="sans-serif" w:cs="sans-serif"/>
                <w:color w:val="000000"/>
                <w:sz w:val="20"/>
                <w:szCs w:val="20"/>
              </w:rPr>
              <w:t>4,444 </w:t>
            </w:r>
          </w:p>
        </w:tc>
        <w:tc>
          <w:tcPr>
            <w:tcW w:w="0" w:type="auto"/>
            <w:shd w:val="clear" w:color="auto" w:fill="E2EFD9"/>
            <w:tcMar>
              <w:top w:w="40" w:type="dxa"/>
              <w:left w:w="0" w:type="dxa"/>
              <w:bottom w:w="40" w:type="dxa"/>
              <w:right w:w="20" w:type="dxa"/>
            </w:tcMar>
            <w:vAlign w:val="bottom"/>
          </w:tcPr>
          <w:p w14:paraId="27E08017" w14:textId="77777777" w:rsidR="00A85061" w:rsidRDefault="00A85061">
            <w:pPr>
              <w:jc w:val="right"/>
              <w:rPr>
                <w:rFonts w:ascii="宋体"/>
              </w:rPr>
            </w:pPr>
          </w:p>
        </w:tc>
      </w:tr>
      <w:tr w:rsidR="00A85061" w14:paraId="27E08023" w14:textId="77777777">
        <w:tc>
          <w:tcPr>
            <w:tcW w:w="0" w:type="auto"/>
            <w:gridSpan w:val="3"/>
            <w:shd w:val="clear" w:color="auto" w:fill="FFFFFF"/>
            <w:tcMar>
              <w:top w:w="40" w:type="dxa"/>
              <w:left w:w="200" w:type="dxa"/>
              <w:bottom w:w="40" w:type="dxa"/>
              <w:right w:w="20" w:type="dxa"/>
            </w:tcMar>
            <w:vAlign w:val="bottom"/>
          </w:tcPr>
          <w:p w14:paraId="27E08019" w14:textId="77777777" w:rsidR="00A85061" w:rsidRDefault="00F04891">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FFFFFF"/>
            <w:tcMar>
              <w:top w:w="40" w:type="dxa"/>
              <w:left w:w="20" w:type="dxa"/>
              <w:bottom w:w="40" w:type="dxa"/>
              <w:right w:w="20" w:type="dxa"/>
            </w:tcMar>
            <w:vAlign w:val="bottom"/>
          </w:tcPr>
          <w:p w14:paraId="27E0801A"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27E0801B"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1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1D" w14:textId="77777777" w:rsidR="00A85061" w:rsidRDefault="00F04891">
            <w:pPr>
              <w:jc w:val="right"/>
              <w:textAlignment w:val="bottom"/>
            </w:pPr>
            <w:r>
              <w:rPr>
                <w:rFonts w:ascii="sans-serif" w:eastAsia="sans-serif" w:hAnsi="sans-serif" w:cs="sans-serif"/>
                <w:color w:val="000000"/>
                <w:sz w:val="20"/>
                <w:szCs w:val="20"/>
              </w:rPr>
              <w:t>3,046 </w:t>
            </w:r>
          </w:p>
        </w:tc>
        <w:tc>
          <w:tcPr>
            <w:tcW w:w="0" w:type="auto"/>
            <w:shd w:val="clear" w:color="auto" w:fill="FFFFFF"/>
            <w:tcMar>
              <w:top w:w="40" w:type="dxa"/>
              <w:left w:w="0" w:type="dxa"/>
              <w:bottom w:w="40" w:type="dxa"/>
              <w:right w:w="20" w:type="dxa"/>
            </w:tcMar>
            <w:vAlign w:val="bottom"/>
          </w:tcPr>
          <w:p w14:paraId="27E0801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1F"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20"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21" w14:textId="77777777" w:rsidR="00A85061" w:rsidRDefault="00F04891">
            <w:pPr>
              <w:jc w:val="right"/>
              <w:textAlignment w:val="bottom"/>
            </w:pPr>
            <w:r>
              <w:rPr>
                <w:rFonts w:ascii="sans-serif" w:eastAsia="sans-serif" w:hAnsi="sans-serif" w:cs="sans-serif"/>
                <w:color w:val="000000"/>
                <w:sz w:val="20"/>
                <w:szCs w:val="20"/>
              </w:rPr>
              <w:t>2,976 </w:t>
            </w:r>
          </w:p>
        </w:tc>
        <w:tc>
          <w:tcPr>
            <w:tcW w:w="0" w:type="auto"/>
            <w:shd w:val="clear" w:color="auto" w:fill="FFFFFF"/>
            <w:tcMar>
              <w:top w:w="40" w:type="dxa"/>
              <w:left w:w="0" w:type="dxa"/>
              <w:bottom w:w="40" w:type="dxa"/>
              <w:right w:w="20" w:type="dxa"/>
            </w:tcMar>
            <w:vAlign w:val="bottom"/>
          </w:tcPr>
          <w:p w14:paraId="27E08022" w14:textId="77777777" w:rsidR="00A85061" w:rsidRDefault="00A85061">
            <w:pPr>
              <w:jc w:val="right"/>
              <w:rPr>
                <w:rFonts w:ascii="宋体"/>
              </w:rPr>
            </w:pPr>
          </w:p>
        </w:tc>
      </w:tr>
      <w:tr w:rsidR="00A85061" w14:paraId="27E0802E" w14:textId="77777777">
        <w:tc>
          <w:tcPr>
            <w:tcW w:w="0" w:type="auto"/>
            <w:gridSpan w:val="3"/>
            <w:shd w:val="clear" w:color="auto" w:fill="E2EFD9"/>
            <w:tcMar>
              <w:top w:w="40" w:type="dxa"/>
              <w:left w:w="200" w:type="dxa"/>
              <w:bottom w:w="40" w:type="dxa"/>
              <w:right w:w="20" w:type="dxa"/>
            </w:tcMar>
            <w:vAlign w:val="bottom"/>
          </w:tcPr>
          <w:p w14:paraId="27E08024" w14:textId="77777777" w:rsidR="00A85061" w:rsidRDefault="00F04891">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E2EFD9"/>
            <w:tcMar>
              <w:top w:w="40" w:type="dxa"/>
              <w:left w:w="20" w:type="dxa"/>
              <w:bottom w:w="40" w:type="dxa"/>
              <w:right w:w="20" w:type="dxa"/>
            </w:tcMar>
            <w:vAlign w:val="bottom"/>
          </w:tcPr>
          <w:p w14:paraId="27E08025"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2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2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28" w14:textId="77777777" w:rsidR="00A85061" w:rsidRDefault="00F04891">
            <w:pPr>
              <w:jc w:val="right"/>
              <w:textAlignment w:val="bottom"/>
            </w:pPr>
            <w:r>
              <w:rPr>
                <w:rFonts w:ascii="sans-serif" w:eastAsia="sans-serif" w:hAnsi="sans-serif" w:cs="sans-serif"/>
                <w:color w:val="000000"/>
                <w:sz w:val="20"/>
                <w:szCs w:val="20"/>
              </w:rPr>
              <w:t>2,821 </w:t>
            </w:r>
          </w:p>
        </w:tc>
        <w:tc>
          <w:tcPr>
            <w:tcW w:w="0" w:type="auto"/>
            <w:shd w:val="clear" w:color="auto" w:fill="E2EFD9"/>
            <w:tcMar>
              <w:top w:w="40" w:type="dxa"/>
              <w:left w:w="0" w:type="dxa"/>
              <w:bottom w:w="40" w:type="dxa"/>
              <w:right w:w="20" w:type="dxa"/>
            </w:tcMar>
            <w:vAlign w:val="bottom"/>
          </w:tcPr>
          <w:p w14:paraId="27E0802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2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2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2C" w14:textId="77777777" w:rsidR="00A85061" w:rsidRDefault="00F04891">
            <w:pPr>
              <w:jc w:val="right"/>
              <w:textAlignment w:val="bottom"/>
            </w:pPr>
            <w:r>
              <w:rPr>
                <w:rFonts w:ascii="sans-serif" w:eastAsia="sans-serif" w:hAnsi="sans-serif" w:cs="sans-serif"/>
                <w:color w:val="000000"/>
                <w:sz w:val="20"/>
                <w:szCs w:val="20"/>
              </w:rPr>
              <w:t>2,846 </w:t>
            </w:r>
          </w:p>
        </w:tc>
        <w:tc>
          <w:tcPr>
            <w:tcW w:w="0" w:type="auto"/>
            <w:shd w:val="clear" w:color="auto" w:fill="E2EFD9"/>
            <w:tcMar>
              <w:top w:w="40" w:type="dxa"/>
              <w:left w:w="0" w:type="dxa"/>
              <w:bottom w:w="40" w:type="dxa"/>
              <w:right w:w="20" w:type="dxa"/>
            </w:tcMar>
            <w:vAlign w:val="bottom"/>
          </w:tcPr>
          <w:p w14:paraId="27E0802D" w14:textId="77777777" w:rsidR="00A85061" w:rsidRDefault="00A85061">
            <w:pPr>
              <w:jc w:val="right"/>
              <w:rPr>
                <w:rFonts w:ascii="宋体"/>
              </w:rPr>
            </w:pPr>
          </w:p>
        </w:tc>
      </w:tr>
      <w:tr w:rsidR="00A85061" w14:paraId="27E08039" w14:textId="77777777">
        <w:tc>
          <w:tcPr>
            <w:tcW w:w="0" w:type="auto"/>
            <w:gridSpan w:val="3"/>
            <w:shd w:val="clear" w:color="auto" w:fill="FFFFFF"/>
            <w:tcMar>
              <w:top w:w="40" w:type="dxa"/>
              <w:left w:w="200" w:type="dxa"/>
              <w:bottom w:w="40" w:type="dxa"/>
              <w:right w:w="20" w:type="dxa"/>
            </w:tcMar>
            <w:vAlign w:val="bottom"/>
          </w:tcPr>
          <w:p w14:paraId="27E0802F" w14:textId="77777777" w:rsidR="00A85061" w:rsidRDefault="00F04891">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27E08030"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27E08031"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3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33" w14:textId="77777777" w:rsidR="00A85061" w:rsidRDefault="00F04891">
            <w:pPr>
              <w:jc w:val="right"/>
              <w:textAlignment w:val="bottom"/>
            </w:pPr>
            <w:r>
              <w:rPr>
                <w:rFonts w:ascii="sans-serif" w:eastAsia="sans-serif" w:hAnsi="sans-serif" w:cs="sans-serif"/>
                <w:color w:val="000000"/>
                <w:sz w:val="20"/>
                <w:szCs w:val="20"/>
              </w:rPr>
              <w:t>884 </w:t>
            </w:r>
          </w:p>
        </w:tc>
        <w:tc>
          <w:tcPr>
            <w:tcW w:w="0" w:type="auto"/>
            <w:shd w:val="clear" w:color="auto" w:fill="FFFFFF"/>
            <w:tcMar>
              <w:top w:w="40" w:type="dxa"/>
              <w:left w:w="0" w:type="dxa"/>
              <w:bottom w:w="40" w:type="dxa"/>
              <w:right w:w="20" w:type="dxa"/>
            </w:tcMar>
            <w:vAlign w:val="bottom"/>
          </w:tcPr>
          <w:p w14:paraId="27E0803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35"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3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37" w14:textId="77777777" w:rsidR="00A85061" w:rsidRDefault="00F04891">
            <w:pPr>
              <w:jc w:val="right"/>
              <w:textAlignment w:val="bottom"/>
            </w:pPr>
            <w:r>
              <w:rPr>
                <w:rFonts w:ascii="sans-serif" w:eastAsia="sans-serif" w:hAnsi="sans-serif" w:cs="sans-serif"/>
                <w:color w:val="000000"/>
                <w:sz w:val="20"/>
                <w:szCs w:val="20"/>
              </w:rPr>
              <w:t>705 </w:t>
            </w:r>
          </w:p>
        </w:tc>
        <w:tc>
          <w:tcPr>
            <w:tcW w:w="0" w:type="auto"/>
            <w:shd w:val="clear" w:color="auto" w:fill="FFFFFF"/>
            <w:tcMar>
              <w:top w:w="40" w:type="dxa"/>
              <w:left w:w="0" w:type="dxa"/>
              <w:bottom w:w="40" w:type="dxa"/>
              <w:right w:w="20" w:type="dxa"/>
            </w:tcMar>
            <w:vAlign w:val="bottom"/>
          </w:tcPr>
          <w:p w14:paraId="27E08038" w14:textId="77777777" w:rsidR="00A85061" w:rsidRDefault="00A85061">
            <w:pPr>
              <w:jc w:val="right"/>
              <w:rPr>
                <w:rFonts w:ascii="宋体"/>
              </w:rPr>
            </w:pPr>
          </w:p>
        </w:tc>
      </w:tr>
      <w:tr w:rsidR="00A85061" w14:paraId="27E08044" w14:textId="77777777">
        <w:tc>
          <w:tcPr>
            <w:tcW w:w="0" w:type="auto"/>
            <w:gridSpan w:val="3"/>
            <w:shd w:val="clear" w:color="auto" w:fill="E2EFD9"/>
            <w:tcMar>
              <w:top w:w="40" w:type="dxa"/>
              <w:left w:w="200" w:type="dxa"/>
              <w:bottom w:w="40" w:type="dxa"/>
              <w:right w:w="20" w:type="dxa"/>
            </w:tcMar>
            <w:vAlign w:val="bottom"/>
          </w:tcPr>
          <w:p w14:paraId="27E0803A" w14:textId="77777777" w:rsidR="00A85061" w:rsidRDefault="00F04891">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27E0803B"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3C"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3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3E"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27E0803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4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4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42"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27E08043" w14:textId="77777777" w:rsidR="00A85061" w:rsidRDefault="00A85061">
            <w:pPr>
              <w:jc w:val="right"/>
              <w:rPr>
                <w:rFonts w:ascii="宋体"/>
              </w:rPr>
            </w:pPr>
          </w:p>
        </w:tc>
      </w:tr>
      <w:tr w:rsidR="00A85061" w14:paraId="27E0804B" w14:textId="77777777">
        <w:trPr>
          <w:hidden/>
        </w:trPr>
        <w:tc>
          <w:tcPr>
            <w:tcW w:w="0" w:type="auto"/>
            <w:gridSpan w:val="3"/>
            <w:shd w:val="clear" w:color="auto" w:fill="auto"/>
            <w:vAlign w:val="bottom"/>
          </w:tcPr>
          <w:p w14:paraId="27E08045" w14:textId="77777777" w:rsidR="00A85061" w:rsidRDefault="00A85061">
            <w:pPr>
              <w:rPr>
                <w:rFonts w:ascii="宋体"/>
                <w:vanish/>
              </w:rPr>
            </w:pPr>
          </w:p>
        </w:tc>
        <w:tc>
          <w:tcPr>
            <w:tcW w:w="0" w:type="auto"/>
            <w:gridSpan w:val="3"/>
            <w:shd w:val="clear" w:color="auto" w:fill="auto"/>
            <w:vAlign w:val="bottom"/>
          </w:tcPr>
          <w:p w14:paraId="27E08046" w14:textId="77777777" w:rsidR="00A85061" w:rsidRDefault="00A85061">
            <w:pPr>
              <w:rPr>
                <w:rFonts w:ascii="宋体"/>
                <w:vanish/>
              </w:rPr>
            </w:pPr>
          </w:p>
        </w:tc>
        <w:tc>
          <w:tcPr>
            <w:tcW w:w="0" w:type="auto"/>
            <w:gridSpan w:val="3"/>
            <w:shd w:val="clear" w:color="auto" w:fill="auto"/>
            <w:vAlign w:val="bottom"/>
          </w:tcPr>
          <w:p w14:paraId="27E08047" w14:textId="77777777" w:rsidR="00A85061" w:rsidRDefault="00A85061">
            <w:pPr>
              <w:rPr>
                <w:rFonts w:ascii="宋体"/>
                <w:vanish/>
              </w:rPr>
            </w:pPr>
          </w:p>
        </w:tc>
        <w:tc>
          <w:tcPr>
            <w:tcW w:w="0" w:type="auto"/>
            <w:gridSpan w:val="3"/>
            <w:shd w:val="clear" w:color="auto" w:fill="auto"/>
            <w:vAlign w:val="bottom"/>
          </w:tcPr>
          <w:p w14:paraId="27E08048" w14:textId="77777777" w:rsidR="00A85061" w:rsidRDefault="00A85061">
            <w:pPr>
              <w:rPr>
                <w:rFonts w:ascii="宋体"/>
                <w:vanish/>
              </w:rPr>
            </w:pPr>
          </w:p>
        </w:tc>
        <w:tc>
          <w:tcPr>
            <w:tcW w:w="0" w:type="auto"/>
            <w:gridSpan w:val="3"/>
            <w:shd w:val="clear" w:color="auto" w:fill="auto"/>
            <w:vAlign w:val="bottom"/>
          </w:tcPr>
          <w:p w14:paraId="27E08049" w14:textId="77777777" w:rsidR="00A85061" w:rsidRDefault="00A85061">
            <w:pPr>
              <w:rPr>
                <w:rFonts w:ascii="宋体"/>
                <w:vanish/>
              </w:rPr>
            </w:pPr>
          </w:p>
        </w:tc>
        <w:tc>
          <w:tcPr>
            <w:tcW w:w="0" w:type="auto"/>
            <w:gridSpan w:val="3"/>
            <w:shd w:val="clear" w:color="auto" w:fill="auto"/>
            <w:vAlign w:val="bottom"/>
          </w:tcPr>
          <w:p w14:paraId="27E0804A" w14:textId="77777777" w:rsidR="00A85061" w:rsidRDefault="00A85061">
            <w:pPr>
              <w:rPr>
                <w:rFonts w:ascii="宋体"/>
                <w:vanish/>
              </w:rPr>
            </w:pPr>
          </w:p>
        </w:tc>
      </w:tr>
      <w:tr w:rsidR="00A85061" w14:paraId="27E08052" w14:textId="77777777">
        <w:trPr>
          <w:hidden/>
        </w:trPr>
        <w:tc>
          <w:tcPr>
            <w:tcW w:w="0" w:type="auto"/>
            <w:gridSpan w:val="3"/>
            <w:shd w:val="clear" w:color="auto" w:fill="auto"/>
            <w:vAlign w:val="bottom"/>
          </w:tcPr>
          <w:p w14:paraId="27E0804C" w14:textId="77777777" w:rsidR="00A85061" w:rsidRDefault="00A85061">
            <w:pPr>
              <w:rPr>
                <w:rFonts w:ascii="宋体"/>
                <w:vanish/>
              </w:rPr>
            </w:pPr>
          </w:p>
        </w:tc>
        <w:tc>
          <w:tcPr>
            <w:tcW w:w="0" w:type="auto"/>
            <w:gridSpan w:val="3"/>
            <w:shd w:val="clear" w:color="auto" w:fill="auto"/>
            <w:vAlign w:val="bottom"/>
          </w:tcPr>
          <w:p w14:paraId="27E0804D" w14:textId="77777777" w:rsidR="00A85061" w:rsidRDefault="00A85061">
            <w:pPr>
              <w:rPr>
                <w:rFonts w:ascii="宋体"/>
                <w:vanish/>
              </w:rPr>
            </w:pPr>
          </w:p>
        </w:tc>
        <w:tc>
          <w:tcPr>
            <w:tcW w:w="0" w:type="auto"/>
            <w:gridSpan w:val="3"/>
            <w:shd w:val="clear" w:color="auto" w:fill="auto"/>
            <w:vAlign w:val="bottom"/>
          </w:tcPr>
          <w:p w14:paraId="27E0804E" w14:textId="77777777" w:rsidR="00A85061" w:rsidRDefault="00A85061">
            <w:pPr>
              <w:rPr>
                <w:rFonts w:ascii="宋体"/>
                <w:vanish/>
              </w:rPr>
            </w:pPr>
          </w:p>
        </w:tc>
        <w:tc>
          <w:tcPr>
            <w:tcW w:w="0" w:type="auto"/>
            <w:gridSpan w:val="3"/>
            <w:shd w:val="clear" w:color="auto" w:fill="auto"/>
            <w:vAlign w:val="bottom"/>
          </w:tcPr>
          <w:p w14:paraId="27E0804F" w14:textId="77777777" w:rsidR="00A85061" w:rsidRDefault="00A85061">
            <w:pPr>
              <w:rPr>
                <w:rFonts w:ascii="宋体"/>
                <w:vanish/>
              </w:rPr>
            </w:pPr>
          </w:p>
        </w:tc>
        <w:tc>
          <w:tcPr>
            <w:tcW w:w="0" w:type="auto"/>
            <w:gridSpan w:val="3"/>
            <w:shd w:val="clear" w:color="auto" w:fill="auto"/>
            <w:vAlign w:val="bottom"/>
          </w:tcPr>
          <w:p w14:paraId="27E08050" w14:textId="77777777" w:rsidR="00A85061" w:rsidRDefault="00A85061">
            <w:pPr>
              <w:rPr>
                <w:rFonts w:ascii="宋体"/>
                <w:vanish/>
              </w:rPr>
            </w:pPr>
          </w:p>
        </w:tc>
        <w:tc>
          <w:tcPr>
            <w:tcW w:w="0" w:type="auto"/>
            <w:gridSpan w:val="3"/>
            <w:shd w:val="clear" w:color="auto" w:fill="auto"/>
            <w:vAlign w:val="bottom"/>
          </w:tcPr>
          <w:p w14:paraId="27E08051" w14:textId="77777777" w:rsidR="00A85061" w:rsidRDefault="00A85061">
            <w:pPr>
              <w:rPr>
                <w:rFonts w:ascii="宋体"/>
                <w:vanish/>
              </w:rPr>
            </w:pPr>
          </w:p>
        </w:tc>
      </w:tr>
      <w:tr w:rsidR="00A85061" w14:paraId="27E08059" w14:textId="77777777">
        <w:tc>
          <w:tcPr>
            <w:tcW w:w="0" w:type="auto"/>
            <w:gridSpan w:val="3"/>
            <w:shd w:val="clear" w:color="auto" w:fill="FFFFFF"/>
            <w:tcMar>
              <w:top w:w="40" w:type="dxa"/>
              <w:left w:w="20" w:type="dxa"/>
              <w:bottom w:w="40" w:type="dxa"/>
              <w:right w:w="20" w:type="dxa"/>
            </w:tcMar>
            <w:vAlign w:val="bottom"/>
          </w:tcPr>
          <w:p w14:paraId="27E08053" w14:textId="77777777" w:rsidR="00A85061" w:rsidRDefault="00F04891">
            <w:pPr>
              <w:textAlignment w:val="bottom"/>
            </w:pPr>
            <w:r>
              <w:rPr>
                <w:rFonts w:ascii="sans-serif" w:eastAsia="sans-serif" w:hAnsi="sans-serif" w:cs="sans-serif"/>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27E08054"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55"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56"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5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58" w14:textId="77777777" w:rsidR="00A85061" w:rsidRDefault="00A85061">
            <w:pPr>
              <w:rPr>
                <w:rFonts w:ascii="宋体"/>
              </w:rPr>
            </w:pPr>
          </w:p>
        </w:tc>
      </w:tr>
      <w:tr w:rsidR="00A85061" w14:paraId="27E08064" w14:textId="77777777">
        <w:tc>
          <w:tcPr>
            <w:tcW w:w="0" w:type="auto"/>
            <w:gridSpan w:val="3"/>
            <w:shd w:val="clear" w:color="auto" w:fill="E2EFD9"/>
            <w:tcMar>
              <w:top w:w="40" w:type="dxa"/>
              <w:left w:w="200" w:type="dxa"/>
              <w:bottom w:w="40" w:type="dxa"/>
              <w:right w:w="20" w:type="dxa"/>
            </w:tcMar>
            <w:vAlign w:val="bottom"/>
          </w:tcPr>
          <w:p w14:paraId="27E0805A" w14:textId="77777777" w:rsidR="00A85061" w:rsidRDefault="00F04891">
            <w:pPr>
              <w:textAlignment w:val="bottom"/>
            </w:pPr>
            <w:r>
              <w:rPr>
                <w:rFonts w:ascii="sans-serif" w:eastAsia="sans-serif" w:hAnsi="sans-serif" w:cs="sans-serif"/>
                <w:color w:val="000000"/>
                <w:sz w:val="20"/>
                <w:szCs w:val="20"/>
              </w:rPr>
              <w:t>Publicly-held equity security (1)</w:t>
            </w:r>
          </w:p>
        </w:tc>
        <w:tc>
          <w:tcPr>
            <w:tcW w:w="0" w:type="auto"/>
            <w:gridSpan w:val="3"/>
            <w:shd w:val="clear" w:color="auto" w:fill="E2EFD9"/>
            <w:tcMar>
              <w:top w:w="40" w:type="dxa"/>
              <w:left w:w="20" w:type="dxa"/>
              <w:bottom w:w="40" w:type="dxa"/>
              <w:right w:w="20" w:type="dxa"/>
            </w:tcMar>
            <w:vAlign w:val="bottom"/>
          </w:tcPr>
          <w:p w14:paraId="27E0805B" w14:textId="77777777" w:rsidR="00A85061" w:rsidRDefault="00F04891">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27E0805C"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5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5E" w14:textId="77777777" w:rsidR="00A85061" w:rsidRDefault="00F04891">
            <w:pPr>
              <w:jc w:val="right"/>
              <w:textAlignment w:val="bottom"/>
            </w:pPr>
            <w:r>
              <w:rPr>
                <w:rFonts w:ascii="sans-serif" w:eastAsia="sans-serif" w:hAnsi="sans-serif" w:cs="sans-serif"/>
                <w:color w:val="000000"/>
                <w:sz w:val="20"/>
                <w:szCs w:val="20"/>
              </w:rPr>
              <w:t>133 </w:t>
            </w:r>
          </w:p>
        </w:tc>
        <w:tc>
          <w:tcPr>
            <w:tcW w:w="0" w:type="auto"/>
            <w:shd w:val="clear" w:color="auto" w:fill="E2EFD9"/>
            <w:tcMar>
              <w:top w:w="40" w:type="dxa"/>
              <w:left w:w="0" w:type="dxa"/>
              <w:bottom w:w="40" w:type="dxa"/>
              <w:right w:w="20" w:type="dxa"/>
            </w:tcMar>
            <w:vAlign w:val="bottom"/>
          </w:tcPr>
          <w:p w14:paraId="27E0805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6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6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62"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8063" w14:textId="77777777" w:rsidR="00A85061" w:rsidRDefault="00A85061">
            <w:pPr>
              <w:jc w:val="right"/>
              <w:rPr>
                <w:rFonts w:ascii="宋体"/>
              </w:rPr>
            </w:pPr>
          </w:p>
        </w:tc>
      </w:tr>
      <w:tr w:rsidR="00A85061" w14:paraId="27E0806B" w14:textId="77777777">
        <w:tc>
          <w:tcPr>
            <w:tcW w:w="0" w:type="auto"/>
            <w:gridSpan w:val="3"/>
            <w:shd w:val="clear" w:color="auto" w:fill="FFFFFF"/>
            <w:tcMar>
              <w:top w:w="40" w:type="dxa"/>
              <w:left w:w="20" w:type="dxa"/>
              <w:bottom w:w="40" w:type="dxa"/>
              <w:right w:w="20" w:type="dxa"/>
            </w:tcMar>
            <w:vAlign w:val="bottom"/>
          </w:tcPr>
          <w:p w14:paraId="27E08065" w14:textId="77777777" w:rsidR="00A85061" w:rsidRDefault="00F04891">
            <w:pPr>
              <w:textAlignment w:val="bottom"/>
            </w:pPr>
            <w:r>
              <w:rPr>
                <w:rFonts w:ascii="sans-serif" w:eastAsia="sans-serif" w:hAnsi="sans-serif" w:cs="sans-serif"/>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27E08066"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6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68"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69"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6A" w14:textId="77777777" w:rsidR="00A85061" w:rsidRDefault="00A85061">
            <w:pPr>
              <w:rPr>
                <w:rFonts w:ascii="宋体"/>
              </w:rPr>
            </w:pPr>
          </w:p>
        </w:tc>
      </w:tr>
      <w:tr w:rsidR="00A85061" w14:paraId="27E08076" w14:textId="77777777">
        <w:tc>
          <w:tcPr>
            <w:tcW w:w="0" w:type="auto"/>
            <w:gridSpan w:val="3"/>
            <w:shd w:val="clear" w:color="auto" w:fill="E2EFD9"/>
            <w:tcMar>
              <w:top w:w="40" w:type="dxa"/>
              <w:left w:w="200" w:type="dxa"/>
              <w:bottom w:w="40" w:type="dxa"/>
              <w:right w:w="20" w:type="dxa"/>
            </w:tcMar>
            <w:vAlign w:val="bottom"/>
          </w:tcPr>
          <w:p w14:paraId="27E0806C" w14:textId="77777777" w:rsidR="00A85061" w:rsidRDefault="00F04891">
            <w:pPr>
              <w:textAlignment w:val="bottom"/>
            </w:pPr>
            <w:r>
              <w:rPr>
                <w:rFonts w:ascii="sans-serif" w:eastAsia="sans-serif" w:hAnsi="sans-serif" w:cs="sans-serif"/>
                <w:color w:val="000000"/>
                <w:sz w:val="20"/>
                <w:szCs w:val="20"/>
              </w:rPr>
              <w:t>Investment in non-affiliated entities (2)</w:t>
            </w:r>
          </w:p>
        </w:tc>
        <w:tc>
          <w:tcPr>
            <w:tcW w:w="0" w:type="auto"/>
            <w:gridSpan w:val="3"/>
            <w:shd w:val="clear" w:color="auto" w:fill="E2EFD9"/>
            <w:tcMar>
              <w:top w:w="40" w:type="dxa"/>
              <w:left w:w="20" w:type="dxa"/>
              <w:bottom w:w="40" w:type="dxa"/>
              <w:right w:w="20" w:type="dxa"/>
            </w:tcMar>
            <w:vAlign w:val="bottom"/>
          </w:tcPr>
          <w:p w14:paraId="27E0806D" w14:textId="77777777" w:rsidR="00A85061" w:rsidRDefault="00F04891">
            <w:pPr>
              <w:jc w:val="center"/>
              <w:textAlignment w:val="bottom"/>
            </w:pPr>
            <w:r>
              <w:rPr>
                <w:rFonts w:ascii="sans-serif" w:eastAsia="sans-serif" w:hAnsi="sans-serif" w:cs="sans-serif"/>
                <w:color w:val="000000"/>
                <w:sz w:val="20"/>
                <w:szCs w:val="20"/>
              </w:rPr>
              <w:t>Level 3</w:t>
            </w:r>
          </w:p>
        </w:tc>
        <w:tc>
          <w:tcPr>
            <w:tcW w:w="0" w:type="auto"/>
            <w:gridSpan w:val="3"/>
            <w:shd w:val="clear" w:color="auto" w:fill="E2EFD9"/>
            <w:tcMar>
              <w:top w:w="0" w:type="dxa"/>
              <w:left w:w="20" w:type="dxa"/>
              <w:bottom w:w="0" w:type="dxa"/>
              <w:right w:w="20" w:type="dxa"/>
            </w:tcMar>
            <w:vAlign w:val="bottom"/>
          </w:tcPr>
          <w:p w14:paraId="27E0806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6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70" w14:textId="77777777" w:rsidR="00A85061" w:rsidRDefault="00F04891">
            <w:pPr>
              <w:jc w:val="right"/>
              <w:textAlignment w:val="bottom"/>
            </w:pPr>
            <w:r>
              <w:rPr>
                <w:rFonts w:ascii="sans-serif" w:eastAsia="sans-serif" w:hAnsi="sans-serif" w:cs="sans-serif"/>
                <w:color w:val="000000"/>
                <w:sz w:val="20"/>
                <w:szCs w:val="20"/>
              </w:rPr>
              <w:t>146 </w:t>
            </w:r>
          </w:p>
        </w:tc>
        <w:tc>
          <w:tcPr>
            <w:tcW w:w="0" w:type="auto"/>
            <w:shd w:val="clear" w:color="auto" w:fill="E2EFD9"/>
            <w:tcMar>
              <w:top w:w="40" w:type="dxa"/>
              <w:left w:w="0" w:type="dxa"/>
              <w:bottom w:w="40" w:type="dxa"/>
              <w:right w:w="20" w:type="dxa"/>
            </w:tcMar>
            <w:vAlign w:val="bottom"/>
          </w:tcPr>
          <w:p w14:paraId="27E0807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7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7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74" w14:textId="77777777" w:rsidR="00A85061" w:rsidRDefault="00F04891">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27E08075" w14:textId="77777777" w:rsidR="00A85061" w:rsidRDefault="00A85061">
            <w:pPr>
              <w:jc w:val="right"/>
              <w:rPr>
                <w:rFonts w:ascii="宋体"/>
              </w:rPr>
            </w:pPr>
          </w:p>
        </w:tc>
      </w:tr>
      <w:tr w:rsidR="00A85061" w14:paraId="27E0807D" w14:textId="77777777">
        <w:trPr>
          <w:trHeight w:val="300"/>
        </w:trPr>
        <w:tc>
          <w:tcPr>
            <w:tcW w:w="0" w:type="auto"/>
            <w:gridSpan w:val="3"/>
            <w:shd w:val="clear" w:color="auto" w:fill="FFFFFF"/>
            <w:tcMar>
              <w:top w:w="0" w:type="dxa"/>
              <w:left w:w="20" w:type="dxa"/>
              <w:bottom w:w="0" w:type="dxa"/>
              <w:right w:w="20" w:type="dxa"/>
            </w:tcMar>
            <w:vAlign w:val="bottom"/>
          </w:tcPr>
          <w:p w14:paraId="27E0807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78"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79"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7A"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7B"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07C" w14:textId="77777777" w:rsidR="00A85061" w:rsidRDefault="00A85061">
            <w:pPr>
              <w:rPr>
                <w:rFonts w:ascii="宋体"/>
              </w:rPr>
            </w:pPr>
          </w:p>
        </w:tc>
      </w:tr>
      <w:tr w:rsidR="00A85061" w14:paraId="27E08084" w14:textId="77777777">
        <w:trPr>
          <w:hidden/>
        </w:trPr>
        <w:tc>
          <w:tcPr>
            <w:tcW w:w="0" w:type="auto"/>
            <w:gridSpan w:val="3"/>
            <w:shd w:val="clear" w:color="auto" w:fill="auto"/>
            <w:vAlign w:val="bottom"/>
          </w:tcPr>
          <w:p w14:paraId="27E0807E" w14:textId="77777777" w:rsidR="00A85061" w:rsidRDefault="00A85061">
            <w:pPr>
              <w:rPr>
                <w:rFonts w:ascii="宋体"/>
                <w:vanish/>
              </w:rPr>
            </w:pPr>
          </w:p>
        </w:tc>
        <w:tc>
          <w:tcPr>
            <w:tcW w:w="0" w:type="auto"/>
            <w:gridSpan w:val="3"/>
            <w:shd w:val="clear" w:color="auto" w:fill="auto"/>
            <w:vAlign w:val="bottom"/>
          </w:tcPr>
          <w:p w14:paraId="27E0807F" w14:textId="77777777" w:rsidR="00A85061" w:rsidRDefault="00A85061">
            <w:pPr>
              <w:rPr>
                <w:rFonts w:ascii="宋体"/>
                <w:vanish/>
              </w:rPr>
            </w:pPr>
          </w:p>
        </w:tc>
        <w:tc>
          <w:tcPr>
            <w:tcW w:w="0" w:type="auto"/>
            <w:gridSpan w:val="3"/>
            <w:shd w:val="clear" w:color="auto" w:fill="auto"/>
            <w:vAlign w:val="bottom"/>
          </w:tcPr>
          <w:p w14:paraId="27E08080" w14:textId="77777777" w:rsidR="00A85061" w:rsidRDefault="00A85061">
            <w:pPr>
              <w:rPr>
                <w:rFonts w:ascii="宋体"/>
                <w:vanish/>
              </w:rPr>
            </w:pPr>
          </w:p>
        </w:tc>
        <w:tc>
          <w:tcPr>
            <w:tcW w:w="0" w:type="auto"/>
            <w:gridSpan w:val="3"/>
            <w:shd w:val="clear" w:color="auto" w:fill="auto"/>
            <w:vAlign w:val="bottom"/>
          </w:tcPr>
          <w:p w14:paraId="27E08081" w14:textId="77777777" w:rsidR="00A85061" w:rsidRDefault="00A85061">
            <w:pPr>
              <w:rPr>
                <w:rFonts w:ascii="宋体"/>
                <w:vanish/>
              </w:rPr>
            </w:pPr>
          </w:p>
        </w:tc>
        <w:tc>
          <w:tcPr>
            <w:tcW w:w="0" w:type="auto"/>
            <w:gridSpan w:val="3"/>
            <w:shd w:val="clear" w:color="auto" w:fill="auto"/>
            <w:vAlign w:val="bottom"/>
          </w:tcPr>
          <w:p w14:paraId="27E08082" w14:textId="77777777" w:rsidR="00A85061" w:rsidRDefault="00A85061">
            <w:pPr>
              <w:rPr>
                <w:rFonts w:ascii="宋体"/>
                <w:vanish/>
              </w:rPr>
            </w:pPr>
          </w:p>
        </w:tc>
        <w:tc>
          <w:tcPr>
            <w:tcW w:w="0" w:type="auto"/>
            <w:gridSpan w:val="3"/>
            <w:shd w:val="clear" w:color="auto" w:fill="auto"/>
            <w:vAlign w:val="bottom"/>
          </w:tcPr>
          <w:p w14:paraId="27E08083" w14:textId="77777777" w:rsidR="00A85061" w:rsidRDefault="00A85061">
            <w:pPr>
              <w:rPr>
                <w:rFonts w:ascii="宋体"/>
                <w:vanish/>
              </w:rPr>
            </w:pPr>
          </w:p>
        </w:tc>
      </w:tr>
      <w:tr w:rsidR="00A85061" w14:paraId="27E0808B" w14:textId="77777777">
        <w:trPr>
          <w:hidden/>
        </w:trPr>
        <w:tc>
          <w:tcPr>
            <w:tcW w:w="0" w:type="auto"/>
            <w:gridSpan w:val="3"/>
            <w:shd w:val="clear" w:color="auto" w:fill="auto"/>
            <w:vAlign w:val="bottom"/>
          </w:tcPr>
          <w:p w14:paraId="27E08085" w14:textId="77777777" w:rsidR="00A85061" w:rsidRDefault="00A85061">
            <w:pPr>
              <w:rPr>
                <w:rFonts w:ascii="宋体"/>
                <w:vanish/>
              </w:rPr>
            </w:pPr>
          </w:p>
        </w:tc>
        <w:tc>
          <w:tcPr>
            <w:tcW w:w="0" w:type="auto"/>
            <w:gridSpan w:val="3"/>
            <w:shd w:val="clear" w:color="auto" w:fill="auto"/>
            <w:vAlign w:val="bottom"/>
          </w:tcPr>
          <w:p w14:paraId="27E08086" w14:textId="77777777" w:rsidR="00A85061" w:rsidRDefault="00A85061">
            <w:pPr>
              <w:rPr>
                <w:rFonts w:ascii="宋体"/>
                <w:vanish/>
              </w:rPr>
            </w:pPr>
          </w:p>
        </w:tc>
        <w:tc>
          <w:tcPr>
            <w:tcW w:w="0" w:type="auto"/>
            <w:gridSpan w:val="3"/>
            <w:shd w:val="clear" w:color="auto" w:fill="auto"/>
            <w:vAlign w:val="bottom"/>
          </w:tcPr>
          <w:p w14:paraId="27E08087" w14:textId="77777777" w:rsidR="00A85061" w:rsidRDefault="00A85061">
            <w:pPr>
              <w:rPr>
                <w:rFonts w:ascii="宋体"/>
                <w:vanish/>
              </w:rPr>
            </w:pPr>
          </w:p>
        </w:tc>
        <w:tc>
          <w:tcPr>
            <w:tcW w:w="0" w:type="auto"/>
            <w:gridSpan w:val="3"/>
            <w:shd w:val="clear" w:color="auto" w:fill="auto"/>
            <w:vAlign w:val="bottom"/>
          </w:tcPr>
          <w:p w14:paraId="27E08088" w14:textId="77777777" w:rsidR="00A85061" w:rsidRDefault="00A85061">
            <w:pPr>
              <w:rPr>
                <w:rFonts w:ascii="宋体"/>
                <w:vanish/>
              </w:rPr>
            </w:pPr>
          </w:p>
        </w:tc>
        <w:tc>
          <w:tcPr>
            <w:tcW w:w="0" w:type="auto"/>
            <w:gridSpan w:val="3"/>
            <w:shd w:val="clear" w:color="auto" w:fill="auto"/>
            <w:vAlign w:val="bottom"/>
          </w:tcPr>
          <w:p w14:paraId="27E08089" w14:textId="77777777" w:rsidR="00A85061" w:rsidRDefault="00A85061">
            <w:pPr>
              <w:rPr>
                <w:rFonts w:ascii="宋体"/>
                <w:vanish/>
              </w:rPr>
            </w:pPr>
          </w:p>
        </w:tc>
        <w:tc>
          <w:tcPr>
            <w:tcW w:w="0" w:type="auto"/>
            <w:gridSpan w:val="3"/>
            <w:shd w:val="clear" w:color="auto" w:fill="auto"/>
            <w:vAlign w:val="bottom"/>
          </w:tcPr>
          <w:p w14:paraId="27E0808A" w14:textId="77777777" w:rsidR="00A85061" w:rsidRDefault="00A85061">
            <w:pPr>
              <w:rPr>
                <w:rFonts w:ascii="宋体"/>
                <w:vanish/>
              </w:rPr>
            </w:pPr>
          </w:p>
        </w:tc>
      </w:tr>
      <w:tr w:rsidR="00A85061" w14:paraId="27E08092" w14:textId="77777777">
        <w:tc>
          <w:tcPr>
            <w:tcW w:w="0" w:type="auto"/>
            <w:gridSpan w:val="3"/>
            <w:shd w:val="clear" w:color="auto" w:fill="E2EFD9"/>
            <w:tcMar>
              <w:top w:w="40" w:type="dxa"/>
              <w:left w:w="20" w:type="dxa"/>
              <w:bottom w:w="40" w:type="dxa"/>
              <w:right w:w="20" w:type="dxa"/>
            </w:tcMar>
            <w:vAlign w:val="bottom"/>
          </w:tcPr>
          <w:p w14:paraId="27E0808C" w14:textId="77777777" w:rsidR="00A85061" w:rsidRDefault="00F04891">
            <w:pPr>
              <w:textAlignment w:val="bottom"/>
            </w:pPr>
            <w:r>
              <w:rPr>
                <w:rFonts w:ascii="sans-serif" w:eastAsia="sans-serif" w:hAnsi="sans-serif" w:cs="sans-serif"/>
                <w:b/>
                <w:bCs/>
                <w:color w:val="000000"/>
                <w:sz w:val="20"/>
                <w:szCs w:val="20"/>
              </w:rPr>
              <w:t>Liabilities</w:t>
            </w:r>
          </w:p>
        </w:tc>
        <w:tc>
          <w:tcPr>
            <w:tcW w:w="0" w:type="auto"/>
            <w:gridSpan w:val="3"/>
            <w:shd w:val="clear" w:color="auto" w:fill="E2EFD9"/>
            <w:tcMar>
              <w:top w:w="0" w:type="dxa"/>
              <w:left w:w="20" w:type="dxa"/>
              <w:bottom w:w="0" w:type="dxa"/>
              <w:right w:w="20" w:type="dxa"/>
            </w:tcMar>
            <w:vAlign w:val="bottom"/>
          </w:tcPr>
          <w:p w14:paraId="27E0808D"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8E"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8F"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90"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091" w14:textId="77777777" w:rsidR="00A85061" w:rsidRDefault="00A85061">
            <w:pPr>
              <w:rPr>
                <w:rFonts w:ascii="宋体"/>
              </w:rPr>
            </w:pPr>
          </w:p>
        </w:tc>
      </w:tr>
      <w:tr w:rsidR="00A85061" w14:paraId="27E08099" w14:textId="77777777">
        <w:trPr>
          <w:hidden/>
        </w:trPr>
        <w:tc>
          <w:tcPr>
            <w:tcW w:w="0" w:type="auto"/>
            <w:gridSpan w:val="3"/>
            <w:shd w:val="clear" w:color="auto" w:fill="auto"/>
            <w:vAlign w:val="bottom"/>
          </w:tcPr>
          <w:p w14:paraId="27E08093" w14:textId="77777777" w:rsidR="00A85061" w:rsidRDefault="00A85061">
            <w:pPr>
              <w:rPr>
                <w:rFonts w:ascii="宋体"/>
                <w:vanish/>
              </w:rPr>
            </w:pPr>
          </w:p>
        </w:tc>
        <w:tc>
          <w:tcPr>
            <w:tcW w:w="0" w:type="auto"/>
            <w:gridSpan w:val="3"/>
            <w:shd w:val="clear" w:color="auto" w:fill="auto"/>
            <w:vAlign w:val="bottom"/>
          </w:tcPr>
          <w:p w14:paraId="27E08094" w14:textId="77777777" w:rsidR="00A85061" w:rsidRDefault="00A85061">
            <w:pPr>
              <w:rPr>
                <w:rFonts w:ascii="宋体"/>
                <w:vanish/>
              </w:rPr>
            </w:pPr>
          </w:p>
        </w:tc>
        <w:tc>
          <w:tcPr>
            <w:tcW w:w="0" w:type="auto"/>
            <w:gridSpan w:val="3"/>
            <w:shd w:val="clear" w:color="auto" w:fill="auto"/>
            <w:vAlign w:val="bottom"/>
          </w:tcPr>
          <w:p w14:paraId="27E08095" w14:textId="77777777" w:rsidR="00A85061" w:rsidRDefault="00A85061">
            <w:pPr>
              <w:rPr>
                <w:rFonts w:ascii="宋体"/>
                <w:vanish/>
              </w:rPr>
            </w:pPr>
          </w:p>
        </w:tc>
        <w:tc>
          <w:tcPr>
            <w:tcW w:w="0" w:type="auto"/>
            <w:gridSpan w:val="3"/>
            <w:shd w:val="clear" w:color="auto" w:fill="auto"/>
            <w:vAlign w:val="bottom"/>
          </w:tcPr>
          <w:p w14:paraId="27E08096" w14:textId="77777777" w:rsidR="00A85061" w:rsidRDefault="00A85061">
            <w:pPr>
              <w:rPr>
                <w:rFonts w:ascii="宋体"/>
                <w:vanish/>
              </w:rPr>
            </w:pPr>
          </w:p>
        </w:tc>
        <w:tc>
          <w:tcPr>
            <w:tcW w:w="0" w:type="auto"/>
            <w:gridSpan w:val="3"/>
            <w:shd w:val="clear" w:color="auto" w:fill="auto"/>
            <w:vAlign w:val="bottom"/>
          </w:tcPr>
          <w:p w14:paraId="27E08097" w14:textId="77777777" w:rsidR="00A85061" w:rsidRDefault="00A85061">
            <w:pPr>
              <w:rPr>
                <w:rFonts w:ascii="宋体"/>
                <w:vanish/>
              </w:rPr>
            </w:pPr>
          </w:p>
        </w:tc>
        <w:tc>
          <w:tcPr>
            <w:tcW w:w="0" w:type="auto"/>
            <w:gridSpan w:val="3"/>
            <w:shd w:val="clear" w:color="auto" w:fill="auto"/>
            <w:vAlign w:val="bottom"/>
          </w:tcPr>
          <w:p w14:paraId="27E08098" w14:textId="77777777" w:rsidR="00A85061" w:rsidRDefault="00A85061">
            <w:pPr>
              <w:rPr>
                <w:rFonts w:ascii="宋体"/>
                <w:vanish/>
              </w:rPr>
            </w:pPr>
          </w:p>
        </w:tc>
      </w:tr>
      <w:tr w:rsidR="00A85061" w14:paraId="27E080A0" w14:textId="77777777">
        <w:trPr>
          <w:hidden/>
        </w:trPr>
        <w:tc>
          <w:tcPr>
            <w:tcW w:w="0" w:type="auto"/>
            <w:gridSpan w:val="3"/>
            <w:shd w:val="clear" w:color="auto" w:fill="auto"/>
            <w:vAlign w:val="bottom"/>
          </w:tcPr>
          <w:p w14:paraId="27E0809A" w14:textId="77777777" w:rsidR="00A85061" w:rsidRDefault="00A85061">
            <w:pPr>
              <w:rPr>
                <w:rFonts w:ascii="宋体"/>
                <w:vanish/>
              </w:rPr>
            </w:pPr>
          </w:p>
        </w:tc>
        <w:tc>
          <w:tcPr>
            <w:tcW w:w="0" w:type="auto"/>
            <w:gridSpan w:val="3"/>
            <w:shd w:val="clear" w:color="auto" w:fill="auto"/>
            <w:vAlign w:val="bottom"/>
          </w:tcPr>
          <w:p w14:paraId="27E0809B" w14:textId="77777777" w:rsidR="00A85061" w:rsidRDefault="00A85061">
            <w:pPr>
              <w:rPr>
                <w:rFonts w:ascii="宋体"/>
                <w:vanish/>
              </w:rPr>
            </w:pPr>
          </w:p>
        </w:tc>
        <w:tc>
          <w:tcPr>
            <w:tcW w:w="0" w:type="auto"/>
            <w:gridSpan w:val="3"/>
            <w:shd w:val="clear" w:color="auto" w:fill="auto"/>
            <w:vAlign w:val="bottom"/>
          </w:tcPr>
          <w:p w14:paraId="27E0809C" w14:textId="77777777" w:rsidR="00A85061" w:rsidRDefault="00A85061">
            <w:pPr>
              <w:rPr>
                <w:rFonts w:ascii="宋体"/>
                <w:vanish/>
              </w:rPr>
            </w:pPr>
          </w:p>
        </w:tc>
        <w:tc>
          <w:tcPr>
            <w:tcW w:w="0" w:type="auto"/>
            <w:gridSpan w:val="3"/>
            <w:shd w:val="clear" w:color="auto" w:fill="auto"/>
            <w:vAlign w:val="bottom"/>
          </w:tcPr>
          <w:p w14:paraId="27E0809D" w14:textId="77777777" w:rsidR="00A85061" w:rsidRDefault="00A85061">
            <w:pPr>
              <w:rPr>
                <w:rFonts w:ascii="宋体"/>
                <w:vanish/>
              </w:rPr>
            </w:pPr>
          </w:p>
        </w:tc>
        <w:tc>
          <w:tcPr>
            <w:tcW w:w="0" w:type="auto"/>
            <w:gridSpan w:val="3"/>
            <w:shd w:val="clear" w:color="auto" w:fill="auto"/>
            <w:vAlign w:val="bottom"/>
          </w:tcPr>
          <w:p w14:paraId="27E0809E" w14:textId="77777777" w:rsidR="00A85061" w:rsidRDefault="00A85061">
            <w:pPr>
              <w:rPr>
                <w:rFonts w:ascii="宋体"/>
                <w:vanish/>
              </w:rPr>
            </w:pPr>
          </w:p>
        </w:tc>
        <w:tc>
          <w:tcPr>
            <w:tcW w:w="0" w:type="auto"/>
            <w:gridSpan w:val="3"/>
            <w:shd w:val="clear" w:color="auto" w:fill="auto"/>
            <w:vAlign w:val="bottom"/>
          </w:tcPr>
          <w:p w14:paraId="27E0809F" w14:textId="77777777" w:rsidR="00A85061" w:rsidRDefault="00A85061">
            <w:pPr>
              <w:rPr>
                <w:rFonts w:ascii="宋体"/>
                <w:vanish/>
              </w:rPr>
            </w:pPr>
          </w:p>
        </w:tc>
      </w:tr>
      <w:tr w:rsidR="00A85061" w14:paraId="27E080A7" w14:textId="77777777">
        <w:trPr>
          <w:hidden/>
        </w:trPr>
        <w:tc>
          <w:tcPr>
            <w:tcW w:w="0" w:type="auto"/>
            <w:gridSpan w:val="3"/>
            <w:shd w:val="clear" w:color="auto" w:fill="auto"/>
            <w:vAlign w:val="bottom"/>
          </w:tcPr>
          <w:p w14:paraId="27E080A1" w14:textId="77777777" w:rsidR="00A85061" w:rsidRDefault="00A85061">
            <w:pPr>
              <w:rPr>
                <w:rFonts w:ascii="宋体"/>
                <w:vanish/>
              </w:rPr>
            </w:pPr>
          </w:p>
        </w:tc>
        <w:tc>
          <w:tcPr>
            <w:tcW w:w="0" w:type="auto"/>
            <w:gridSpan w:val="3"/>
            <w:shd w:val="clear" w:color="auto" w:fill="auto"/>
            <w:vAlign w:val="bottom"/>
          </w:tcPr>
          <w:p w14:paraId="27E080A2" w14:textId="77777777" w:rsidR="00A85061" w:rsidRDefault="00A85061">
            <w:pPr>
              <w:rPr>
                <w:rFonts w:ascii="宋体"/>
                <w:vanish/>
              </w:rPr>
            </w:pPr>
          </w:p>
        </w:tc>
        <w:tc>
          <w:tcPr>
            <w:tcW w:w="0" w:type="auto"/>
            <w:gridSpan w:val="3"/>
            <w:shd w:val="clear" w:color="auto" w:fill="auto"/>
            <w:vAlign w:val="bottom"/>
          </w:tcPr>
          <w:p w14:paraId="27E080A3" w14:textId="77777777" w:rsidR="00A85061" w:rsidRDefault="00A85061">
            <w:pPr>
              <w:rPr>
                <w:rFonts w:ascii="宋体"/>
                <w:vanish/>
              </w:rPr>
            </w:pPr>
          </w:p>
        </w:tc>
        <w:tc>
          <w:tcPr>
            <w:tcW w:w="0" w:type="auto"/>
            <w:gridSpan w:val="3"/>
            <w:shd w:val="clear" w:color="auto" w:fill="auto"/>
            <w:vAlign w:val="bottom"/>
          </w:tcPr>
          <w:p w14:paraId="27E080A4" w14:textId="77777777" w:rsidR="00A85061" w:rsidRDefault="00A85061">
            <w:pPr>
              <w:rPr>
                <w:rFonts w:ascii="宋体"/>
                <w:vanish/>
              </w:rPr>
            </w:pPr>
          </w:p>
        </w:tc>
        <w:tc>
          <w:tcPr>
            <w:tcW w:w="0" w:type="auto"/>
            <w:gridSpan w:val="3"/>
            <w:shd w:val="clear" w:color="auto" w:fill="auto"/>
            <w:vAlign w:val="bottom"/>
          </w:tcPr>
          <w:p w14:paraId="27E080A5" w14:textId="77777777" w:rsidR="00A85061" w:rsidRDefault="00A85061">
            <w:pPr>
              <w:rPr>
                <w:rFonts w:ascii="宋体"/>
                <w:vanish/>
              </w:rPr>
            </w:pPr>
          </w:p>
        </w:tc>
        <w:tc>
          <w:tcPr>
            <w:tcW w:w="0" w:type="auto"/>
            <w:gridSpan w:val="3"/>
            <w:shd w:val="clear" w:color="auto" w:fill="auto"/>
            <w:vAlign w:val="bottom"/>
          </w:tcPr>
          <w:p w14:paraId="27E080A6" w14:textId="77777777" w:rsidR="00A85061" w:rsidRDefault="00A85061">
            <w:pPr>
              <w:rPr>
                <w:rFonts w:ascii="宋体"/>
                <w:vanish/>
              </w:rPr>
            </w:pPr>
          </w:p>
        </w:tc>
      </w:tr>
      <w:tr w:rsidR="00A85061" w14:paraId="27E080B2" w14:textId="77777777">
        <w:tc>
          <w:tcPr>
            <w:tcW w:w="0" w:type="auto"/>
            <w:gridSpan w:val="3"/>
            <w:shd w:val="clear" w:color="auto" w:fill="FFFFFF"/>
            <w:tcMar>
              <w:top w:w="40" w:type="dxa"/>
              <w:left w:w="20" w:type="dxa"/>
              <w:bottom w:w="40" w:type="dxa"/>
              <w:right w:w="20" w:type="dxa"/>
            </w:tcMar>
            <w:vAlign w:val="bottom"/>
          </w:tcPr>
          <w:p w14:paraId="27E080A8" w14:textId="77777777" w:rsidR="00A85061" w:rsidRDefault="00F04891">
            <w:pPr>
              <w:textAlignment w:val="bottom"/>
            </w:pPr>
            <w:r>
              <w:rPr>
                <w:rFonts w:ascii="sans-serif" w:eastAsia="sans-serif" w:hAnsi="sans-serif" w:cs="sans-serif"/>
                <w:color w:val="000000"/>
                <w:sz w:val="20"/>
                <w:szCs w:val="20"/>
              </w:rPr>
              <w:t>2.20% Notes Due 2021 (3)</w:t>
            </w:r>
          </w:p>
        </w:tc>
        <w:tc>
          <w:tcPr>
            <w:tcW w:w="0" w:type="auto"/>
            <w:gridSpan w:val="3"/>
            <w:shd w:val="clear" w:color="auto" w:fill="FFFFFF"/>
            <w:tcMar>
              <w:top w:w="40" w:type="dxa"/>
              <w:left w:w="20" w:type="dxa"/>
              <w:bottom w:w="40" w:type="dxa"/>
              <w:right w:w="20" w:type="dxa"/>
            </w:tcMar>
            <w:vAlign w:val="bottom"/>
          </w:tcPr>
          <w:p w14:paraId="27E080A9"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27E080AA"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A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AC" w14:textId="77777777" w:rsidR="00A85061" w:rsidRDefault="00F04891">
            <w:pPr>
              <w:jc w:val="right"/>
              <w:textAlignment w:val="bottom"/>
            </w:pPr>
            <w:r>
              <w:rPr>
                <w:rFonts w:ascii="sans-serif" w:eastAsia="sans-serif" w:hAnsi="sans-serif" w:cs="sans-serif"/>
                <w:color w:val="000000"/>
                <w:sz w:val="20"/>
                <w:szCs w:val="20"/>
              </w:rPr>
              <w:t>1,006 </w:t>
            </w:r>
          </w:p>
        </w:tc>
        <w:tc>
          <w:tcPr>
            <w:tcW w:w="0" w:type="auto"/>
            <w:shd w:val="clear" w:color="auto" w:fill="FFFFFF"/>
            <w:tcMar>
              <w:top w:w="40" w:type="dxa"/>
              <w:left w:w="0" w:type="dxa"/>
              <w:bottom w:w="40" w:type="dxa"/>
              <w:right w:w="20" w:type="dxa"/>
            </w:tcMar>
            <w:vAlign w:val="bottom"/>
          </w:tcPr>
          <w:p w14:paraId="27E080A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AE"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A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B0" w14:textId="77777777" w:rsidR="00A85061" w:rsidRDefault="00F04891">
            <w:pPr>
              <w:jc w:val="right"/>
              <w:textAlignment w:val="bottom"/>
            </w:pPr>
            <w:r>
              <w:rPr>
                <w:rFonts w:ascii="sans-serif" w:eastAsia="sans-serif" w:hAnsi="sans-serif" w:cs="sans-serif"/>
                <w:color w:val="000000"/>
                <w:sz w:val="20"/>
                <w:szCs w:val="20"/>
              </w:rPr>
              <w:t>1,011 </w:t>
            </w:r>
          </w:p>
        </w:tc>
        <w:tc>
          <w:tcPr>
            <w:tcW w:w="0" w:type="auto"/>
            <w:shd w:val="clear" w:color="auto" w:fill="FFFFFF"/>
            <w:tcMar>
              <w:top w:w="40" w:type="dxa"/>
              <w:left w:w="0" w:type="dxa"/>
              <w:bottom w:w="40" w:type="dxa"/>
              <w:right w:w="20" w:type="dxa"/>
            </w:tcMar>
            <w:vAlign w:val="bottom"/>
          </w:tcPr>
          <w:p w14:paraId="27E080B1" w14:textId="77777777" w:rsidR="00A85061" w:rsidRDefault="00A85061">
            <w:pPr>
              <w:jc w:val="right"/>
              <w:rPr>
                <w:rFonts w:ascii="宋体"/>
              </w:rPr>
            </w:pPr>
          </w:p>
        </w:tc>
      </w:tr>
      <w:tr w:rsidR="00A85061" w14:paraId="27E080BD" w14:textId="77777777">
        <w:tc>
          <w:tcPr>
            <w:tcW w:w="0" w:type="auto"/>
            <w:gridSpan w:val="3"/>
            <w:shd w:val="clear" w:color="auto" w:fill="E2EFD9"/>
            <w:tcMar>
              <w:top w:w="40" w:type="dxa"/>
              <w:left w:w="20" w:type="dxa"/>
              <w:bottom w:w="40" w:type="dxa"/>
              <w:right w:w="20" w:type="dxa"/>
            </w:tcMar>
            <w:vAlign w:val="bottom"/>
          </w:tcPr>
          <w:p w14:paraId="27E080B3" w14:textId="77777777" w:rsidR="00A85061" w:rsidRDefault="00F04891">
            <w:pPr>
              <w:textAlignment w:val="bottom"/>
            </w:pPr>
            <w:r>
              <w:rPr>
                <w:rFonts w:ascii="sans-serif" w:eastAsia="sans-serif" w:hAnsi="sans-serif" w:cs="sans-serif"/>
                <w:color w:val="000000"/>
                <w:sz w:val="20"/>
                <w:szCs w:val="20"/>
              </w:rPr>
              <w:t>3.20% Notes Due 2026 (3)</w:t>
            </w:r>
          </w:p>
        </w:tc>
        <w:tc>
          <w:tcPr>
            <w:tcW w:w="0" w:type="auto"/>
            <w:gridSpan w:val="3"/>
            <w:shd w:val="clear" w:color="auto" w:fill="E2EFD9"/>
            <w:tcMar>
              <w:top w:w="40" w:type="dxa"/>
              <w:left w:w="20" w:type="dxa"/>
              <w:bottom w:w="40" w:type="dxa"/>
              <w:right w:w="20" w:type="dxa"/>
            </w:tcMar>
            <w:vAlign w:val="bottom"/>
          </w:tcPr>
          <w:p w14:paraId="27E080B4"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B5"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B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B7" w14:textId="77777777" w:rsidR="00A85061" w:rsidRDefault="00F04891">
            <w:pPr>
              <w:jc w:val="right"/>
              <w:textAlignment w:val="bottom"/>
            </w:pPr>
            <w:r>
              <w:rPr>
                <w:rFonts w:ascii="sans-serif" w:eastAsia="sans-serif" w:hAnsi="sans-serif" w:cs="sans-serif"/>
                <w:color w:val="000000"/>
                <w:sz w:val="20"/>
                <w:szCs w:val="20"/>
              </w:rPr>
              <w:t>1,101 </w:t>
            </w:r>
          </w:p>
        </w:tc>
        <w:tc>
          <w:tcPr>
            <w:tcW w:w="0" w:type="auto"/>
            <w:shd w:val="clear" w:color="auto" w:fill="E2EFD9"/>
            <w:tcMar>
              <w:top w:w="40" w:type="dxa"/>
              <w:left w:w="0" w:type="dxa"/>
              <w:bottom w:w="40" w:type="dxa"/>
              <w:right w:w="20" w:type="dxa"/>
            </w:tcMar>
            <w:vAlign w:val="bottom"/>
          </w:tcPr>
          <w:p w14:paraId="27E080B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B9"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B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BB" w14:textId="77777777" w:rsidR="00A85061" w:rsidRDefault="00F04891">
            <w:pPr>
              <w:jc w:val="right"/>
              <w:textAlignment w:val="bottom"/>
            </w:pPr>
            <w:r>
              <w:rPr>
                <w:rFonts w:ascii="sans-serif" w:eastAsia="sans-serif" w:hAnsi="sans-serif" w:cs="sans-serif"/>
                <w:color w:val="000000"/>
                <w:sz w:val="20"/>
                <w:szCs w:val="20"/>
              </w:rPr>
              <w:t>1,124 </w:t>
            </w:r>
          </w:p>
        </w:tc>
        <w:tc>
          <w:tcPr>
            <w:tcW w:w="0" w:type="auto"/>
            <w:shd w:val="clear" w:color="auto" w:fill="E2EFD9"/>
            <w:tcMar>
              <w:top w:w="40" w:type="dxa"/>
              <w:left w:w="0" w:type="dxa"/>
              <w:bottom w:w="40" w:type="dxa"/>
              <w:right w:w="20" w:type="dxa"/>
            </w:tcMar>
            <w:vAlign w:val="bottom"/>
          </w:tcPr>
          <w:p w14:paraId="27E080BC" w14:textId="77777777" w:rsidR="00A85061" w:rsidRDefault="00A85061">
            <w:pPr>
              <w:jc w:val="right"/>
              <w:rPr>
                <w:rFonts w:ascii="宋体"/>
              </w:rPr>
            </w:pPr>
          </w:p>
        </w:tc>
      </w:tr>
      <w:tr w:rsidR="00A85061" w14:paraId="27E080C8" w14:textId="77777777">
        <w:tc>
          <w:tcPr>
            <w:tcW w:w="0" w:type="auto"/>
            <w:gridSpan w:val="3"/>
            <w:shd w:val="clear" w:color="auto" w:fill="FFFFFF"/>
            <w:tcMar>
              <w:top w:w="40" w:type="dxa"/>
              <w:left w:w="20" w:type="dxa"/>
              <w:bottom w:w="40" w:type="dxa"/>
              <w:right w:w="20" w:type="dxa"/>
            </w:tcMar>
            <w:vAlign w:val="bottom"/>
          </w:tcPr>
          <w:p w14:paraId="27E080BE" w14:textId="77777777" w:rsidR="00A85061" w:rsidRDefault="00F04891">
            <w:pPr>
              <w:textAlignment w:val="bottom"/>
            </w:pPr>
            <w:r>
              <w:rPr>
                <w:rFonts w:ascii="sans-serif" w:eastAsia="sans-serif" w:hAnsi="sans-serif" w:cs="sans-serif"/>
                <w:color w:val="000000"/>
                <w:sz w:val="20"/>
                <w:szCs w:val="20"/>
              </w:rPr>
              <w:t xml:space="preserve">2.85% </w:t>
            </w:r>
            <w:r>
              <w:rPr>
                <w:rFonts w:ascii="sans-serif" w:eastAsia="sans-serif" w:hAnsi="sans-serif" w:cs="sans-serif"/>
                <w:color w:val="000000"/>
                <w:sz w:val="20"/>
                <w:szCs w:val="20"/>
              </w:rPr>
              <w:t>Notes Due 2030 (3)</w:t>
            </w:r>
          </w:p>
        </w:tc>
        <w:tc>
          <w:tcPr>
            <w:tcW w:w="0" w:type="auto"/>
            <w:gridSpan w:val="3"/>
            <w:shd w:val="clear" w:color="auto" w:fill="FFFFFF"/>
            <w:tcMar>
              <w:top w:w="40" w:type="dxa"/>
              <w:left w:w="20" w:type="dxa"/>
              <w:bottom w:w="40" w:type="dxa"/>
              <w:right w:w="20" w:type="dxa"/>
            </w:tcMar>
            <w:vAlign w:val="bottom"/>
          </w:tcPr>
          <w:p w14:paraId="27E080BF"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27E080C0"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C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C2" w14:textId="77777777" w:rsidR="00A85061" w:rsidRDefault="00F04891">
            <w:pPr>
              <w:jc w:val="right"/>
              <w:textAlignment w:val="bottom"/>
            </w:pPr>
            <w:r>
              <w:rPr>
                <w:rFonts w:ascii="sans-serif" w:eastAsia="sans-serif" w:hAnsi="sans-serif" w:cs="sans-serif"/>
                <w:color w:val="000000"/>
                <w:sz w:val="20"/>
                <w:szCs w:val="20"/>
              </w:rPr>
              <w:t>1,592 </w:t>
            </w:r>
          </w:p>
        </w:tc>
        <w:tc>
          <w:tcPr>
            <w:tcW w:w="0" w:type="auto"/>
            <w:shd w:val="clear" w:color="auto" w:fill="FFFFFF"/>
            <w:tcMar>
              <w:top w:w="40" w:type="dxa"/>
              <w:left w:w="0" w:type="dxa"/>
              <w:bottom w:w="40" w:type="dxa"/>
              <w:right w:w="20" w:type="dxa"/>
            </w:tcMar>
            <w:vAlign w:val="bottom"/>
          </w:tcPr>
          <w:p w14:paraId="27E080C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C4"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C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C6" w14:textId="77777777" w:rsidR="00A85061" w:rsidRDefault="00F04891">
            <w:pPr>
              <w:jc w:val="right"/>
              <w:textAlignment w:val="bottom"/>
            </w:pPr>
            <w:r>
              <w:rPr>
                <w:rFonts w:ascii="sans-serif" w:eastAsia="sans-serif" w:hAnsi="sans-serif" w:cs="sans-serif"/>
                <w:color w:val="000000"/>
                <w:sz w:val="20"/>
                <w:szCs w:val="20"/>
              </w:rPr>
              <w:t>1,654 </w:t>
            </w:r>
          </w:p>
        </w:tc>
        <w:tc>
          <w:tcPr>
            <w:tcW w:w="0" w:type="auto"/>
            <w:shd w:val="clear" w:color="auto" w:fill="FFFFFF"/>
            <w:tcMar>
              <w:top w:w="40" w:type="dxa"/>
              <w:left w:w="0" w:type="dxa"/>
              <w:bottom w:w="40" w:type="dxa"/>
              <w:right w:w="20" w:type="dxa"/>
            </w:tcMar>
            <w:vAlign w:val="bottom"/>
          </w:tcPr>
          <w:p w14:paraId="27E080C7" w14:textId="77777777" w:rsidR="00A85061" w:rsidRDefault="00A85061">
            <w:pPr>
              <w:jc w:val="right"/>
              <w:rPr>
                <w:rFonts w:ascii="宋体"/>
              </w:rPr>
            </w:pPr>
          </w:p>
        </w:tc>
      </w:tr>
      <w:tr w:rsidR="00A85061" w14:paraId="27E080D3" w14:textId="77777777">
        <w:tc>
          <w:tcPr>
            <w:tcW w:w="0" w:type="auto"/>
            <w:gridSpan w:val="3"/>
            <w:shd w:val="clear" w:color="auto" w:fill="E2EFD9"/>
            <w:tcMar>
              <w:top w:w="40" w:type="dxa"/>
              <w:left w:w="20" w:type="dxa"/>
              <w:bottom w:w="40" w:type="dxa"/>
              <w:right w:w="20" w:type="dxa"/>
            </w:tcMar>
            <w:vAlign w:val="bottom"/>
          </w:tcPr>
          <w:p w14:paraId="27E080C9" w14:textId="77777777" w:rsidR="00A85061" w:rsidRDefault="00F04891">
            <w:pPr>
              <w:textAlignment w:val="bottom"/>
            </w:pPr>
            <w:r>
              <w:rPr>
                <w:rFonts w:ascii="sans-serif" w:eastAsia="sans-serif" w:hAnsi="sans-serif" w:cs="sans-serif"/>
                <w:color w:val="000000"/>
                <w:sz w:val="20"/>
                <w:szCs w:val="20"/>
              </w:rPr>
              <w:t>3.50% Notes Due 2040 (3)</w:t>
            </w:r>
          </w:p>
        </w:tc>
        <w:tc>
          <w:tcPr>
            <w:tcW w:w="0" w:type="auto"/>
            <w:gridSpan w:val="3"/>
            <w:shd w:val="clear" w:color="auto" w:fill="E2EFD9"/>
            <w:tcMar>
              <w:top w:w="40" w:type="dxa"/>
              <w:left w:w="20" w:type="dxa"/>
              <w:bottom w:w="40" w:type="dxa"/>
              <w:right w:w="20" w:type="dxa"/>
            </w:tcMar>
            <w:vAlign w:val="bottom"/>
          </w:tcPr>
          <w:p w14:paraId="27E080CA"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CB"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C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CD" w14:textId="77777777" w:rsidR="00A85061" w:rsidRDefault="00F04891">
            <w:pPr>
              <w:jc w:val="right"/>
              <w:textAlignment w:val="bottom"/>
            </w:pPr>
            <w:r>
              <w:rPr>
                <w:rFonts w:ascii="sans-serif" w:eastAsia="sans-serif" w:hAnsi="sans-serif" w:cs="sans-serif"/>
                <w:color w:val="000000"/>
                <w:sz w:val="20"/>
                <w:szCs w:val="20"/>
              </w:rPr>
              <w:t>1,095 </w:t>
            </w:r>
          </w:p>
        </w:tc>
        <w:tc>
          <w:tcPr>
            <w:tcW w:w="0" w:type="auto"/>
            <w:shd w:val="clear" w:color="auto" w:fill="E2EFD9"/>
            <w:tcMar>
              <w:top w:w="40" w:type="dxa"/>
              <w:left w:w="0" w:type="dxa"/>
              <w:bottom w:w="40" w:type="dxa"/>
              <w:right w:w="20" w:type="dxa"/>
            </w:tcMar>
            <w:vAlign w:val="bottom"/>
          </w:tcPr>
          <w:p w14:paraId="27E080C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CF"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D0"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D1" w14:textId="77777777" w:rsidR="00A85061" w:rsidRDefault="00F04891">
            <w:pPr>
              <w:jc w:val="right"/>
              <w:textAlignment w:val="bottom"/>
            </w:pPr>
            <w:r>
              <w:rPr>
                <w:rFonts w:ascii="sans-serif" w:eastAsia="sans-serif" w:hAnsi="sans-serif" w:cs="sans-serif"/>
                <w:color w:val="000000"/>
                <w:sz w:val="20"/>
                <w:szCs w:val="20"/>
              </w:rPr>
              <w:t>1,152 </w:t>
            </w:r>
          </w:p>
        </w:tc>
        <w:tc>
          <w:tcPr>
            <w:tcW w:w="0" w:type="auto"/>
            <w:shd w:val="clear" w:color="auto" w:fill="E2EFD9"/>
            <w:tcMar>
              <w:top w:w="40" w:type="dxa"/>
              <w:left w:w="0" w:type="dxa"/>
              <w:bottom w:w="40" w:type="dxa"/>
              <w:right w:w="20" w:type="dxa"/>
            </w:tcMar>
            <w:vAlign w:val="bottom"/>
          </w:tcPr>
          <w:p w14:paraId="27E080D2" w14:textId="77777777" w:rsidR="00A85061" w:rsidRDefault="00A85061">
            <w:pPr>
              <w:jc w:val="right"/>
              <w:rPr>
                <w:rFonts w:ascii="宋体"/>
              </w:rPr>
            </w:pPr>
          </w:p>
        </w:tc>
      </w:tr>
      <w:tr w:rsidR="00A85061" w14:paraId="27E080DE" w14:textId="77777777">
        <w:tc>
          <w:tcPr>
            <w:tcW w:w="0" w:type="auto"/>
            <w:gridSpan w:val="3"/>
            <w:shd w:val="clear" w:color="auto" w:fill="FFFFFF"/>
            <w:tcMar>
              <w:top w:w="40" w:type="dxa"/>
              <w:left w:w="20" w:type="dxa"/>
              <w:bottom w:w="40" w:type="dxa"/>
              <w:right w:w="20" w:type="dxa"/>
            </w:tcMar>
            <w:vAlign w:val="bottom"/>
          </w:tcPr>
          <w:p w14:paraId="27E080D4" w14:textId="77777777" w:rsidR="00A85061" w:rsidRDefault="00F04891">
            <w:pPr>
              <w:textAlignment w:val="bottom"/>
            </w:pPr>
            <w:r>
              <w:rPr>
                <w:rFonts w:ascii="sans-serif" w:eastAsia="sans-serif" w:hAnsi="sans-serif" w:cs="sans-serif"/>
                <w:color w:val="000000"/>
                <w:sz w:val="20"/>
                <w:szCs w:val="20"/>
              </w:rPr>
              <w:t>3.50% Notes Due 2050 (3)</w:t>
            </w:r>
          </w:p>
        </w:tc>
        <w:tc>
          <w:tcPr>
            <w:tcW w:w="0" w:type="auto"/>
            <w:gridSpan w:val="3"/>
            <w:shd w:val="clear" w:color="auto" w:fill="FFFFFF"/>
            <w:tcMar>
              <w:top w:w="40" w:type="dxa"/>
              <w:left w:w="20" w:type="dxa"/>
              <w:bottom w:w="40" w:type="dxa"/>
              <w:right w:w="20" w:type="dxa"/>
            </w:tcMar>
            <w:vAlign w:val="bottom"/>
          </w:tcPr>
          <w:p w14:paraId="27E080D5"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27E080D6"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D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D8" w14:textId="77777777" w:rsidR="00A85061" w:rsidRDefault="00F04891">
            <w:pPr>
              <w:jc w:val="right"/>
              <w:textAlignment w:val="bottom"/>
            </w:pPr>
            <w:r>
              <w:rPr>
                <w:rFonts w:ascii="sans-serif" w:eastAsia="sans-serif" w:hAnsi="sans-serif" w:cs="sans-serif"/>
                <w:color w:val="000000"/>
                <w:sz w:val="20"/>
                <w:szCs w:val="20"/>
              </w:rPr>
              <w:t>2,158 </w:t>
            </w:r>
          </w:p>
        </w:tc>
        <w:tc>
          <w:tcPr>
            <w:tcW w:w="0" w:type="auto"/>
            <w:shd w:val="clear" w:color="auto" w:fill="FFFFFF"/>
            <w:tcMar>
              <w:top w:w="40" w:type="dxa"/>
              <w:left w:w="0" w:type="dxa"/>
              <w:bottom w:w="40" w:type="dxa"/>
              <w:right w:w="20" w:type="dxa"/>
            </w:tcMar>
            <w:vAlign w:val="bottom"/>
          </w:tcPr>
          <w:p w14:paraId="27E080D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0DA"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0D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0DC" w14:textId="77777777" w:rsidR="00A85061" w:rsidRDefault="00F04891">
            <w:pPr>
              <w:jc w:val="right"/>
              <w:textAlignment w:val="bottom"/>
            </w:pPr>
            <w:r>
              <w:rPr>
                <w:rFonts w:ascii="sans-serif" w:eastAsia="sans-serif" w:hAnsi="sans-serif" w:cs="sans-serif"/>
                <w:color w:val="000000"/>
                <w:sz w:val="20"/>
                <w:szCs w:val="20"/>
              </w:rPr>
              <w:t>2,308 </w:t>
            </w:r>
          </w:p>
        </w:tc>
        <w:tc>
          <w:tcPr>
            <w:tcW w:w="0" w:type="auto"/>
            <w:shd w:val="clear" w:color="auto" w:fill="FFFFFF"/>
            <w:tcMar>
              <w:top w:w="40" w:type="dxa"/>
              <w:left w:w="0" w:type="dxa"/>
              <w:bottom w:w="40" w:type="dxa"/>
              <w:right w:w="20" w:type="dxa"/>
            </w:tcMar>
            <w:vAlign w:val="bottom"/>
          </w:tcPr>
          <w:p w14:paraId="27E080DD" w14:textId="77777777" w:rsidR="00A85061" w:rsidRDefault="00A85061">
            <w:pPr>
              <w:jc w:val="right"/>
              <w:rPr>
                <w:rFonts w:ascii="宋体"/>
              </w:rPr>
            </w:pPr>
          </w:p>
        </w:tc>
      </w:tr>
      <w:tr w:rsidR="00A85061" w14:paraId="27E080E9" w14:textId="77777777">
        <w:tc>
          <w:tcPr>
            <w:tcW w:w="0" w:type="auto"/>
            <w:gridSpan w:val="3"/>
            <w:shd w:val="clear" w:color="auto" w:fill="E2EFD9"/>
            <w:tcMar>
              <w:top w:w="40" w:type="dxa"/>
              <w:left w:w="20" w:type="dxa"/>
              <w:bottom w:w="40" w:type="dxa"/>
              <w:right w:w="20" w:type="dxa"/>
            </w:tcMar>
            <w:vAlign w:val="bottom"/>
          </w:tcPr>
          <w:p w14:paraId="27E080DF" w14:textId="77777777" w:rsidR="00A85061" w:rsidRDefault="00F04891">
            <w:pPr>
              <w:textAlignment w:val="bottom"/>
            </w:pPr>
            <w:r>
              <w:rPr>
                <w:rFonts w:ascii="sans-serif" w:eastAsia="sans-serif" w:hAnsi="sans-serif" w:cs="sans-serif"/>
                <w:color w:val="000000"/>
                <w:sz w:val="20"/>
                <w:szCs w:val="20"/>
              </w:rPr>
              <w:t>3.70% Notes Due 2060 (3)</w:t>
            </w:r>
          </w:p>
        </w:tc>
        <w:tc>
          <w:tcPr>
            <w:tcW w:w="0" w:type="auto"/>
            <w:gridSpan w:val="3"/>
            <w:shd w:val="clear" w:color="auto" w:fill="E2EFD9"/>
            <w:tcMar>
              <w:top w:w="40" w:type="dxa"/>
              <w:left w:w="20" w:type="dxa"/>
              <w:bottom w:w="40" w:type="dxa"/>
              <w:right w:w="20" w:type="dxa"/>
            </w:tcMar>
            <w:vAlign w:val="bottom"/>
          </w:tcPr>
          <w:p w14:paraId="27E080E0" w14:textId="77777777" w:rsidR="00A85061" w:rsidRDefault="00F04891">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27E080E1"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E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E3" w14:textId="77777777" w:rsidR="00A85061" w:rsidRDefault="00F04891">
            <w:pPr>
              <w:jc w:val="right"/>
              <w:textAlignment w:val="bottom"/>
            </w:pPr>
            <w:r>
              <w:rPr>
                <w:rFonts w:ascii="sans-serif" w:eastAsia="sans-serif" w:hAnsi="sans-serif" w:cs="sans-serif"/>
                <w:color w:val="000000"/>
                <w:sz w:val="20"/>
                <w:szCs w:val="20"/>
              </w:rPr>
              <w:t>552 </w:t>
            </w:r>
          </w:p>
        </w:tc>
        <w:tc>
          <w:tcPr>
            <w:tcW w:w="0" w:type="auto"/>
            <w:shd w:val="clear" w:color="auto" w:fill="E2EFD9"/>
            <w:tcMar>
              <w:top w:w="40" w:type="dxa"/>
              <w:left w:w="0" w:type="dxa"/>
              <w:bottom w:w="40" w:type="dxa"/>
              <w:right w:w="20" w:type="dxa"/>
            </w:tcMar>
            <w:vAlign w:val="bottom"/>
          </w:tcPr>
          <w:p w14:paraId="27E080E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0E5"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0E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0E7" w14:textId="77777777" w:rsidR="00A85061" w:rsidRDefault="00F04891">
            <w:pPr>
              <w:jc w:val="right"/>
              <w:textAlignment w:val="bottom"/>
            </w:pPr>
            <w:r>
              <w:rPr>
                <w:rFonts w:ascii="sans-serif" w:eastAsia="sans-serif" w:hAnsi="sans-serif" w:cs="sans-serif"/>
                <w:color w:val="000000"/>
                <w:sz w:val="20"/>
                <w:szCs w:val="20"/>
              </w:rPr>
              <w:t>602 </w:t>
            </w:r>
          </w:p>
        </w:tc>
        <w:tc>
          <w:tcPr>
            <w:tcW w:w="0" w:type="auto"/>
            <w:shd w:val="clear" w:color="auto" w:fill="E2EFD9"/>
            <w:tcMar>
              <w:top w:w="40" w:type="dxa"/>
              <w:left w:w="0" w:type="dxa"/>
              <w:bottom w:w="40" w:type="dxa"/>
              <w:right w:w="20" w:type="dxa"/>
            </w:tcMar>
            <w:vAlign w:val="bottom"/>
          </w:tcPr>
          <w:p w14:paraId="27E080E8" w14:textId="77777777" w:rsidR="00A85061" w:rsidRDefault="00A85061">
            <w:pPr>
              <w:jc w:val="right"/>
              <w:rPr>
                <w:rFonts w:ascii="宋体"/>
              </w:rPr>
            </w:pPr>
          </w:p>
        </w:tc>
      </w:tr>
    </w:tbl>
    <w:p w14:paraId="27E080EA" w14:textId="77777777" w:rsidR="00A85061" w:rsidRDefault="00F04891">
      <w:pPr>
        <w:spacing w:after="60"/>
        <w:ind w:hanging="360"/>
        <w:jc w:val="both"/>
      </w:pPr>
      <w:r>
        <w:rPr>
          <w:rFonts w:ascii="sans-serif" w:eastAsia="sans-serif" w:hAnsi="sans-serif" w:cs="sans-serif"/>
          <w:color w:val="000000"/>
          <w:sz w:val="16"/>
          <w:szCs w:val="16"/>
        </w:rPr>
        <w:t>(1)    The balance as of May 2, 2021 includes an investment that was reclassified from privately-held equity securities following the commencement of public market trading of the issuer in the first quarter of fiscal year 2022. As of May 2, 2021, the inves</w:t>
      </w:r>
      <w:r>
        <w:rPr>
          <w:rFonts w:ascii="sans-serif" w:eastAsia="sans-serif" w:hAnsi="sans-serif" w:cs="sans-serif"/>
          <w:color w:val="000000"/>
          <w:sz w:val="16"/>
          <w:szCs w:val="16"/>
        </w:rPr>
        <w:t>tment is subject to short-term selling restrictions. Due to the public market trading of the issuer, an unrealized gain on the investment of $124 million was recorded in other income (expense), net in the first quarter of fiscal year 2022. The net cumulati</w:t>
      </w:r>
      <w:r>
        <w:rPr>
          <w:rFonts w:ascii="sans-serif" w:eastAsia="sans-serif" w:hAnsi="sans-serif" w:cs="sans-serif"/>
          <w:color w:val="000000"/>
          <w:sz w:val="16"/>
          <w:szCs w:val="16"/>
        </w:rPr>
        <w:t xml:space="preserve">ve unrealized gain on the investment was $130 million as of May 2, 2021. </w:t>
      </w:r>
    </w:p>
    <w:p w14:paraId="27E080EB" w14:textId="77777777" w:rsidR="00A85061" w:rsidRDefault="00F04891">
      <w:pPr>
        <w:spacing w:after="60"/>
        <w:ind w:hanging="360"/>
        <w:jc w:val="both"/>
      </w:pPr>
      <w:r>
        <w:rPr>
          <w:rFonts w:ascii="sans-serif" w:eastAsia="sans-serif" w:hAnsi="sans-serif" w:cs="sans-serif"/>
          <w:color w:val="000000"/>
          <w:sz w:val="16"/>
          <w:szCs w:val="16"/>
        </w:rPr>
        <w:t xml:space="preserve">(2)    Investment in private non-affiliated entities is recorded at fair value on a non-recurring basis only if an impairment or observable price adjustment occurs in the </w:t>
      </w:r>
      <w:r>
        <w:rPr>
          <w:rFonts w:ascii="sans-serif" w:eastAsia="sans-serif" w:hAnsi="sans-serif" w:cs="sans-serif"/>
          <w:color w:val="000000"/>
          <w:sz w:val="16"/>
          <w:szCs w:val="16"/>
        </w:rPr>
        <w:t>period with changes in fair value recorded through net income. The amount recorded as of May 2, 2021 has not been significant.</w:t>
      </w:r>
    </w:p>
    <w:p w14:paraId="27E080EC" w14:textId="77777777" w:rsidR="00A85061" w:rsidRDefault="00F04891">
      <w:pPr>
        <w:spacing w:after="60"/>
        <w:ind w:hanging="360"/>
        <w:jc w:val="both"/>
      </w:pPr>
      <w:r>
        <w:rPr>
          <w:rFonts w:ascii="sans-serif" w:eastAsia="sans-serif" w:hAnsi="sans-serif" w:cs="sans-serif"/>
          <w:color w:val="000000"/>
          <w:sz w:val="16"/>
          <w:szCs w:val="16"/>
        </w:rPr>
        <w:t xml:space="preserve">(3)    These liabilities are carried on our Consolidated Balance Sheets at their original issuance value, net of </w:t>
      </w:r>
      <w:r>
        <w:rPr>
          <w:rFonts w:ascii="sans-serif" w:eastAsia="sans-serif" w:hAnsi="sans-serif" w:cs="sans-serif"/>
          <w:color w:val="000000"/>
          <w:sz w:val="16"/>
          <w:szCs w:val="16"/>
        </w:rPr>
        <w:t>unamortized debt discount and issuance costs, and are not marked to fair value each period. Refer to Note 12 of the Notes to Condensed Consolidated Financial Statements for additional information.</w:t>
      </w:r>
    </w:p>
    <w:p w14:paraId="27E080ED" w14:textId="77777777" w:rsidR="00A85061" w:rsidRDefault="00F04891">
      <w:pPr>
        <w:spacing w:after="180"/>
        <w:jc w:val="center"/>
      </w:pPr>
      <w:r>
        <w:rPr>
          <w:rFonts w:ascii="sans-serif" w:eastAsia="sans-serif" w:hAnsi="sans-serif" w:cs="sans-serif"/>
          <w:color w:val="000000"/>
          <w:sz w:val="20"/>
          <w:szCs w:val="20"/>
        </w:rPr>
        <w:t>14</w:t>
      </w:r>
    </w:p>
    <w:p w14:paraId="27E080EE" w14:textId="77777777" w:rsidR="00A85061" w:rsidRDefault="00F04891">
      <w:r>
        <w:pict w14:anchorId="27E08EFF">
          <v:rect id="_x0000_i1038" style="width:415.3pt;height:1.5pt" o:hralign="center" o:hrstd="t" o:hr="t" fillcolor="#a0a0a0" stroked="f"/>
        </w:pict>
      </w:r>
    </w:p>
    <w:p w14:paraId="27E080EF" w14:textId="77777777" w:rsidR="00A85061" w:rsidRDefault="00F04891">
      <w:pPr>
        <w:jc w:val="center"/>
      </w:pPr>
      <w:r>
        <w:rPr>
          <w:rFonts w:ascii="sans-serif" w:eastAsia="sans-serif" w:hAnsi="sans-serif" w:cs="sans-serif"/>
          <w:b/>
          <w:bCs/>
          <w:color w:val="000000"/>
          <w:sz w:val="20"/>
          <w:szCs w:val="20"/>
        </w:rPr>
        <w:t>NVIDIA CORPORATION AND SUBSIDIARIES</w:t>
      </w:r>
    </w:p>
    <w:p w14:paraId="27E080F0" w14:textId="77777777" w:rsidR="00A85061" w:rsidRDefault="00F04891">
      <w:pPr>
        <w:jc w:val="center"/>
      </w:pPr>
      <w:r>
        <w:rPr>
          <w:rFonts w:ascii="sans-serif" w:eastAsia="sans-serif" w:hAnsi="sans-serif" w:cs="sans-serif"/>
          <w:b/>
          <w:bCs/>
          <w:color w:val="000000"/>
          <w:sz w:val="20"/>
          <w:szCs w:val="20"/>
        </w:rPr>
        <w:t>NOTES TO CONDENSED</w:t>
      </w:r>
      <w:r>
        <w:rPr>
          <w:rFonts w:ascii="sans-serif" w:eastAsia="sans-serif" w:hAnsi="sans-serif" w:cs="sans-serif"/>
          <w:b/>
          <w:bCs/>
          <w:color w:val="000000"/>
          <w:sz w:val="20"/>
          <w:szCs w:val="20"/>
        </w:rPr>
        <w:t xml:space="preserve"> CONSOLIDATED FINANCIAL STATEMENTS (Continued)</w:t>
      </w:r>
    </w:p>
    <w:p w14:paraId="27E080F1" w14:textId="77777777" w:rsidR="00A85061" w:rsidRDefault="00F04891">
      <w:pPr>
        <w:jc w:val="center"/>
      </w:pPr>
      <w:r>
        <w:rPr>
          <w:rFonts w:ascii="sans-serif" w:eastAsia="sans-serif" w:hAnsi="sans-serif" w:cs="sans-serif"/>
          <w:b/>
          <w:bCs/>
          <w:color w:val="000000"/>
          <w:sz w:val="20"/>
          <w:szCs w:val="20"/>
        </w:rPr>
        <w:t>(Unaudited)</w:t>
      </w:r>
    </w:p>
    <w:p w14:paraId="27E080F2" w14:textId="77777777" w:rsidR="00A85061" w:rsidRDefault="00A85061">
      <w:pPr>
        <w:spacing w:after="180"/>
        <w:jc w:val="both"/>
      </w:pPr>
    </w:p>
    <w:p w14:paraId="27E080F3" w14:textId="77777777" w:rsidR="00A85061" w:rsidRDefault="00A85061">
      <w:pPr>
        <w:spacing w:after="180"/>
        <w:jc w:val="both"/>
      </w:pPr>
    </w:p>
    <w:p w14:paraId="27E080F4" w14:textId="77777777" w:rsidR="00A85061" w:rsidRDefault="00F04891">
      <w:pPr>
        <w:spacing w:before="240" w:after="120"/>
        <w:jc w:val="both"/>
      </w:pPr>
      <w:r>
        <w:rPr>
          <w:rFonts w:ascii="sans-serif" w:eastAsia="sans-serif" w:hAnsi="sans-serif" w:cs="sans-serif"/>
          <w:b/>
          <w:bCs/>
          <w:color w:val="76B900"/>
          <w:sz w:val="22"/>
          <w:szCs w:val="22"/>
        </w:rPr>
        <w:t>Note 9 - Amortizable Intangible Assets and Goodwill</w:t>
      </w:r>
    </w:p>
    <w:p w14:paraId="27E080F5" w14:textId="77777777" w:rsidR="00A85061" w:rsidRDefault="00F04891">
      <w:pPr>
        <w:spacing w:after="180"/>
        <w:jc w:val="both"/>
      </w:pPr>
      <w:r>
        <w:rPr>
          <w:rFonts w:ascii="sans-serif" w:eastAsia="sans-serif" w:hAnsi="sans-serif" w:cs="sans-serif"/>
          <w:color w:val="000000"/>
          <w:sz w:val="20"/>
          <w:szCs w:val="20"/>
        </w:rPr>
        <w:t>The components of our amortizable 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A85061" w14:paraId="27E0811A" w14:textId="77777777">
        <w:tc>
          <w:tcPr>
            <w:tcW w:w="50" w:type="pct"/>
            <w:shd w:val="clear" w:color="auto" w:fill="auto"/>
            <w:vAlign w:val="bottom"/>
          </w:tcPr>
          <w:p w14:paraId="27E080F6" w14:textId="77777777" w:rsidR="00A85061" w:rsidRDefault="00A85061">
            <w:pPr>
              <w:rPr>
                <w:rFonts w:ascii="宋体"/>
              </w:rPr>
            </w:pPr>
          </w:p>
        </w:tc>
        <w:tc>
          <w:tcPr>
            <w:tcW w:w="1005" w:type="pct"/>
            <w:shd w:val="clear" w:color="auto" w:fill="auto"/>
            <w:vAlign w:val="bottom"/>
          </w:tcPr>
          <w:p w14:paraId="27E080F7" w14:textId="77777777" w:rsidR="00A85061" w:rsidRDefault="00A85061">
            <w:pPr>
              <w:rPr>
                <w:rFonts w:ascii="宋体"/>
              </w:rPr>
            </w:pPr>
          </w:p>
        </w:tc>
        <w:tc>
          <w:tcPr>
            <w:tcW w:w="5" w:type="pct"/>
            <w:shd w:val="clear" w:color="auto" w:fill="auto"/>
            <w:vAlign w:val="bottom"/>
          </w:tcPr>
          <w:p w14:paraId="27E080F8" w14:textId="77777777" w:rsidR="00A85061" w:rsidRDefault="00A85061">
            <w:pPr>
              <w:rPr>
                <w:rFonts w:ascii="宋体"/>
              </w:rPr>
            </w:pPr>
          </w:p>
        </w:tc>
        <w:tc>
          <w:tcPr>
            <w:tcW w:w="50" w:type="pct"/>
            <w:shd w:val="clear" w:color="auto" w:fill="auto"/>
            <w:vAlign w:val="bottom"/>
          </w:tcPr>
          <w:p w14:paraId="27E080F9" w14:textId="77777777" w:rsidR="00A85061" w:rsidRDefault="00A85061">
            <w:pPr>
              <w:rPr>
                <w:rFonts w:ascii="宋体"/>
              </w:rPr>
            </w:pPr>
          </w:p>
        </w:tc>
        <w:tc>
          <w:tcPr>
            <w:tcW w:w="570" w:type="pct"/>
            <w:shd w:val="clear" w:color="auto" w:fill="auto"/>
            <w:vAlign w:val="bottom"/>
          </w:tcPr>
          <w:p w14:paraId="27E080FA" w14:textId="77777777" w:rsidR="00A85061" w:rsidRDefault="00A85061">
            <w:pPr>
              <w:rPr>
                <w:rFonts w:ascii="宋体"/>
              </w:rPr>
            </w:pPr>
          </w:p>
        </w:tc>
        <w:tc>
          <w:tcPr>
            <w:tcW w:w="5" w:type="pct"/>
            <w:shd w:val="clear" w:color="auto" w:fill="auto"/>
            <w:vAlign w:val="bottom"/>
          </w:tcPr>
          <w:p w14:paraId="27E080FB" w14:textId="77777777" w:rsidR="00A85061" w:rsidRDefault="00A85061">
            <w:pPr>
              <w:rPr>
                <w:rFonts w:ascii="宋体"/>
              </w:rPr>
            </w:pPr>
          </w:p>
        </w:tc>
        <w:tc>
          <w:tcPr>
            <w:tcW w:w="5" w:type="pct"/>
            <w:shd w:val="clear" w:color="auto" w:fill="auto"/>
            <w:vAlign w:val="bottom"/>
          </w:tcPr>
          <w:p w14:paraId="27E080FC" w14:textId="77777777" w:rsidR="00A85061" w:rsidRDefault="00A85061">
            <w:pPr>
              <w:rPr>
                <w:rFonts w:ascii="宋体"/>
              </w:rPr>
            </w:pPr>
          </w:p>
        </w:tc>
        <w:tc>
          <w:tcPr>
            <w:tcW w:w="26" w:type="pct"/>
            <w:shd w:val="clear" w:color="auto" w:fill="auto"/>
            <w:vAlign w:val="bottom"/>
          </w:tcPr>
          <w:p w14:paraId="27E080FD" w14:textId="77777777" w:rsidR="00A85061" w:rsidRDefault="00A85061">
            <w:pPr>
              <w:rPr>
                <w:rFonts w:ascii="宋体"/>
              </w:rPr>
            </w:pPr>
          </w:p>
        </w:tc>
        <w:tc>
          <w:tcPr>
            <w:tcW w:w="5" w:type="pct"/>
            <w:shd w:val="clear" w:color="auto" w:fill="auto"/>
            <w:vAlign w:val="bottom"/>
          </w:tcPr>
          <w:p w14:paraId="27E080FE" w14:textId="77777777" w:rsidR="00A85061" w:rsidRDefault="00A85061">
            <w:pPr>
              <w:rPr>
                <w:rFonts w:ascii="宋体"/>
              </w:rPr>
            </w:pPr>
          </w:p>
        </w:tc>
        <w:tc>
          <w:tcPr>
            <w:tcW w:w="50" w:type="pct"/>
            <w:shd w:val="clear" w:color="auto" w:fill="auto"/>
            <w:vAlign w:val="bottom"/>
          </w:tcPr>
          <w:p w14:paraId="27E080FF" w14:textId="77777777" w:rsidR="00A85061" w:rsidRDefault="00A85061">
            <w:pPr>
              <w:rPr>
                <w:rFonts w:ascii="宋体"/>
              </w:rPr>
            </w:pPr>
          </w:p>
        </w:tc>
        <w:tc>
          <w:tcPr>
            <w:tcW w:w="570" w:type="pct"/>
            <w:shd w:val="clear" w:color="auto" w:fill="auto"/>
            <w:vAlign w:val="bottom"/>
          </w:tcPr>
          <w:p w14:paraId="27E08100" w14:textId="77777777" w:rsidR="00A85061" w:rsidRDefault="00A85061">
            <w:pPr>
              <w:rPr>
                <w:rFonts w:ascii="宋体"/>
              </w:rPr>
            </w:pPr>
          </w:p>
        </w:tc>
        <w:tc>
          <w:tcPr>
            <w:tcW w:w="5" w:type="pct"/>
            <w:shd w:val="clear" w:color="auto" w:fill="auto"/>
            <w:vAlign w:val="bottom"/>
          </w:tcPr>
          <w:p w14:paraId="27E08101" w14:textId="77777777" w:rsidR="00A85061" w:rsidRDefault="00A85061">
            <w:pPr>
              <w:rPr>
                <w:rFonts w:ascii="宋体"/>
              </w:rPr>
            </w:pPr>
          </w:p>
        </w:tc>
        <w:tc>
          <w:tcPr>
            <w:tcW w:w="5" w:type="pct"/>
            <w:shd w:val="clear" w:color="auto" w:fill="auto"/>
            <w:vAlign w:val="bottom"/>
          </w:tcPr>
          <w:p w14:paraId="27E08102" w14:textId="77777777" w:rsidR="00A85061" w:rsidRDefault="00A85061">
            <w:pPr>
              <w:rPr>
                <w:rFonts w:ascii="宋体"/>
              </w:rPr>
            </w:pPr>
          </w:p>
        </w:tc>
        <w:tc>
          <w:tcPr>
            <w:tcW w:w="26" w:type="pct"/>
            <w:shd w:val="clear" w:color="auto" w:fill="auto"/>
            <w:vAlign w:val="bottom"/>
          </w:tcPr>
          <w:p w14:paraId="27E08103" w14:textId="77777777" w:rsidR="00A85061" w:rsidRDefault="00A85061">
            <w:pPr>
              <w:rPr>
                <w:rFonts w:ascii="宋体"/>
              </w:rPr>
            </w:pPr>
          </w:p>
        </w:tc>
        <w:tc>
          <w:tcPr>
            <w:tcW w:w="5" w:type="pct"/>
            <w:shd w:val="clear" w:color="auto" w:fill="auto"/>
            <w:vAlign w:val="bottom"/>
          </w:tcPr>
          <w:p w14:paraId="27E08104" w14:textId="77777777" w:rsidR="00A85061" w:rsidRDefault="00A85061">
            <w:pPr>
              <w:rPr>
                <w:rFonts w:ascii="宋体"/>
              </w:rPr>
            </w:pPr>
          </w:p>
        </w:tc>
        <w:tc>
          <w:tcPr>
            <w:tcW w:w="50" w:type="pct"/>
            <w:shd w:val="clear" w:color="auto" w:fill="auto"/>
            <w:vAlign w:val="bottom"/>
          </w:tcPr>
          <w:p w14:paraId="27E08105" w14:textId="77777777" w:rsidR="00A85061" w:rsidRDefault="00A85061">
            <w:pPr>
              <w:rPr>
                <w:rFonts w:ascii="宋体"/>
              </w:rPr>
            </w:pPr>
          </w:p>
        </w:tc>
        <w:tc>
          <w:tcPr>
            <w:tcW w:w="570" w:type="pct"/>
            <w:shd w:val="clear" w:color="auto" w:fill="auto"/>
            <w:vAlign w:val="bottom"/>
          </w:tcPr>
          <w:p w14:paraId="27E08106" w14:textId="77777777" w:rsidR="00A85061" w:rsidRDefault="00A85061">
            <w:pPr>
              <w:rPr>
                <w:rFonts w:ascii="宋体"/>
              </w:rPr>
            </w:pPr>
          </w:p>
        </w:tc>
        <w:tc>
          <w:tcPr>
            <w:tcW w:w="5" w:type="pct"/>
            <w:shd w:val="clear" w:color="auto" w:fill="auto"/>
            <w:vAlign w:val="bottom"/>
          </w:tcPr>
          <w:p w14:paraId="27E08107" w14:textId="77777777" w:rsidR="00A85061" w:rsidRDefault="00A85061">
            <w:pPr>
              <w:rPr>
                <w:rFonts w:ascii="宋体"/>
              </w:rPr>
            </w:pPr>
          </w:p>
        </w:tc>
        <w:tc>
          <w:tcPr>
            <w:tcW w:w="5" w:type="pct"/>
            <w:shd w:val="clear" w:color="auto" w:fill="auto"/>
            <w:vAlign w:val="bottom"/>
          </w:tcPr>
          <w:p w14:paraId="27E08108" w14:textId="77777777" w:rsidR="00A85061" w:rsidRDefault="00A85061">
            <w:pPr>
              <w:rPr>
                <w:rFonts w:ascii="宋体"/>
              </w:rPr>
            </w:pPr>
          </w:p>
        </w:tc>
        <w:tc>
          <w:tcPr>
            <w:tcW w:w="26" w:type="pct"/>
            <w:shd w:val="clear" w:color="auto" w:fill="auto"/>
            <w:vAlign w:val="bottom"/>
          </w:tcPr>
          <w:p w14:paraId="27E08109" w14:textId="77777777" w:rsidR="00A85061" w:rsidRDefault="00A85061">
            <w:pPr>
              <w:rPr>
                <w:rFonts w:ascii="宋体"/>
              </w:rPr>
            </w:pPr>
          </w:p>
        </w:tc>
        <w:tc>
          <w:tcPr>
            <w:tcW w:w="5" w:type="pct"/>
            <w:shd w:val="clear" w:color="auto" w:fill="auto"/>
            <w:vAlign w:val="bottom"/>
          </w:tcPr>
          <w:p w14:paraId="27E0810A" w14:textId="77777777" w:rsidR="00A85061" w:rsidRDefault="00A85061">
            <w:pPr>
              <w:rPr>
                <w:rFonts w:ascii="宋体"/>
              </w:rPr>
            </w:pPr>
          </w:p>
        </w:tc>
        <w:tc>
          <w:tcPr>
            <w:tcW w:w="50" w:type="pct"/>
            <w:shd w:val="clear" w:color="auto" w:fill="auto"/>
            <w:vAlign w:val="bottom"/>
          </w:tcPr>
          <w:p w14:paraId="27E0810B" w14:textId="77777777" w:rsidR="00A85061" w:rsidRDefault="00A85061">
            <w:pPr>
              <w:rPr>
                <w:rFonts w:ascii="宋体"/>
              </w:rPr>
            </w:pPr>
          </w:p>
        </w:tc>
        <w:tc>
          <w:tcPr>
            <w:tcW w:w="570" w:type="pct"/>
            <w:shd w:val="clear" w:color="auto" w:fill="auto"/>
            <w:vAlign w:val="bottom"/>
          </w:tcPr>
          <w:p w14:paraId="27E0810C" w14:textId="77777777" w:rsidR="00A85061" w:rsidRDefault="00A85061">
            <w:pPr>
              <w:rPr>
                <w:rFonts w:ascii="宋体"/>
              </w:rPr>
            </w:pPr>
          </w:p>
        </w:tc>
        <w:tc>
          <w:tcPr>
            <w:tcW w:w="5" w:type="pct"/>
            <w:shd w:val="clear" w:color="auto" w:fill="auto"/>
            <w:vAlign w:val="bottom"/>
          </w:tcPr>
          <w:p w14:paraId="27E0810D" w14:textId="77777777" w:rsidR="00A85061" w:rsidRDefault="00A85061">
            <w:pPr>
              <w:rPr>
                <w:rFonts w:ascii="宋体"/>
              </w:rPr>
            </w:pPr>
          </w:p>
        </w:tc>
        <w:tc>
          <w:tcPr>
            <w:tcW w:w="5" w:type="pct"/>
            <w:shd w:val="clear" w:color="auto" w:fill="auto"/>
            <w:vAlign w:val="bottom"/>
          </w:tcPr>
          <w:p w14:paraId="27E0810E" w14:textId="77777777" w:rsidR="00A85061" w:rsidRDefault="00A85061">
            <w:pPr>
              <w:rPr>
                <w:rFonts w:ascii="宋体"/>
              </w:rPr>
            </w:pPr>
          </w:p>
        </w:tc>
        <w:tc>
          <w:tcPr>
            <w:tcW w:w="26" w:type="pct"/>
            <w:shd w:val="clear" w:color="auto" w:fill="auto"/>
            <w:vAlign w:val="bottom"/>
          </w:tcPr>
          <w:p w14:paraId="27E0810F" w14:textId="77777777" w:rsidR="00A85061" w:rsidRDefault="00A85061">
            <w:pPr>
              <w:rPr>
                <w:rFonts w:ascii="宋体"/>
              </w:rPr>
            </w:pPr>
          </w:p>
        </w:tc>
        <w:tc>
          <w:tcPr>
            <w:tcW w:w="5" w:type="pct"/>
            <w:shd w:val="clear" w:color="auto" w:fill="auto"/>
            <w:vAlign w:val="bottom"/>
          </w:tcPr>
          <w:p w14:paraId="27E08110" w14:textId="77777777" w:rsidR="00A85061" w:rsidRDefault="00A85061">
            <w:pPr>
              <w:rPr>
                <w:rFonts w:ascii="宋体"/>
              </w:rPr>
            </w:pPr>
          </w:p>
        </w:tc>
        <w:tc>
          <w:tcPr>
            <w:tcW w:w="50" w:type="pct"/>
            <w:shd w:val="clear" w:color="auto" w:fill="auto"/>
            <w:vAlign w:val="bottom"/>
          </w:tcPr>
          <w:p w14:paraId="27E08111" w14:textId="77777777" w:rsidR="00A85061" w:rsidRDefault="00A85061">
            <w:pPr>
              <w:rPr>
                <w:rFonts w:ascii="宋体"/>
              </w:rPr>
            </w:pPr>
          </w:p>
        </w:tc>
        <w:tc>
          <w:tcPr>
            <w:tcW w:w="570" w:type="pct"/>
            <w:shd w:val="clear" w:color="auto" w:fill="auto"/>
            <w:vAlign w:val="bottom"/>
          </w:tcPr>
          <w:p w14:paraId="27E08112" w14:textId="77777777" w:rsidR="00A85061" w:rsidRDefault="00A85061">
            <w:pPr>
              <w:rPr>
                <w:rFonts w:ascii="宋体"/>
              </w:rPr>
            </w:pPr>
          </w:p>
        </w:tc>
        <w:tc>
          <w:tcPr>
            <w:tcW w:w="5" w:type="pct"/>
            <w:shd w:val="clear" w:color="auto" w:fill="auto"/>
            <w:vAlign w:val="bottom"/>
          </w:tcPr>
          <w:p w14:paraId="27E08113" w14:textId="77777777" w:rsidR="00A85061" w:rsidRDefault="00A85061">
            <w:pPr>
              <w:rPr>
                <w:rFonts w:ascii="宋体"/>
              </w:rPr>
            </w:pPr>
          </w:p>
        </w:tc>
        <w:tc>
          <w:tcPr>
            <w:tcW w:w="5" w:type="pct"/>
            <w:shd w:val="clear" w:color="auto" w:fill="auto"/>
            <w:vAlign w:val="bottom"/>
          </w:tcPr>
          <w:p w14:paraId="27E08114" w14:textId="77777777" w:rsidR="00A85061" w:rsidRDefault="00A85061">
            <w:pPr>
              <w:rPr>
                <w:rFonts w:ascii="宋体"/>
              </w:rPr>
            </w:pPr>
          </w:p>
        </w:tc>
        <w:tc>
          <w:tcPr>
            <w:tcW w:w="26" w:type="pct"/>
            <w:shd w:val="clear" w:color="auto" w:fill="auto"/>
            <w:vAlign w:val="bottom"/>
          </w:tcPr>
          <w:p w14:paraId="27E08115" w14:textId="77777777" w:rsidR="00A85061" w:rsidRDefault="00A85061">
            <w:pPr>
              <w:rPr>
                <w:rFonts w:ascii="宋体"/>
              </w:rPr>
            </w:pPr>
          </w:p>
        </w:tc>
        <w:tc>
          <w:tcPr>
            <w:tcW w:w="5" w:type="pct"/>
            <w:shd w:val="clear" w:color="auto" w:fill="auto"/>
            <w:vAlign w:val="bottom"/>
          </w:tcPr>
          <w:p w14:paraId="27E08116" w14:textId="77777777" w:rsidR="00A85061" w:rsidRDefault="00A85061">
            <w:pPr>
              <w:rPr>
                <w:rFonts w:ascii="宋体"/>
              </w:rPr>
            </w:pPr>
          </w:p>
        </w:tc>
        <w:tc>
          <w:tcPr>
            <w:tcW w:w="50" w:type="pct"/>
            <w:shd w:val="clear" w:color="auto" w:fill="auto"/>
            <w:vAlign w:val="bottom"/>
          </w:tcPr>
          <w:p w14:paraId="27E08117" w14:textId="77777777" w:rsidR="00A85061" w:rsidRDefault="00A85061">
            <w:pPr>
              <w:rPr>
                <w:rFonts w:ascii="宋体"/>
              </w:rPr>
            </w:pPr>
          </w:p>
        </w:tc>
        <w:tc>
          <w:tcPr>
            <w:tcW w:w="571" w:type="pct"/>
            <w:shd w:val="clear" w:color="auto" w:fill="auto"/>
            <w:vAlign w:val="bottom"/>
          </w:tcPr>
          <w:p w14:paraId="27E08118" w14:textId="77777777" w:rsidR="00A85061" w:rsidRDefault="00A85061">
            <w:pPr>
              <w:rPr>
                <w:rFonts w:ascii="宋体"/>
              </w:rPr>
            </w:pPr>
          </w:p>
        </w:tc>
        <w:tc>
          <w:tcPr>
            <w:tcW w:w="5" w:type="pct"/>
            <w:shd w:val="clear" w:color="auto" w:fill="auto"/>
            <w:vAlign w:val="bottom"/>
          </w:tcPr>
          <w:p w14:paraId="27E08119" w14:textId="77777777" w:rsidR="00A85061" w:rsidRDefault="00A85061">
            <w:pPr>
              <w:rPr>
                <w:rFonts w:ascii="宋体"/>
              </w:rPr>
            </w:pPr>
          </w:p>
        </w:tc>
      </w:tr>
      <w:tr w:rsidR="00A85061" w14:paraId="27E0811F" w14:textId="77777777">
        <w:tc>
          <w:tcPr>
            <w:tcW w:w="0" w:type="auto"/>
            <w:gridSpan w:val="3"/>
            <w:shd w:val="clear" w:color="auto" w:fill="auto"/>
            <w:tcMar>
              <w:top w:w="40" w:type="dxa"/>
              <w:left w:w="20" w:type="dxa"/>
              <w:bottom w:w="40" w:type="dxa"/>
              <w:right w:w="20" w:type="dxa"/>
            </w:tcMar>
            <w:vAlign w:val="bottom"/>
          </w:tcPr>
          <w:p w14:paraId="27E0811B" w14:textId="77777777" w:rsidR="00A85061" w:rsidRDefault="00F04891">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27E0811C"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shd w:val="clear" w:color="auto" w:fill="auto"/>
            <w:tcMar>
              <w:top w:w="0" w:type="dxa"/>
              <w:left w:w="20" w:type="dxa"/>
              <w:bottom w:w="0" w:type="dxa"/>
              <w:right w:w="20" w:type="dxa"/>
            </w:tcMar>
            <w:vAlign w:val="bottom"/>
          </w:tcPr>
          <w:p w14:paraId="27E0811D" w14:textId="77777777" w:rsidR="00A85061" w:rsidRDefault="00A85061">
            <w:pPr>
              <w:rPr>
                <w:rFonts w:ascii="宋体"/>
              </w:rPr>
            </w:pPr>
          </w:p>
        </w:tc>
        <w:tc>
          <w:tcPr>
            <w:tcW w:w="0" w:type="auto"/>
            <w:gridSpan w:val="15"/>
            <w:shd w:val="clear" w:color="auto" w:fill="auto"/>
            <w:tcMar>
              <w:top w:w="40" w:type="dxa"/>
              <w:left w:w="20" w:type="dxa"/>
              <w:bottom w:w="40" w:type="dxa"/>
              <w:right w:w="20" w:type="dxa"/>
            </w:tcMar>
            <w:vAlign w:val="bottom"/>
          </w:tcPr>
          <w:p w14:paraId="27E0811E"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812C" w14:textId="77777777">
        <w:tc>
          <w:tcPr>
            <w:tcW w:w="0" w:type="auto"/>
            <w:gridSpan w:val="3"/>
            <w:shd w:val="clear" w:color="auto" w:fill="auto"/>
            <w:tcMar>
              <w:top w:w="40" w:type="dxa"/>
              <w:left w:w="20" w:type="dxa"/>
              <w:bottom w:w="40" w:type="dxa"/>
              <w:right w:w="20" w:type="dxa"/>
            </w:tcMar>
            <w:vAlign w:val="bottom"/>
          </w:tcPr>
          <w:p w14:paraId="27E08120"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1" w14:textId="77777777" w:rsidR="00A85061" w:rsidRDefault="00F04891">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22"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3" w14:textId="77777777" w:rsidR="00A85061" w:rsidRDefault="00F04891">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24"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5" w14:textId="77777777" w:rsidR="00A85061" w:rsidRDefault="00F04891">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27E08126"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7" w14:textId="77777777" w:rsidR="00A85061" w:rsidRDefault="00F04891">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28"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9" w14:textId="77777777" w:rsidR="00A85061" w:rsidRDefault="00F04891">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2A"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12B" w14:textId="77777777" w:rsidR="00A85061" w:rsidRDefault="00F04891">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A85061" w14:paraId="27E08139" w14:textId="77777777">
        <w:trPr>
          <w:trHeight w:val="60"/>
        </w:trPr>
        <w:tc>
          <w:tcPr>
            <w:tcW w:w="0" w:type="auto"/>
            <w:gridSpan w:val="3"/>
            <w:shd w:val="clear" w:color="auto" w:fill="auto"/>
            <w:tcMar>
              <w:top w:w="0" w:type="dxa"/>
              <w:left w:w="20" w:type="dxa"/>
              <w:bottom w:w="0" w:type="dxa"/>
              <w:right w:w="20" w:type="dxa"/>
            </w:tcMar>
            <w:vAlign w:val="bottom"/>
          </w:tcPr>
          <w:p w14:paraId="27E0812D"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2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2F"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3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3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3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3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3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35"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3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37"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38" w14:textId="77777777" w:rsidR="00A85061" w:rsidRDefault="00A85061">
            <w:pPr>
              <w:rPr>
                <w:rFonts w:ascii="宋体"/>
              </w:rPr>
            </w:pPr>
          </w:p>
        </w:tc>
      </w:tr>
      <w:tr w:rsidR="00A85061" w14:paraId="27E0813C" w14:textId="77777777">
        <w:tc>
          <w:tcPr>
            <w:tcW w:w="0" w:type="auto"/>
            <w:gridSpan w:val="3"/>
            <w:shd w:val="clear" w:color="auto" w:fill="auto"/>
            <w:tcMar>
              <w:top w:w="40" w:type="dxa"/>
              <w:left w:w="20" w:type="dxa"/>
              <w:bottom w:w="40" w:type="dxa"/>
              <w:right w:w="20" w:type="dxa"/>
            </w:tcMar>
            <w:vAlign w:val="bottom"/>
          </w:tcPr>
          <w:p w14:paraId="27E0813A" w14:textId="77777777" w:rsidR="00A85061" w:rsidRDefault="00F04891">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27E0813B"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155" w14:textId="77777777">
        <w:tc>
          <w:tcPr>
            <w:tcW w:w="0" w:type="auto"/>
            <w:gridSpan w:val="3"/>
            <w:shd w:val="clear" w:color="auto" w:fill="E2EFD9"/>
            <w:tcMar>
              <w:top w:w="40" w:type="dxa"/>
              <w:left w:w="20" w:type="dxa"/>
              <w:bottom w:w="40" w:type="dxa"/>
              <w:right w:w="20" w:type="dxa"/>
            </w:tcMar>
            <w:vAlign w:val="bottom"/>
          </w:tcPr>
          <w:p w14:paraId="27E0813D" w14:textId="77777777" w:rsidR="00A85061" w:rsidRDefault="00F04891">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27E0813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3F" w14:textId="77777777" w:rsidR="00A85061" w:rsidRDefault="00F04891">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27E0814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41"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4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43" w14:textId="77777777" w:rsidR="00A85061" w:rsidRDefault="00F04891">
            <w:pPr>
              <w:jc w:val="right"/>
              <w:textAlignment w:val="bottom"/>
            </w:pPr>
            <w:r>
              <w:rPr>
                <w:rFonts w:ascii="sans-serif" w:eastAsia="sans-serif" w:hAnsi="sans-serif" w:cs="sans-serif"/>
                <w:color w:val="000000"/>
                <w:sz w:val="20"/>
                <w:szCs w:val="20"/>
              </w:rPr>
              <w:t>(904)</w:t>
            </w:r>
          </w:p>
        </w:tc>
        <w:tc>
          <w:tcPr>
            <w:tcW w:w="0" w:type="auto"/>
            <w:shd w:val="clear" w:color="auto" w:fill="E2EFD9"/>
            <w:tcMar>
              <w:top w:w="40" w:type="dxa"/>
              <w:left w:w="0" w:type="dxa"/>
              <w:bottom w:w="40" w:type="dxa"/>
              <w:right w:w="20" w:type="dxa"/>
            </w:tcMar>
            <w:vAlign w:val="bottom"/>
          </w:tcPr>
          <w:p w14:paraId="27E0814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45"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4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47" w14:textId="77777777" w:rsidR="00A85061" w:rsidRDefault="00F04891">
            <w:pPr>
              <w:jc w:val="right"/>
              <w:textAlignment w:val="bottom"/>
            </w:pPr>
            <w:r>
              <w:rPr>
                <w:rFonts w:ascii="sans-serif" w:eastAsia="sans-serif" w:hAnsi="sans-serif" w:cs="sans-serif"/>
                <w:color w:val="000000"/>
                <w:sz w:val="20"/>
                <w:szCs w:val="20"/>
              </w:rPr>
              <w:t>2,376 </w:t>
            </w:r>
          </w:p>
        </w:tc>
        <w:tc>
          <w:tcPr>
            <w:tcW w:w="0" w:type="auto"/>
            <w:shd w:val="clear" w:color="auto" w:fill="E2EFD9"/>
            <w:tcMar>
              <w:top w:w="40" w:type="dxa"/>
              <w:left w:w="0" w:type="dxa"/>
              <w:bottom w:w="40" w:type="dxa"/>
              <w:right w:w="20" w:type="dxa"/>
            </w:tcMar>
            <w:vAlign w:val="bottom"/>
          </w:tcPr>
          <w:p w14:paraId="27E0814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49"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4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4B" w14:textId="77777777" w:rsidR="00A85061" w:rsidRDefault="00F04891">
            <w:pPr>
              <w:jc w:val="right"/>
              <w:textAlignment w:val="bottom"/>
            </w:pPr>
            <w:r>
              <w:rPr>
                <w:rFonts w:ascii="sans-serif" w:eastAsia="sans-serif" w:hAnsi="sans-serif" w:cs="sans-serif"/>
                <w:color w:val="000000"/>
                <w:sz w:val="20"/>
                <w:szCs w:val="20"/>
              </w:rPr>
              <w:t>3,280 </w:t>
            </w:r>
          </w:p>
        </w:tc>
        <w:tc>
          <w:tcPr>
            <w:tcW w:w="0" w:type="auto"/>
            <w:shd w:val="clear" w:color="auto" w:fill="E2EFD9"/>
            <w:tcMar>
              <w:top w:w="40" w:type="dxa"/>
              <w:left w:w="0" w:type="dxa"/>
              <w:bottom w:w="40" w:type="dxa"/>
              <w:right w:w="20" w:type="dxa"/>
            </w:tcMar>
            <w:vAlign w:val="bottom"/>
          </w:tcPr>
          <w:p w14:paraId="27E0814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4D"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4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4F" w14:textId="77777777" w:rsidR="00A85061" w:rsidRDefault="00F04891">
            <w:pPr>
              <w:jc w:val="right"/>
              <w:textAlignment w:val="bottom"/>
            </w:pPr>
            <w:r>
              <w:rPr>
                <w:rFonts w:ascii="sans-serif" w:eastAsia="sans-serif" w:hAnsi="sans-serif" w:cs="sans-serif"/>
                <w:color w:val="000000"/>
                <w:sz w:val="20"/>
                <w:szCs w:val="20"/>
              </w:rPr>
              <w:t>(774)</w:t>
            </w:r>
          </w:p>
        </w:tc>
        <w:tc>
          <w:tcPr>
            <w:tcW w:w="0" w:type="auto"/>
            <w:shd w:val="clear" w:color="auto" w:fill="E2EFD9"/>
            <w:tcMar>
              <w:top w:w="40" w:type="dxa"/>
              <w:left w:w="0" w:type="dxa"/>
              <w:bottom w:w="40" w:type="dxa"/>
              <w:right w:w="20" w:type="dxa"/>
            </w:tcMar>
            <w:vAlign w:val="bottom"/>
          </w:tcPr>
          <w:p w14:paraId="27E0815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51"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5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53" w14:textId="77777777" w:rsidR="00A85061" w:rsidRDefault="00F04891">
            <w:pPr>
              <w:jc w:val="right"/>
              <w:textAlignment w:val="bottom"/>
            </w:pPr>
            <w:r>
              <w:rPr>
                <w:rFonts w:ascii="sans-serif" w:eastAsia="sans-serif" w:hAnsi="sans-serif" w:cs="sans-serif"/>
                <w:color w:val="000000"/>
                <w:sz w:val="20"/>
                <w:szCs w:val="20"/>
              </w:rPr>
              <w:t>2,506 </w:t>
            </w:r>
          </w:p>
        </w:tc>
        <w:tc>
          <w:tcPr>
            <w:tcW w:w="0" w:type="auto"/>
            <w:shd w:val="clear" w:color="auto" w:fill="E2EFD9"/>
            <w:tcMar>
              <w:top w:w="40" w:type="dxa"/>
              <w:left w:w="0" w:type="dxa"/>
              <w:bottom w:w="40" w:type="dxa"/>
              <w:right w:w="20" w:type="dxa"/>
            </w:tcMar>
            <w:vAlign w:val="bottom"/>
          </w:tcPr>
          <w:p w14:paraId="27E08154" w14:textId="77777777" w:rsidR="00A85061" w:rsidRDefault="00A85061">
            <w:pPr>
              <w:jc w:val="right"/>
              <w:rPr>
                <w:rFonts w:ascii="宋体"/>
              </w:rPr>
            </w:pPr>
          </w:p>
        </w:tc>
      </w:tr>
      <w:tr w:rsidR="00A85061" w14:paraId="27E08168" w14:textId="77777777">
        <w:tc>
          <w:tcPr>
            <w:tcW w:w="0" w:type="auto"/>
            <w:gridSpan w:val="3"/>
            <w:shd w:val="clear" w:color="auto" w:fill="FFFFFF"/>
            <w:tcMar>
              <w:top w:w="40" w:type="dxa"/>
              <w:left w:w="20" w:type="dxa"/>
              <w:bottom w:w="40" w:type="dxa"/>
              <w:right w:w="20" w:type="dxa"/>
            </w:tcMar>
            <w:vAlign w:val="bottom"/>
          </w:tcPr>
          <w:p w14:paraId="27E08156" w14:textId="77777777" w:rsidR="00A85061" w:rsidRDefault="00F04891">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27E08157" w14:textId="77777777" w:rsidR="00A85061" w:rsidRDefault="00F04891">
            <w:pPr>
              <w:jc w:val="right"/>
              <w:textAlignment w:val="bottom"/>
            </w:pPr>
            <w:r>
              <w:rPr>
                <w:rFonts w:ascii="sans-serif" w:eastAsia="sans-serif" w:hAnsi="sans-serif" w:cs="sans-serif"/>
                <w:color w:val="000000"/>
                <w:sz w:val="20"/>
                <w:szCs w:val="20"/>
              </w:rPr>
              <w:t>719 </w:t>
            </w:r>
          </w:p>
        </w:tc>
        <w:tc>
          <w:tcPr>
            <w:tcW w:w="0" w:type="auto"/>
            <w:shd w:val="clear" w:color="auto" w:fill="FFFFFF"/>
            <w:tcMar>
              <w:top w:w="40" w:type="dxa"/>
              <w:left w:w="0" w:type="dxa"/>
              <w:bottom w:w="40" w:type="dxa"/>
              <w:right w:w="20" w:type="dxa"/>
            </w:tcMar>
            <w:vAlign w:val="bottom"/>
          </w:tcPr>
          <w:p w14:paraId="27E0815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59"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5A" w14:textId="77777777" w:rsidR="00A85061" w:rsidRDefault="00F04891">
            <w:pPr>
              <w:jc w:val="right"/>
              <w:textAlignment w:val="bottom"/>
            </w:pPr>
            <w:r>
              <w:rPr>
                <w:rFonts w:ascii="sans-serif" w:eastAsia="sans-serif" w:hAnsi="sans-serif" w:cs="sans-serif"/>
                <w:color w:val="000000"/>
                <w:sz w:val="20"/>
                <w:szCs w:val="20"/>
              </w:rPr>
              <w:t>(482)</w:t>
            </w:r>
          </w:p>
        </w:tc>
        <w:tc>
          <w:tcPr>
            <w:tcW w:w="0" w:type="auto"/>
            <w:shd w:val="clear" w:color="auto" w:fill="FFFFFF"/>
            <w:tcMar>
              <w:top w:w="40" w:type="dxa"/>
              <w:left w:w="0" w:type="dxa"/>
              <w:bottom w:w="40" w:type="dxa"/>
              <w:right w:w="20" w:type="dxa"/>
            </w:tcMar>
            <w:vAlign w:val="bottom"/>
          </w:tcPr>
          <w:p w14:paraId="27E0815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5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5D" w14:textId="77777777" w:rsidR="00A85061" w:rsidRDefault="00F04891">
            <w:pPr>
              <w:jc w:val="right"/>
              <w:textAlignment w:val="bottom"/>
            </w:pPr>
            <w:r>
              <w:rPr>
                <w:rFonts w:ascii="sans-serif" w:eastAsia="sans-serif" w:hAnsi="sans-serif" w:cs="sans-serif"/>
                <w:color w:val="000000"/>
                <w:sz w:val="20"/>
                <w:szCs w:val="20"/>
              </w:rPr>
              <w:t>237 </w:t>
            </w:r>
          </w:p>
        </w:tc>
        <w:tc>
          <w:tcPr>
            <w:tcW w:w="0" w:type="auto"/>
            <w:shd w:val="clear" w:color="auto" w:fill="FFFFFF"/>
            <w:tcMar>
              <w:top w:w="40" w:type="dxa"/>
              <w:left w:w="0" w:type="dxa"/>
              <w:bottom w:w="40" w:type="dxa"/>
              <w:right w:w="20" w:type="dxa"/>
            </w:tcMar>
            <w:vAlign w:val="bottom"/>
          </w:tcPr>
          <w:p w14:paraId="27E0815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5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60" w14:textId="77777777" w:rsidR="00A85061" w:rsidRDefault="00F04891">
            <w:pPr>
              <w:jc w:val="right"/>
              <w:textAlignment w:val="bottom"/>
            </w:pPr>
            <w:r>
              <w:rPr>
                <w:rFonts w:ascii="sans-serif" w:eastAsia="sans-serif" w:hAnsi="sans-serif" w:cs="sans-serif"/>
                <w:color w:val="000000"/>
                <w:sz w:val="20"/>
                <w:szCs w:val="20"/>
              </w:rPr>
              <w:t>706 </w:t>
            </w:r>
          </w:p>
        </w:tc>
        <w:tc>
          <w:tcPr>
            <w:tcW w:w="0" w:type="auto"/>
            <w:shd w:val="clear" w:color="auto" w:fill="FFFFFF"/>
            <w:tcMar>
              <w:top w:w="40" w:type="dxa"/>
              <w:left w:w="0" w:type="dxa"/>
              <w:bottom w:w="40" w:type="dxa"/>
              <w:right w:w="20" w:type="dxa"/>
            </w:tcMar>
            <w:vAlign w:val="bottom"/>
          </w:tcPr>
          <w:p w14:paraId="27E0816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6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63" w14:textId="77777777" w:rsidR="00A85061" w:rsidRDefault="00F04891">
            <w:pPr>
              <w:jc w:val="right"/>
              <w:textAlignment w:val="bottom"/>
            </w:pPr>
            <w:r>
              <w:rPr>
                <w:rFonts w:ascii="sans-serif" w:eastAsia="sans-serif" w:hAnsi="sans-serif" w:cs="sans-serif"/>
                <w:color w:val="000000"/>
                <w:sz w:val="20"/>
                <w:szCs w:val="20"/>
              </w:rPr>
              <w:t>(475)</w:t>
            </w:r>
          </w:p>
        </w:tc>
        <w:tc>
          <w:tcPr>
            <w:tcW w:w="0" w:type="auto"/>
            <w:shd w:val="clear" w:color="auto" w:fill="FFFFFF"/>
            <w:tcMar>
              <w:top w:w="40" w:type="dxa"/>
              <w:left w:w="0" w:type="dxa"/>
              <w:bottom w:w="40" w:type="dxa"/>
              <w:right w:w="20" w:type="dxa"/>
            </w:tcMar>
            <w:vAlign w:val="bottom"/>
          </w:tcPr>
          <w:p w14:paraId="27E0816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6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66" w14:textId="77777777" w:rsidR="00A85061" w:rsidRDefault="00F04891">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27E08167" w14:textId="77777777" w:rsidR="00A85061" w:rsidRDefault="00A85061">
            <w:pPr>
              <w:jc w:val="right"/>
              <w:rPr>
                <w:rFonts w:ascii="宋体"/>
              </w:rPr>
            </w:pPr>
          </w:p>
        </w:tc>
      </w:tr>
      <w:tr w:rsidR="00A85061" w14:paraId="27E08181" w14:textId="77777777">
        <w:tc>
          <w:tcPr>
            <w:tcW w:w="0" w:type="auto"/>
            <w:gridSpan w:val="3"/>
            <w:shd w:val="clear" w:color="auto" w:fill="E2EFD9"/>
            <w:tcMar>
              <w:top w:w="40" w:type="dxa"/>
              <w:left w:w="20" w:type="dxa"/>
              <w:bottom w:w="40" w:type="dxa"/>
              <w:right w:w="20" w:type="dxa"/>
            </w:tcMar>
            <w:vAlign w:val="bottom"/>
          </w:tcPr>
          <w:p w14:paraId="27E08169" w14:textId="77777777" w:rsidR="00A85061" w:rsidRDefault="00F04891">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6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6B" w14:textId="77777777" w:rsidR="00A85061" w:rsidRDefault="00F04891">
            <w:pPr>
              <w:jc w:val="right"/>
              <w:textAlignment w:val="bottom"/>
            </w:pPr>
            <w:r>
              <w:rPr>
                <w:rFonts w:ascii="sans-serif" w:eastAsia="sans-serif" w:hAnsi="sans-serif" w:cs="sans-serif"/>
                <w:color w:val="000000"/>
                <w:sz w:val="20"/>
                <w:szCs w:val="20"/>
              </w:rPr>
              <w:t>3,999 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6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6D"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6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6F" w14:textId="77777777" w:rsidR="00A85061" w:rsidRDefault="00F04891">
            <w:pPr>
              <w:jc w:val="right"/>
              <w:textAlignment w:val="bottom"/>
            </w:pPr>
            <w:r>
              <w:rPr>
                <w:rFonts w:ascii="sans-serif" w:eastAsia="sans-serif" w:hAnsi="sans-serif" w:cs="sans-serif"/>
                <w:color w:val="000000"/>
                <w:sz w:val="20"/>
                <w:szCs w:val="20"/>
              </w:rPr>
              <w:t>(1,386)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7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71"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7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73" w14:textId="77777777" w:rsidR="00A85061" w:rsidRDefault="00F04891">
            <w:pPr>
              <w:jc w:val="right"/>
              <w:textAlignment w:val="bottom"/>
            </w:pPr>
            <w:r>
              <w:rPr>
                <w:rFonts w:ascii="sans-serif" w:eastAsia="sans-serif" w:hAnsi="sans-serif" w:cs="sans-serif"/>
                <w:color w:val="000000"/>
                <w:sz w:val="20"/>
                <w:szCs w:val="20"/>
              </w:rPr>
              <w:t>2,613 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7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75"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76"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77" w14:textId="77777777" w:rsidR="00A85061" w:rsidRDefault="00F04891">
            <w:pPr>
              <w:jc w:val="right"/>
              <w:textAlignment w:val="bottom"/>
            </w:pPr>
            <w:r>
              <w:rPr>
                <w:rFonts w:ascii="sans-serif" w:eastAsia="sans-serif" w:hAnsi="sans-serif" w:cs="sans-serif"/>
                <w:color w:val="000000"/>
                <w:sz w:val="20"/>
                <w:szCs w:val="20"/>
              </w:rPr>
              <w:t>3,986 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7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79"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7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7B" w14:textId="77777777" w:rsidR="00A85061" w:rsidRDefault="00F04891">
            <w:pPr>
              <w:jc w:val="right"/>
              <w:textAlignment w:val="bottom"/>
            </w:pPr>
            <w:r>
              <w:rPr>
                <w:rFonts w:ascii="sans-serif" w:eastAsia="sans-serif" w:hAnsi="sans-serif" w:cs="sans-serif"/>
                <w:color w:val="000000"/>
                <w:sz w:val="20"/>
                <w:szCs w:val="20"/>
              </w:rPr>
              <w:t>(1,249)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7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7D"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17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17F" w14:textId="77777777" w:rsidR="00A85061" w:rsidRDefault="00F04891">
            <w:pPr>
              <w:jc w:val="right"/>
              <w:textAlignment w:val="bottom"/>
            </w:pPr>
            <w:r>
              <w:rPr>
                <w:rFonts w:ascii="sans-serif" w:eastAsia="sans-serif" w:hAnsi="sans-serif" w:cs="sans-serif"/>
                <w:color w:val="000000"/>
                <w:sz w:val="20"/>
                <w:szCs w:val="20"/>
              </w:rPr>
              <w:t>2,737 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180" w14:textId="77777777" w:rsidR="00A85061" w:rsidRDefault="00A85061">
            <w:pPr>
              <w:jc w:val="right"/>
              <w:rPr>
                <w:rFonts w:ascii="宋体"/>
              </w:rPr>
            </w:pPr>
          </w:p>
        </w:tc>
      </w:tr>
    </w:tbl>
    <w:p w14:paraId="27E08182" w14:textId="77777777" w:rsidR="00A85061" w:rsidRDefault="00F04891">
      <w:pPr>
        <w:spacing w:after="60"/>
        <w:ind w:hanging="360"/>
        <w:jc w:val="both"/>
      </w:pPr>
      <w:r>
        <w:rPr>
          <w:rFonts w:ascii="sans-serif" w:eastAsia="sans-serif" w:hAnsi="sans-serif" w:cs="sans-serif"/>
          <w:color w:val="000000"/>
          <w:sz w:val="16"/>
          <w:szCs w:val="16"/>
        </w:rPr>
        <w:t xml:space="preserve">(1)    As of May 2, 2021, acquisition-related intangible assets include the fair value of a Mellanox in-process research and development, or IPR&amp;D, project of $630 million, which has </w:t>
      </w:r>
      <w:r>
        <w:rPr>
          <w:rFonts w:ascii="sans-serif" w:eastAsia="sans-serif" w:hAnsi="sans-serif" w:cs="sans-serif"/>
          <w:color w:val="000000"/>
          <w:sz w:val="16"/>
          <w:szCs w:val="16"/>
        </w:rPr>
        <w:t>not yet commenced amortization. Once the project reaches technological feasibility, we will begin to amortize the intangible asset over its estimated useful life.</w:t>
      </w:r>
    </w:p>
    <w:p w14:paraId="27E08183" w14:textId="77777777" w:rsidR="00A85061" w:rsidRDefault="00F04891">
      <w:pPr>
        <w:spacing w:after="180"/>
        <w:jc w:val="both"/>
      </w:pPr>
      <w:r>
        <w:rPr>
          <w:rFonts w:ascii="sans-serif" w:eastAsia="sans-serif" w:hAnsi="sans-serif" w:cs="sans-serif"/>
          <w:color w:val="000000"/>
          <w:sz w:val="20"/>
          <w:szCs w:val="20"/>
        </w:rPr>
        <w:t>Amortization expense associated with intangible assets was $137 million and $7 million for th</w:t>
      </w:r>
      <w:r>
        <w:rPr>
          <w:rFonts w:ascii="sans-serif" w:eastAsia="sans-serif" w:hAnsi="sans-serif" w:cs="sans-serif"/>
          <w:color w:val="000000"/>
          <w:sz w:val="20"/>
          <w:szCs w:val="20"/>
        </w:rPr>
        <w:t>e first quarter of fiscal years 2022 and 2021, respectively. Future amortization expense related to the net carrying amount of intangible assets, excluding IPR&amp;D, as of May 2, 2021 is estimated to be $412 million for the remainder of fiscal year 2022, $546</w:t>
      </w:r>
      <w:r>
        <w:rPr>
          <w:rFonts w:ascii="sans-serif" w:eastAsia="sans-serif" w:hAnsi="sans-serif" w:cs="sans-serif"/>
          <w:color w:val="000000"/>
          <w:sz w:val="20"/>
          <w:szCs w:val="20"/>
        </w:rPr>
        <w:t xml:space="preserve"> million in fiscal year 2023, $424 million in fiscal year 2024, $370 million in fiscal year 2025, $99 million in fiscal year 2026, and $132 million in fiscal year 2027 and thereafter.</w:t>
      </w:r>
    </w:p>
    <w:p w14:paraId="27E08184" w14:textId="77777777" w:rsidR="00A85061" w:rsidRDefault="00F04891">
      <w:pPr>
        <w:spacing w:after="180"/>
        <w:jc w:val="both"/>
      </w:pPr>
      <w:r>
        <w:rPr>
          <w:rFonts w:ascii="sans-serif" w:eastAsia="sans-serif" w:hAnsi="sans-serif" w:cs="sans-serif"/>
          <w:color w:val="000000"/>
          <w:sz w:val="20"/>
          <w:szCs w:val="20"/>
        </w:rPr>
        <w:t>There were no changes to the carrying amount of goodwill during the firs</w:t>
      </w:r>
      <w:r>
        <w:rPr>
          <w:rFonts w:ascii="sans-serif" w:eastAsia="sans-serif" w:hAnsi="sans-serif" w:cs="sans-serif"/>
          <w:color w:val="000000"/>
          <w:sz w:val="20"/>
          <w:szCs w:val="20"/>
        </w:rPr>
        <w:t xml:space="preserve">t quarter of fiscal year 2022. </w:t>
      </w:r>
    </w:p>
    <w:p w14:paraId="27E08185" w14:textId="77777777" w:rsidR="00A85061" w:rsidRDefault="00F04891">
      <w:pPr>
        <w:spacing w:before="180" w:after="120"/>
        <w:jc w:val="both"/>
      </w:pPr>
      <w:r>
        <w:rPr>
          <w:rFonts w:ascii="sans-serif" w:eastAsia="sans-serif" w:hAnsi="sans-serif" w:cs="sans-serif"/>
          <w:b/>
          <w:bCs/>
          <w:color w:val="76B900"/>
          <w:sz w:val="22"/>
          <w:szCs w:val="22"/>
        </w:rPr>
        <w:t>Note 10 - Balance Sheet Components </w:t>
      </w:r>
    </w:p>
    <w:p w14:paraId="27E08186" w14:textId="77777777" w:rsidR="00A85061" w:rsidRDefault="00F04891">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A85061" w14:paraId="27E08193" w14:textId="77777777">
        <w:tc>
          <w:tcPr>
            <w:tcW w:w="50" w:type="pct"/>
            <w:shd w:val="clear" w:color="auto" w:fill="auto"/>
            <w:vAlign w:val="bottom"/>
          </w:tcPr>
          <w:p w14:paraId="27E08187" w14:textId="77777777" w:rsidR="00A85061" w:rsidRDefault="00A85061">
            <w:pPr>
              <w:rPr>
                <w:rFonts w:ascii="宋体"/>
              </w:rPr>
            </w:pPr>
          </w:p>
        </w:tc>
        <w:tc>
          <w:tcPr>
            <w:tcW w:w="3575" w:type="pct"/>
            <w:shd w:val="clear" w:color="auto" w:fill="auto"/>
            <w:vAlign w:val="bottom"/>
          </w:tcPr>
          <w:p w14:paraId="27E08188" w14:textId="77777777" w:rsidR="00A85061" w:rsidRDefault="00A85061">
            <w:pPr>
              <w:rPr>
                <w:rFonts w:ascii="宋体"/>
              </w:rPr>
            </w:pPr>
          </w:p>
        </w:tc>
        <w:tc>
          <w:tcPr>
            <w:tcW w:w="5" w:type="pct"/>
            <w:shd w:val="clear" w:color="auto" w:fill="auto"/>
            <w:vAlign w:val="bottom"/>
          </w:tcPr>
          <w:p w14:paraId="27E08189" w14:textId="77777777" w:rsidR="00A85061" w:rsidRDefault="00A85061">
            <w:pPr>
              <w:rPr>
                <w:rFonts w:ascii="宋体"/>
              </w:rPr>
            </w:pPr>
          </w:p>
        </w:tc>
        <w:tc>
          <w:tcPr>
            <w:tcW w:w="50" w:type="pct"/>
            <w:shd w:val="clear" w:color="auto" w:fill="auto"/>
            <w:vAlign w:val="bottom"/>
          </w:tcPr>
          <w:p w14:paraId="27E0818A" w14:textId="77777777" w:rsidR="00A85061" w:rsidRDefault="00A85061">
            <w:pPr>
              <w:rPr>
                <w:rFonts w:ascii="宋体"/>
              </w:rPr>
            </w:pPr>
          </w:p>
        </w:tc>
        <w:tc>
          <w:tcPr>
            <w:tcW w:w="611" w:type="pct"/>
            <w:shd w:val="clear" w:color="auto" w:fill="auto"/>
            <w:vAlign w:val="bottom"/>
          </w:tcPr>
          <w:p w14:paraId="27E0818B" w14:textId="77777777" w:rsidR="00A85061" w:rsidRDefault="00A85061">
            <w:pPr>
              <w:rPr>
                <w:rFonts w:ascii="宋体"/>
              </w:rPr>
            </w:pPr>
          </w:p>
        </w:tc>
        <w:tc>
          <w:tcPr>
            <w:tcW w:w="5" w:type="pct"/>
            <w:shd w:val="clear" w:color="auto" w:fill="auto"/>
            <w:vAlign w:val="bottom"/>
          </w:tcPr>
          <w:p w14:paraId="27E0818C" w14:textId="77777777" w:rsidR="00A85061" w:rsidRDefault="00A85061">
            <w:pPr>
              <w:rPr>
                <w:rFonts w:ascii="宋体"/>
              </w:rPr>
            </w:pPr>
          </w:p>
        </w:tc>
        <w:tc>
          <w:tcPr>
            <w:tcW w:w="5" w:type="pct"/>
            <w:shd w:val="clear" w:color="auto" w:fill="auto"/>
            <w:vAlign w:val="bottom"/>
          </w:tcPr>
          <w:p w14:paraId="27E0818D" w14:textId="77777777" w:rsidR="00A85061" w:rsidRDefault="00A85061">
            <w:pPr>
              <w:rPr>
                <w:rFonts w:ascii="宋体"/>
              </w:rPr>
            </w:pPr>
          </w:p>
        </w:tc>
        <w:tc>
          <w:tcPr>
            <w:tcW w:w="26" w:type="pct"/>
            <w:shd w:val="clear" w:color="auto" w:fill="auto"/>
            <w:vAlign w:val="bottom"/>
          </w:tcPr>
          <w:p w14:paraId="27E0818E" w14:textId="77777777" w:rsidR="00A85061" w:rsidRDefault="00A85061">
            <w:pPr>
              <w:rPr>
                <w:rFonts w:ascii="宋体"/>
              </w:rPr>
            </w:pPr>
          </w:p>
        </w:tc>
        <w:tc>
          <w:tcPr>
            <w:tcW w:w="5" w:type="pct"/>
            <w:shd w:val="clear" w:color="auto" w:fill="auto"/>
            <w:vAlign w:val="bottom"/>
          </w:tcPr>
          <w:p w14:paraId="27E0818F" w14:textId="77777777" w:rsidR="00A85061" w:rsidRDefault="00A85061">
            <w:pPr>
              <w:rPr>
                <w:rFonts w:ascii="宋体"/>
              </w:rPr>
            </w:pPr>
          </w:p>
        </w:tc>
        <w:tc>
          <w:tcPr>
            <w:tcW w:w="50" w:type="pct"/>
            <w:shd w:val="clear" w:color="auto" w:fill="auto"/>
            <w:vAlign w:val="bottom"/>
          </w:tcPr>
          <w:p w14:paraId="27E08190" w14:textId="77777777" w:rsidR="00A85061" w:rsidRDefault="00A85061">
            <w:pPr>
              <w:rPr>
                <w:rFonts w:ascii="宋体"/>
              </w:rPr>
            </w:pPr>
          </w:p>
        </w:tc>
        <w:tc>
          <w:tcPr>
            <w:tcW w:w="611" w:type="pct"/>
            <w:shd w:val="clear" w:color="auto" w:fill="auto"/>
            <w:vAlign w:val="bottom"/>
          </w:tcPr>
          <w:p w14:paraId="27E08191" w14:textId="77777777" w:rsidR="00A85061" w:rsidRDefault="00A85061">
            <w:pPr>
              <w:rPr>
                <w:rFonts w:ascii="宋体"/>
              </w:rPr>
            </w:pPr>
          </w:p>
        </w:tc>
        <w:tc>
          <w:tcPr>
            <w:tcW w:w="5" w:type="pct"/>
            <w:shd w:val="clear" w:color="auto" w:fill="auto"/>
            <w:vAlign w:val="bottom"/>
          </w:tcPr>
          <w:p w14:paraId="27E08192" w14:textId="77777777" w:rsidR="00A85061" w:rsidRDefault="00A85061">
            <w:pPr>
              <w:rPr>
                <w:rFonts w:ascii="宋体"/>
              </w:rPr>
            </w:pPr>
          </w:p>
        </w:tc>
      </w:tr>
      <w:tr w:rsidR="00A85061" w14:paraId="27E08198" w14:textId="77777777">
        <w:tc>
          <w:tcPr>
            <w:tcW w:w="0" w:type="auto"/>
            <w:gridSpan w:val="3"/>
            <w:shd w:val="clear" w:color="auto" w:fill="auto"/>
            <w:tcMar>
              <w:top w:w="0" w:type="dxa"/>
              <w:left w:w="20" w:type="dxa"/>
              <w:bottom w:w="0" w:type="dxa"/>
              <w:right w:w="20" w:type="dxa"/>
            </w:tcMar>
            <w:vAlign w:val="bottom"/>
          </w:tcPr>
          <w:p w14:paraId="27E08194"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95"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196"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97"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819D" w14:textId="77777777">
        <w:tc>
          <w:tcPr>
            <w:tcW w:w="0" w:type="auto"/>
            <w:gridSpan w:val="3"/>
            <w:shd w:val="clear" w:color="auto" w:fill="auto"/>
            <w:tcMar>
              <w:top w:w="40" w:type="dxa"/>
              <w:left w:w="20" w:type="dxa"/>
              <w:bottom w:w="40" w:type="dxa"/>
              <w:right w:w="20" w:type="dxa"/>
            </w:tcMar>
            <w:vAlign w:val="bottom"/>
          </w:tcPr>
          <w:p w14:paraId="27E08199"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19A"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19B"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9C"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81A2" w14:textId="77777777">
        <w:trPr>
          <w:trHeight w:val="60"/>
        </w:trPr>
        <w:tc>
          <w:tcPr>
            <w:tcW w:w="0" w:type="auto"/>
            <w:gridSpan w:val="3"/>
            <w:shd w:val="clear" w:color="auto" w:fill="auto"/>
            <w:tcMar>
              <w:top w:w="0" w:type="dxa"/>
              <w:left w:w="20" w:type="dxa"/>
              <w:bottom w:w="0" w:type="dxa"/>
              <w:right w:w="20" w:type="dxa"/>
            </w:tcMar>
            <w:vAlign w:val="bottom"/>
          </w:tcPr>
          <w:p w14:paraId="27E0819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9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A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A1" w14:textId="77777777" w:rsidR="00A85061" w:rsidRDefault="00A85061">
            <w:pPr>
              <w:rPr>
                <w:rFonts w:ascii="宋体"/>
              </w:rPr>
            </w:pPr>
          </w:p>
        </w:tc>
      </w:tr>
      <w:tr w:rsidR="00A85061" w14:paraId="27E081A5" w14:textId="77777777">
        <w:tc>
          <w:tcPr>
            <w:tcW w:w="0" w:type="auto"/>
            <w:gridSpan w:val="3"/>
            <w:shd w:val="clear" w:color="auto" w:fill="auto"/>
            <w:tcMar>
              <w:top w:w="40" w:type="dxa"/>
              <w:left w:w="20" w:type="dxa"/>
              <w:bottom w:w="40" w:type="dxa"/>
              <w:right w:w="20" w:type="dxa"/>
            </w:tcMar>
            <w:vAlign w:val="bottom"/>
          </w:tcPr>
          <w:p w14:paraId="27E081A3" w14:textId="77777777" w:rsidR="00A85061" w:rsidRDefault="00F04891">
            <w:pPr>
              <w:textAlignment w:val="bottom"/>
            </w:pPr>
            <w:r>
              <w:rPr>
                <w:rFonts w:ascii="sans-serif" w:eastAsia="sans-serif" w:hAnsi="sans-serif" w:cs="sans-serif"/>
                <w:b/>
                <w:bCs/>
                <w:color w:val="000000"/>
                <w:sz w:val="20"/>
                <w:szCs w:val="20"/>
              </w:rPr>
              <w:t>Inventories:</w:t>
            </w:r>
          </w:p>
        </w:tc>
        <w:tc>
          <w:tcPr>
            <w:tcW w:w="0" w:type="auto"/>
            <w:gridSpan w:val="9"/>
            <w:shd w:val="clear" w:color="auto" w:fill="auto"/>
            <w:tcMar>
              <w:top w:w="40" w:type="dxa"/>
              <w:left w:w="20" w:type="dxa"/>
              <w:bottom w:w="40" w:type="dxa"/>
              <w:right w:w="20" w:type="dxa"/>
            </w:tcMar>
            <w:vAlign w:val="bottom"/>
          </w:tcPr>
          <w:p w14:paraId="27E081A4"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1AE" w14:textId="77777777">
        <w:tc>
          <w:tcPr>
            <w:tcW w:w="0" w:type="auto"/>
            <w:gridSpan w:val="3"/>
            <w:shd w:val="clear" w:color="auto" w:fill="E2EFD9"/>
            <w:tcMar>
              <w:top w:w="40" w:type="dxa"/>
              <w:left w:w="20" w:type="dxa"/>
              <w:bottom w:w="40" w:type="dxa"/>
              <w:right w:w="20" w:type="dxa"/>
            </w:tcMar>
            <w:vAlign w:val="bottom"/>
          </w:tcPr>
          <w:p w14:paraId="27E081A6" w14:textId="77777777" w:rsidR="00A85061" w:rsidRDefault="00F04891">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27E081A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A8" w14:textId="77777777" w:rsidR="00A85061" w:rsidRDefault="00F04891">
            <w:pPr>
              <w:jc w:val="right"/>
              <w:textAlignment w:val="bottom"/>
            </w:pPr>
            <w:r>
              <w:rPr>
                <w:rFonts w:ascii="sans-serif" w:eastAsia="sans-serif" w:hAnsi="sans-serif" w:cs="sans-serif"/>
                <w:color w:val="000000"/>
                <w:sz w:val="20"/>
                <w:szCs w:val="20"/>
              </w:rPr>
              <w:t>734 </w:t>
            </w:r>
          </w:p>
        </w:tc>
        <w:tc>
          <w:tcPr>
            <w:tcW w:w="0" w:type="auto"/>
            <w:shd w:val="clear" w:color="auto" w:fill="E2EFD9"/>
            <w:tcMar>
              <w:top w:w="40" w:type="dxa"/>
              <w:left w:w="0" w:type="dxa"/>
              <w:bottom w:w="40" w:type="dxa"/>
              <w:right w:w="20" w:type="dxa"/>
            </w:tcMar>
            <w:vAlign w:val="bottom"/>
          </w:tcPr>
          <w:p w14:paraId="27E081A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A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A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AC" w14:textId="77777777" w:rsidR="00A85061" w:rsidRDefault="00F04891">
            <w:pPr>
              <w:jc w:val="right"/>
              <w:textAlignment w:val="bottom"/>
            </w:pPr>
            <w:r>
              <w:rPr>
                <w:rFonts w:ascii="sans-serif" w:eastAsia="sans-serif" w:hAnsi="sans-serif" w:cs="sans-serif"/>
                <w:color w:val="000000"/>
                <w:sz w:val="20"/>
                <w:szCs w:val="20"/>
              </w:rPr>
              <w:t>632 </w:t>
            </w:r>
          </w:p>
        </w:tc>
        <w:tc>
          <w:tcPr>
            <w:tcW w:w="0" w:type="auto"/>
            <w:shd w:val="clear" w:color="auto" w:fill="E2EFD9"/>
            <w:tcMar>
              <w:top w:w="40" w:type="dxa"/>
              <w:left w:w="0" w:type="dxa"/>
              <w:bottom w:w="40" w:type="dxa"/>
              <w:right w:w="20" w:type="dxa"/>
            </w:tcMar>
            <w:vAlign w:val="bottom"/>
          </w:tcPr>
          <w:p w14:paraId="27E081AD" w14:textId="77777777" w:rsidR="00A85061" w:rsidRDefault="00A85061">
            <w:pPr>
              <w:jc w:val="right"/>
              <w:rPr>
                <w:rFonts w:ascii="宋体"/>
              </w:rPr>
            </w:pPr>
          </w:p>
        </w:tc>
      </w:tr>
      <w:tr w:rsidR="00A85061" w14:paraId="27E081B5" w14:textId="77777777">
        <w:tc>
          <w:tcPr>
            <w:tcW w:w="0" w:type="auto"/>
            <w:gridSpan w:val="3"/>
            <w:shd w:val="clear" w:color="auto" w:fill="FFFFFF"/>
            <w:tcMar>
              <w:top w:w="40" w:type="dxa"/>
              <w:left w:w="20" w:type="dxa"/>
              <w:bottom w:w="40" w:type="dxa"/>
              <w:right w:w="20" w:type="dxa"/>
            </w:tcMar>
            <w:vAlign w:val="bottom"/>
          </w:tcPr>
          <w:p w14:paraId="27E081AF" w14:textId="77777777" w:rsidR="00A85061" w:rsidRDefault="00F04891">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27E081B0" w14:textId="77777777" w:rsidR="00A85061" w:rsidRDefault="00F04891">
            <w:pPr>
              <w:jc w:val="right"/>
              <w:textAlignment w:val="bottom"/>
            </w:pPr>
            <w:r>
              <w:rPr>
                <w:rFonts w:ascii="sans-serif" w:eastAsia="sans-serif" w:hAnsi="sans-serif" w:cs="sans-serif"/>
                <w:color w:val="000000"/>
                <w:sz w:val="20"/>
                <w:szCs w:val="20"/>
              </w:rPr>
              <w:t>504 </w:t>
            </w:r>
          </w:p>
        </w:tc>
        <w:tc>
          <w:tcPr>
            <w:tcW w:w="0" w:type="auto"/>
            <w:shd w:val="clear" w:color="auto" w:fill="FFFFFF"/>
            <w:tcMar>
              <w:top w:w="40" w:type="dxa"/>
              <w:left w:w="0" w:type="dxa"/>
              <w:bottom w:w="40" w:type="dxa"/>
              <w:right w:w="20" w:type="dxa"/>
            </w:tcMar>
            <w:vAlign w:val="bottom"/>
          </w:tcPr>
          <w:p w14:paraId="27E081B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B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B3" w14:textId="77777777" w:rsidR="00A85061" w:rsidRDefault="00F04891">
            <w:pPr>
              <w:jc w:val="right"/>
              <w:textAlignment w:val="bottom"/>
            </w:pPr>
            <w:r>
              <w:rPr>
                <w:rFonts w:ascii="sans-serif" w:eastAsia="sans-serif" w:hAnsi="sans-serif" w:cs="sans-serif"/>
                <w:color w:val="000000"/>
                <w:sz w:val="20"/>
                <w:szCs w:val="20"/>
              </w:rPr>
              <w:t>457 </w:t>
            </w:r>
          </w:p>
        </w:tc>
        <w:tc>
          <w:tcPr>
            <w:tcW w:w="0" w:type="auto"/>
            <w:shd w:val="clear" w:color="auto" w:fill="FFFFFF"/>
            <w:tcMar>
              <w:top w:w="40" w:type="dxa"/>
              <w:left w:w="0" w:type="dxa"/>
              <w:bottom w:w="40" w:type="dxa"/>
              <w:right w:w="20" w:type="dxa"/>
            </w:tcMar>
            <w:vAlign w:val="bottom"/>
          </w:tcPr>
          <w:p w14:paraId="27E081B4" w14:textId="77777777" w:rsidR="00A85061" w:rsidRDefault="00A85061">
            <w:pPr>
              <w:jc w:val="right"/>
              <w:rPr>
                <w:rFonts w:ascii="宋体"/>
              </w:rPr>
            </w:pPr>
          </w:p>
        </w:tc>
      </w:tr>
      <w:tr w:rsidR="00A85061" w14:paraId="27E081BC" w14:textId="77777777">
        <w:tc>
          <w:tcPr>
            <w:tcW w:w="0" w:type="auto"/>
            <w:gridSpan w:val="3"/>
            <w:shd w:val="clear" w:color="auto" w:fill="E2EFD9"/>
            <w:tcMar>
              <w:top w:w="40" w:type="dxa"/>
              <w:left w:w="20" w:type="dxa"/>
              <w:bottom w:w="40" w:type="dxa"/>
              <w:right w:w="20" w:type="dxa"/>
            </w:tcMar>
            <w:vAlign w:val="bottom"/>
          </w:tcPr>
          <w:p w14:paraId="27E081B6" w14:textId="77777777" w:rsidR="00A85061" w:rsidRDefault="00F04891">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27E081B7" w14:textId="77777777" w:rsidR="00A85061" w:rsidRDefault="00F04891">
            <w:pPr>
              <w:jc w:val="right"/>
              <w:textAlignment w:val="bottom"/>
            </w:pPr>
            <w:r>
              <w:rPr>
                <w:rFonts w:ascii="sans-serif" w:eastAsia="sans-serif" w:hAnsi="sans-serif" w:cs="sans-serif"/>
                <w:color w:val="000000"/>
                <w:sz w:val="20"/>
                <w:szCs w:val="20"/>
              </w:rPr>
              <w:t>754 </w:t>
            </w:r>
          </w:p>
        </w:tc>
        <w:tc>
          <w:tcPr>
            <w:tcW w:w="0" w:type="auto"/>
            <w:shd w:val="clear" w:color="auto" w:fill="E2EFD9"/>
            <w:tcMar>
              <w:top w:w="40" w:type="dxa"/>
              <w:left w:w="0" w:type="dxa"/>
              <w:bottom w:w="40" w:type="dxa"/>
              <w:right w:w="20" w:type="dxa"/>
            </w:tcMar>
            <w:vAlign w:val="bottom"/>
          </w:tcPr>
          <w:p w14:paraId="27E081B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B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1BA" w14:textId="77777777" w:rsidR="00A85061" w:rsidRDefault="00F04891">
            <w:pPr>
              <w:jc w:val="right"/>
              <w:textAlignment w:val="bottom"/>
            </w:pPr>
            <w:r>
              <w:rPr>
                <w:rFonts w:ascii="sans-serif" w:eastAsia="sans-serif" w:hAnsi="sans-serif" w:cs="sans-serif"/>
                <w:color w:val="000000"/>
                <w:sz w:val="20"/>
                <w:szCs w:val="20"/>
              </w:rPr>
              <w:t>737 </w:t>
            </w:r>
          </w:p>
        </w:tc>
        <w:tc>
          <w:tcPr>
            <w:tcW w:w="0" w:type="auto"/>
            <w:shd w:val="clear" w:color="auto" w:fill="E2EFD9"/>
            <w:tcMar>
              <w:top w:w="40" w:type="dxa"/>
              <w:left w:w="0" w:type="dxa"/>
              <w:bottom w:w="40" w:type="dxa"/>
              <w:right w:w="20" w:type="dxa"/>
            </w:tcMar>
            <w:vAlign w:val="bottom"/>
          </w:tcPr>
          <w:p w14:paraId="27E081BB" w14:textId="77777777" w:rsidR="00A85061" w:rsidRDefault="00A85061">
            <w:pPr>
              <w:jc w:val="right"/>
              <w:rPr>
                <w:rFonts w:ascii="宋体"/>
              </w:rPr>
            </w:pPr>
          </w:p>
        </w:tc>
      </w:tr>
      <w:tr w:rsidR="00A85061" w14:paraId="27E081C5" w14:textId="77777777">
        <w:tc>
          <w:tcPr>
            <w:tcW w:w="0" w:type="auto"/>
            <w:gridSpan w:val="3"/>
            <w:shd w:val="clear" w:color="auto" w:fill="FFFFFF"/>
            <w:tcMar>
              <w:top w:w="40" w:type="dxa"/>
              <w:left w:w="380" w:type="dxa"/>
              <w:bottom w:w="40" w:type="dxa"/>
              <w:right w:w="20" w:type="dxa"/>
            </w:tcMar>
            <w:vAlign w:val="bottom"/>
          </w:tcPr>
          <w:p w14:paraId="27E081BD" w14:textId="77777777" w:rsidR="00A85061" w:rsidRDefault="00F04891">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1B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1BF" w14:textId="77777777" w:rsidR="00A85061" w:rsidRDefault="00F04891">
            <w:pPr>
              <w:jc w:val="right"/>
              <w:textAlignment w:val="bottom"/>
            </w:pPr>
            <w:r>
              <w:rPr>
                <w:rFonts w:ascii="sans-serif" w:eastAsia="sans-serif" w:hAnsi="sans-serif" w:cs="sans-serif"/>
                <w:color w:val="000000"/>
                <w:sz w:val="20"/>
                <w:szCs w:val="20"/>
              </w:rPr>
              <w:t>1,992 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1C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C1"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1C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1C3" w14:textId="77777777" w:rsidR="00A85061" w:rsidRDefault="00F04891">
            <w:pPr>
              <w:jc w:val="right"/>
              <w:textAlignment w:val="bottom"/>
            </w:pPr>
            <w:r>
              <w:rPr>
                <w:rFonts w:ascii="sans-serif" w:eastAsia="sans-serif" w:hAnsi="sans-serif" w:cs="sans-serif"/>
                <w:color w:val="000000"/>
                <w:sz w:val="20"/>
                <w:szCs w:val="20"/>
              </w:rPr>
              <w:t>1,826 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1C4" w14:textId="77777777" w:rsidR="00A85061" w:rsidRDefault="00A85061">
            <w:pPr>
              <w:jc w:val="right"/>
              <w:rPr>
                <w:rFonts w:ascii="宋体"/>
              </w:rPr>
            </w:pPr>
          </w:p>
        </w:tc>
      </w:tr>
    </w:tbl>
    <w:p w14:paraId="27E081C6" w14:textId="77777777" w:rsidR="00A85061" w:rsidRDefault="00A8506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A85061" w14:paraId="27E081D3" w14:textId="77777777">
        <w:tc>
          <w:tcPr>
            <w:tcW w:w="50" w:type="pct"/>
            <w:shd w:val="clear" w:color="auto" w:fill="auto"/>
            <w:vAlign w:val="bottom"/>
          </w:tcPr>
          <w:p w14:paraId="27E081C7" w14:textId="77777777" w:rsidR="00A85061" w:rsidRDefault="00A85061">
            <w:pPr>
              <w:rPr>
                <w:rFonts w:ascii="宋体"/>
              </w:rPr>
            </w:pPr>
          </w:p>
        </w:tc>
        <w:tc>
          <w:tcPr>
            <w:tcW w:w="3575" w:type="pct"/>
            <w:shd w:val="clear" w:color="auto" w:fill="auto"/>
            <w:vAlign w:val="bottom"/>
          </w:tcPr>
          <w:p w14:paraId="27E081C8" w14:textId="77777777" w:rsidR="00A85061" w:rsidRDefault="00A85061">
            <w:pPr>
              <w:rPr>
                <w:rFonts w:ascii="宋体"/>
              </w:rPr>
            </w:pPr>
          </w:p>
        </w:tc>
        <w:tc>
          <w:tcPr>
            <w:tcW w:w="5" w:type="pct"/>
            <w:shd w:val="clear" w:color="auto" w:fill="auto"/>
            <w:vAlign w:val="bottom"/>
          </w:tcPr>
          <w:p w14:paraId="27E081C9" w14:textId="77777777" w:rsidR="00A85061" w:rsidRDefault="00A85061">
            <w:pPr>
              <w:rPr>
                <w:rFonts w:ascii="宋体"/>
              </w:rPr>
            </w:pPr>
          </w:p>
        </w:tc>
        <w:tc>
          <w:tcPr>
            <w:tcW w:w="50" w:type="pct"/>
            <w:shd w:val="clear" w:color="auto" w:fill="auto"/>
            <w:vAlign w:val="bottom"/>
          </w:tcPr>
          <w:p w14:paraId="27E081CA" w14:textId="77777777" w:rsidR="00A85061" w:rsidRDefault="00A85061">
            <w:pPr>
              <w:rPr>
                <w:rFonts w:ascii="宋体"/>
              </w:rPr>
            </w:pPr>
          </w:p>
        </w:tc>
        <w:tc>
          <w:tcPr>
            <w:tcW w:w="611" w:type="pct"/>
            <w:shd w:val="clear" w:color="auto" w:fill="auto"/>
            <w:vAlign w:val="bottom"/>
          </w:tcPr>
          <w:p w14:paraId="27E081CB" w14:textId="77777777" w:rsidR="00A85061" w:rsidRDefault="00A85061">
            <w:pPr>
              <w:rPr>
                <w:rFonts w:ascii="宋体"/>
              </w:rPr>
            </w:pPr>
          </w:p>
        </w:tc>
        <w:tc>
          <w:tcPr>
            <w:tcW w:w="5" w:type="pct"/>
            <w:shd w:val="clear" w:color="auto" w:fill="auto"/>
            <w:vAlign w:val="bottom"/>
          </w:tcPr>
          <w:p w14:paraId="27E081CC" w14:textId="77777777" w:rsidR="00A85061" w:rsidRDefault="00A85061">
            <w:pPr>
              <w:rPr>
                <w:rFonts w:ascii="宋体"/>
              </w:rPr>
            </w:pPr>
          </w:p>
        </w:tc>
        <w:tc>
          <w:tcPr>
            <w:tcW w:w="5" w:type="pct"/>
            <w:shd w:val="clear" w:color="auto" w:fill="auto"/>
            <w:vAlign w:val="bottom"/>
          </w:tcPr>
          <w:p w14:paraId="27E081CD" w14:textId="77777777" w:rsidR="00A85061" w:rsidRDefault="00A85061">
            <w:pPr>
              <w:rPr>
                <w:rFonts w:ascii="宋体"/>
              </w:rPr>
            </w:pPr>
          </w:p>
        </w:tc>
        <w:tc>
          <w:tcPr>
            <w:tcW w:w="26" w:type="pct"/>
            <w:shd w:val="clear" w:color="auto" w:fill="auto"/>
            <w:vAlign w:val="bottom"/>
          </w:tcPr>
          <w:p w14:paraId="27E081CE" w14:textId="77777777" w:rsidR="00A85061" w:rsidRDefault="00A85061">
            <w:pPr>
              <w:rPr>
                <w:rFonts w:ascii="宋体"/>
              </w:rPr>
            </w:pPr>
          </w:p>
        </w:tc>
        <w:tc>
          <w:tcPr>
            <w:tcW w:w="5" w:type="pct"/>
            <w:shd w:val="clear" w:color="auto" w:fill="auto"/>
            <w:vAlign w:val="bottom"/>
          </w:tcPr>
          <w:p w14:paraId="27E081CF" w14:textId="77777777" w:rsidR="00A85061" w:rsidRDefault="00A85061">
            <w:pPr>
              <w:rPr>
                <w:rFonts w:ascii="宋体"/>
              </w:rPr>
            </w:pPr>
          </w:p>
        </w:tc>
        <w:tc>
          <w:tcPr>
            <w:tcW w:w="50" w:type="pct"/>
            <w:shd w:val="clear" w:color="auto" w:fill="auto"/>
            <w:vAlign w:val="bottom"/>
          </w:tcPr>
          <w:p w14:paraId="27E081D0" w14:textId="77777777" w:rsidR="00A85061" w:rsidRDefault="00A85061">
            <w:pPr>
              <w:rPr>
                <w:rFonts w:ascii="宋体"/>
              </w:rPr>
            </w:pPr>
          </w:p>
        </w:tc>
        <w:tc>
          <w:tcPr>
            <w:tcW w:w="611" w:type="pct"/>
            <w:shd w:val="clear" w:color="auto" w:fill="auto"/>
            <w:vAlign w:val="bottom"/>
          </w:tcPr>
          <w:p w14:paraId="27E081D1" w14:textId="77777777" w:rsidR="00A85061" w:rsidRDefault="00A85061">
            <w:pPr>
              <w:rPr>
                <w:rFonts w:ascii="宋体"/>
              </w:rPr>
            </w:pPr>
          </w:p>
        </w:tc>
        <w:tc>
          <w:tcPr>
            <w:tcW w:w="5" w:type="pct"/>
            <w:shd w:val="clear" w:color="auto" w:fill="auto"/>
            <w:vAlign w:val="bottom"/>
          </w:tcPr>
          <w:p w14:paraId="27E081D2" w14:textId="77777777" w:rsidR="00A85061" w:rsidRDefault="00A85061">
            <w:pPr>
              <w:rPr>
                <w:rFonts w:ascii="宋体"/>
              </w:rPr>
            </w:pPr>
          </w:p>
        </w:tc>
      </w:tr>
      <w:tr w:rsidR="00A85061" w14:paraId="27E081D8" w14:textId="77777777">
        <w:tc>
          <w:tcPr>
            <w:tcW w:w="0" w:type="auto"/>
            <w:gridSpan w:val="3"/>
            <w:shd w:val="clear" w:color="auto" w:fill="auto"/>
            <w:tcMar>
              <w:top w:w="0" w:type="dxa"/>
              <w:left w:w="20" w:type="dxa"/>
              <w:bottom w:w="0" w:type="dxa"/>
              <w:right w:w="20" w:type="dxa"/>
            </w:tcMar>
            <w:vAlign w:val="bottom"/>
          </w:tcPr>
          <w:p w14:paraId="27E081D4"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D5"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1D6"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D7"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81DD" w14:textId="77777777">
        <w:tc>
          <w:tcPr>
            <w:tcW w:w="0" w:type="auto"/>
            <w:gridSpan w:val="3"/>
            <w:shd w:val="clear" w:color="auto" w:fill="auto"/>
            <w:tcMar>
              <w:top w:w="40" w:type="dxa"/>
              <w:left w:w="20" w:type="dxa"/>
              <w:bottom w:w="40" w:type="dxa"/>
              <w:right w:w="20" w:type="dxa"/>
            </w:tcMar>
            <w:vAlign w:val="bottom"/>
          </w:tcPr>
          <w:p w14:paraId="27E081D9"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1DA"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1DB"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1DC"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81E2" w14:textId="77777777">
        <w:trPr>
          <w:trHeight w:val="60"/>
        </w:trPr>
        <w:tc>
          <w:tcPr>
            <w:tcW w:w="0" w:type="auto"/>
            <w:gridSpan w:val="3"/>
            <w:shd w:val="clear" w:color="auto" w:fill="auto"/>
            <w:tcMar>
              <w:top w:w="0" w:type="dxa"/>
              <w:left w:w="20" w:type="dxa"/>
              <w:bottom w:w="0" w:type="dxa"/>
              <w:right w:w="20" w:type="dxa"/>
            </w:tcMar>
            <w:vAlign w:val="bottom"/>
          </w:tcPr>
          <w:p w14:paraId="27E081D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D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1E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1E1" w14:textId="77777777" w:rsidR="00A85061" w:rsidRDefault="00A85061">
            <w:pPr>
              <w:rPr>
                <w:rFonts w:ascii="宋体"/>
              </w:rPr>
            </w:pPr>
          </w:p>
        </w:tc>
      </w:tr>
      <w:tr w:rsidR="00A85061" w14:paraId="27E081E5" w14:textId="77777777">
        <w:tc>
          <w:tcPr>
            <w:tcW w:w="0" w:type="auto"/>
            <w:gridSpan w:val="3"/>
            <w:shd w:val="clear" w:color="auto" w:fill="auto"/>
            <w:tcMar>
              <w:top w:w="40" w:type="dxa"/>
              <w:left w:w="20" w:type="dxa"/>
              <w:bottom w:w="40" w:type="dxa"/>
              <w:right w:w="20" w:type="dxa"/>
            </w:tcMar>
            <w:vAlign w:val="bottom"/>
          </w:tcPr>
          <w:p w14:paraId="27E081E3" w14:textId="77777777" w:rsidR="00A85061" w:rsidRDefault="00F04891">
            <w:pPr>
              <w:textAlignment w:val="bottom"/>
            </w:pPr>
            <w:r>
              <w:rPr>
                <w:rFonts w:ascii="sans-serif" w:eastAsia="sans-serif" w:hAnsi="sans-serif" w:cs="sans-serif"/>
                <w:b/>
                <w:bCs/>
                <w:color w:val="000000"/>
                <w:sz w:val="20"/>
                <w:szCs w:val="20"/>
              </w:rPr>
              <w:t>Prepaid expenses and other current assets:</w:t>
            </w:r>
          </w:p>
        </w:tc>
        <w:tc>
          <w:tcPr>
            <w:tcW w:w="0" w:type="auto"/>
            <w:gridSpan w:val="9"/>
            <w:shd w:val="clear" w:color="auto" w:fill="auto"/>
            <w:tcMar>
              <w:top w:w="40" w:type="dxa"/>
              <w:left w:w="20" w:type="dxa"/>
              <w:bottom w:w="40" w:type="dxa"/>
              <w:right w:w="20" w:type="dxa"/>
            </w:tcMar>
            <w:vAlign w:val="bottom"/>
          </w:tcPr>
          <w:p w14:paraId="27E081E4"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1EE" w14:textId="77777777">
        <w:tc>
          <w:tcPr>
            <w:tcW w:w="0" w:type="auto"/>
            <w:gridSpan w:val="3"/>
            <w:shd w:val="clear" w:color="auto" w:fill="E2EFD9"/>
            <w:tcMar>
              <w:top w:w="40" w:type="dxa"/>
              <w:left w:w="20" w:type="dxa"/>
              <w:bottom w:w="40" w:type="dxa"/>
              <w:right w:w="20" w:type="dxa"/>
            </w:tcMar>
            <w:vAlign w:val="bottom"/>
          </w:tcPr>
          <w:p w14:paraId="27E081E6" w14:textId="77777777" w:rsidR="00A85061" w:rsidRDefault="00F04891">
            <w:pPr>
              <w:textAlignment w:val="bottom"/>
            </w:pPr>
            <w:r>
              <w:rPr>
                <w:rFonts w:ascii="sans-serif" w:eastAsia="sans-serif" w:hAnsi="sans-serif" w:cs="sans-serif"/>
                <w:color w:val="000000"/>
                <w:sz w:val="20"/>
                <w:szCs w:val="20"/>
              </w:rPr>
              <w:t>Prepaid expenses</w:t>
            </w:r>
          </w:p>
        </w:tc>
        <w:tc>
          <w:tcPr>
            <w:tcW w:w="0" w:type="auto"/>
            <w:shd w:val="clear" w:color="auto" w:fill="E2EFD9"/>
            <w:tcMar>
              <w:top w:w="40" w:type="dxa"/>
              <w:left w:w="20" w:type="dxa"/>
              <w:bottom w:w="40" w:type="dxa"/>
              <w:right w:w="0" w:type="dxa"/>
            </w:tcMar>
            <w:vAlign w:val="bottom"/>
          </w:tcPr>
          <w:p w14:paraId="27E081E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E8" w14:textId="77777777" w:rsidR="00A85061" w:rsidRDefault="00F04891">
            <w:pPr>
              <w:jc w:val="right"/>
              <w:textAlignment w:val="bottom"/>
            </w:pPr>
            <w:r>
              <w:rPr>
                <w:rFonts w:ascii="sans-serif" w:eastAsia="sans-serif" w:hAnsi="sans-serif" w:cs="sans-serif"/>
                <w:color w:val="000000"/>
                <w:sz w:val="20"/>
                <w:szCs w:val="20"/>
              </w:rPr>
              <w:t>179 </w:t>
            </w:r>
          </w:p>
        </w:tc>
        <w:tc>
          <w:tcPr>
            <w:tcW w:w="0" w:type="auto"/>
            <w:shd w:val="clear" w:color="auto" w:fill="E2EFD9"/>
            <w:tcMar>
              <w:top w:w="40" w:type="dxa"/>
              <w:left w:w="0" w:type="dxa"/>
              <w:bottom w:w="40" w:type="dxa"/>
              <w:right w:w="20" w:type="dxa"/>
            </w:tcMar>
            <w:vAlign w:val="bottom"/>
          </w:tcPr>
          <w:p w14:paraId="27E081E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E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1E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1EC" w14:textId="77777777" w:rsidR="00A85061" w:rsidRDefault="00F04891">
            <w:pPr>
              <w:jc w:val="right"/>
              <w:textAlignment w:val="bottom"/>
            </w:pPr>
            <w:r>
              <w:rPr>
                <w:rFonts w:ascii="sans-serif" w:eastAsia="sans-serif" w:hAnsi="sans-serif" w:cs="sans-serif"/>
                <w:color w:val="000000"/>
                <w:sz w:val="20"/>
                <w:szCs w:val="20"/>
              </w:rPr>
              <w:t>142 </w:t>
            </w:r>
          </w:p>
        </w:tc>
        <w:tc>
          <w:tcPr>
            <w:tcW w:w="0" w:type="auto"/>
            <w:shd w:val="clear" w:color="auto" w:fill="E2EFD9"/>
            <w:tcMar>
              <w:top w:w="40" w:type="dxa"/>
              <w:left w:w="0" w:type="dxa"/>
              <w:bottom w:w="40" w:type="dxa"/>
              <w:right w:w="20" w:type="dxa"/>
            </w:tcMar>
            <w:vAlign w:val="bottom"/>
          </w:tcPr>
          <w:p w14:paraId="27E081ED" w14:textId="77777777" w:rsidR="00A85061" w:rsidRDefault="00A85061">
            <w:pPr>
              <w:jc w:val="right"/>
              <w:rPr>
                <w:rFonts w:ascii="宋体"/>
              </w:rPr>
            </w:pPr>
          </w:p>
        </w:tc>
      </w:tr>
      <w:tr w:rsidR="00A85061" w14:paraId="27E081F5" w14:textId="77777777">
        <w:tc>
          <w:tcPr>
            <w:tcW w:w="0" w:type="auto"/>
            <w:gridSpan w:val="3"/>
            <w:shd w:val="clear" w:color="auto" w:fill="FFFFFF"/>
            <w:tcMar>
              <w:top w:w="40" w:type="dxa"/>
              <w:left w:w="20" w:type="dxa"/>
              <w:bottom w:w="40" w:type="dxa"/>
              <w:right w:w="20" w:type="dxa"/>
            </w:tcMar>
            <w:vAlign w:val="bottom"/>
          </w:tcPr>
          <w:p w14:paraId="27E081EF" w14:textId="77777777" w:rsidR="00A85061" w:rsidRDefault="00F04891">
            <w:pPr>
              <w:textAlignment w:val="bottom"/>
            </w:pPr>
            <w:r>
              <w:rPr>
                <w:rFonts w:ascii="sans-serif" w:eastAsia="sans-serif" w:hAnsi="sans-serif" w:cs="sans-serif"/>
                <w:color w:val="000000"/>
                <w:sz w:val="20"/>
                <w:szCs w:val="20"/>
              </w:rPr>
              <w:t xml:space="preserve">Publicly-held equity </w:t>
            </w:r>
            <w:r>
              <w:rPr>
                <w:rFonts w:ascii="sans-serif" w:eastAsia="sans-serif" w:hAnsi="sans-serif" w:cs="sans-serif"/>
                <w:color w:val="000000"/>
                <w:sz w:val="20"/>
                <w:szCs w:val="20"/>
              </w:rPr>
              <w:t>security (1)</w:t>
            </w:r>
          </w:p>
        </w:tc>
        <w:tc>
          <w:tcPr>
            <w:tcW w:w="0" w:type="auto"/>
            <w:gridSpan w:val="2"/>
            <w:shd w:val="clear" w:color="auto" w:fill="FFFFFF"/>
            <w:tcMar>
              <w:top w:w="40" w:type="dxa"/>
              <w:left w:w="20" w:type="dxa"/>
              <w:bottom w:w="40" w:type="dxa"/>
              <w:right w:w="0" w:type="dxa"/>
            </w:tcMar>
            <w:vAlign w:val="bottom"/>
          </w:tcPr>
          <w:p w14:paraId="27E081F0" w14:textId="77777777" w:rsidR="00A85061" w:rsidRDefault="00F04891">
            <w:pPr>
              <w:jc w:val="right"/>
              <w:textAlignment w:val="bottom"/>
            </w:pPr>
            <w:r>
              <w:rPr>
                <w:rFonts w:ascii="sans-serif" w:eastAsia="sans-serif" w:hAnsi="sans-serif" w:cs="sans-serif"/>
                <w:color w:val="000000"/>
                <w:sz w:val="20"/>
                <w:szCs w:val="20"/>
              </w:rPr>
              <w:t>133 </w:t>
            </w:r>
          </w:p>
        </w:tc>
        <w:tc>
          <w:tcPr>
            <w:tcW w:w="0" w:type="auto"/>
            <w:shd w:val="clear" w:color="auto" w:fill="FFFFFF"/>
            <w:tcMar>
              <w:top w:w="40" w:type="dxa"/>
              <w:left w:w="0" w:type="dxa"/>
              <w:bottom w:w="40" w:type="dxa"/>
              <w:right w:w="20" w:type="dxa"/>
            </w:tcMar>
            <w:vAlign w:val="bottom"/>
          </w:tcPr>
          <w:p w14:paraId="27E081F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1F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1F3"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81F4" w14:textId="77777777" w:rsidR="00A85061" w:rsidRDefault="00A85061">
            <w:pPr>
              <w:jc w:val="right"/>
              <w:rPr>
                <w:rFonts w:ascii="宋体"/>
              </w:rPr>
            </w:pPr>
          </w:p>
        </w:tc>
      </w:tr>
      <w:tr w:rsidR="00A85061" w14:paraId="27E081FC" w14:textId="77777777">
        <w:tc>
          <w:tcPr>
            <w:tcW w:w="0" w:type="auto"/>
            <w:gridSpan w:val="3"/>
            <w:shd w:val="clear" w:color="auto" w:fill="E2EFD9"/>
            <w:tcMar>
              <w:top w:w="40" w:type="dxa"/>
              <w:left w:w="20" w:type="dxa"/>
              <w:bottom w:w="40" w:type="dxa"/>
              <w:right w:w="20" w:type="dxa"/>
            </w:tcMar>
            <w:vAlign w:val="bottom"/>
          </w:tcPr>
          <w:p w14:paraId="27E081F6" w14:textId="77777777" w:rsidR="00A85061" w:rsidRDefault="00F04891">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27E081F7" w14:textId="77777777" w:rsidR="00A85061" w:rsidRDefault="00F04891">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27E081F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1F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1FA" w14:textId="77777777" w:rsidR="00A85061" w:rsidRDefault="00F04891">
            <w:pPr>
              <w:jc w:val="right"/>
              <w:textAlignment w:val="bottom"/>
            </w:pPr>
            <w:r>
              <w:rPr>
                <w:rFonts w:ascii="sans-serif" w:eastAsia="sans-serif" w:hAnsi="sans-serif" w:cs="sans-serif"/>
                <w:color w:val="000000"/>
                <w:sz w:val="20"/>
                <w:szCs w:val="20"/>
              </w:rPr>
              <w:t>97 </w:t>
            </w:r>
          </w:p>
        </w:tc>
        <w:tc>
          <w:tcPr>
            <w:tcW w:w="0" w:type="auto"/>
            <w:shd w:val="clear" w:color="auto" w:fill="E2EFD9"/>
            <w:tcMar>
              <w:top w:w="40" w:type="dxa"/>
              <w:left w:w="0" w:type="dxa"/>
              <w:bottom w:w="40" w:type="dxa"/>
              <w:right w:w="20" w:type="dxa"/>
            </w:tcMar>
            <w:vAlign w:val="bottom"/>
          </w:tcPr>
          <w:p w14:paraId="27E081FB" w14:textId="77777777" w:rsidR="00A85061" w:rsidRDefault="00A85061">
            <w:pPr>
              <w:jc w:val="right"/>
              <w:rPr>
                <w:rFonts w:ascii="宋体"/>
              </w:rPr>
            </w:pPr>
          </w:p>
        </w:tc>
      </w:tr>
      <w:tr w:rsidR="00A85061" w14:paraId="27E08205" w14:textId="77777777">
        <w:tc>
          <w:tcPr>
            <w:tcW w:w="0" w:type="auto"/>
            <w:gridSpan w:val="3"/>
            <w:shd w:val="clear" w:color="auto" w:fill="FFFFFF"/>
            <w:tcMar>
              <w:top w:w="40" w:type="dxa"/>
              <w:left w:w="380" w:type="dxa"/>
              <w:bottom w:w="40" w:type="dxa"/>
              <w:right w:w="20" w:type="dxa"/>
            </w:tcMar>
            <w:vAlign w:val="bottom"/>
          </w:tcPr>
          <w:p w14:paraId="27E081FD" w14:textId="77777777" w:rsidR="00A85061" w:rsidRDefault="00F04891">
            <w:pPr>
              <w:textAlignment w:val="bottom"/>
            </w:pPr>
            <w:r>
              <w:rPr>
                <w:rFonts w:ascii="sans-serif" w:eastAsia="sans-serif" w:hAnsi="sans-serif" w:cs="sans-serif"/>
                <w:color w:val="000000"/>
                <w:sz w:val="20"/>
                <w:szCs w:val="20"/>
              </w:rPr>
              <w:t>Total prepaid expenses and other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1F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1FF" w14:textId="77777777" w:rsidR="00A85061" w:rsidRDefault="00F04891">
            <w:pPr>
              <w:jc w:val="right"/>
              <w:textAlignment w:val="bottom"/>
            </w:pPr>
            <w:r>
              <w:rPr>
                <w:rFonts w:ascii="sans-serif" w:eastAsia="sans-serif" w:hAnsi="sans-serif" w:cs="sans-serif"/>
                <w:color w:val="000000"/>
                <w:sz w:val="20"/>
                <w:szCs w:val="20"/>
              </w:rPr>
              <w:t>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20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01"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20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203" w14:textId="77777777" w:rsidR="00A85061" w:rsidRDefault="00F04891">
            <w:pPr>
              <w:jc w:val="right"/>
              <w:textAlignment w:val="bottom"/>
            </w:pPr>
            <w:r>
              <w:rPr>
                <w:rFonts w:ascii="sans-serif" w:eastAsia="sans-serif" w:hAnsi="sans-serif" w:cs="sans-serif"/>
                <w:color w:val="000000"/>
                <w:sz w:val="20"/>
                <w:szCs w:val="20"/>
              </w:rPr>
              <w:t>239 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204" w14:textId="77777777" w:rsidR="00A85061" w:rsidRDefault="00A85061">
            <w:pPr>
              <w:jc w:val="right"/>
              <w:rPr>
                <w:rFonts w:ascii="宋体"/>
              </w:rPr>
            </w:pPr>
          </w:p>
        </w:tc>
      </w:tr>
    </w:tbl>
    <w:p w14:paraId="27E08206" w14:textId="77777777" w:rsidR="00A85061" w:rsidRDefault="00F04891">
      <w:pPr>
        <w:spacing w:after="180"/>
        <w:ind w:hanging="360"/>
        <w:jc w:val="both"/>
      </w:pPr>
      <w:r>
        <w:rPr>
          <w:rFonts w:ascii="sans-serif" w:eastAsia="sans-serif" w:hAnsi="sans-serif" w:cs="sans-serif"/>
          <w:color w:val="000000"/>
          <w:sz w:val="16"/>
          <w:szCs w:val="16"/>
        </w:rPr>
        <w:t>(1)    The balance as of May 2, 2021 includes an investment that was reclassified from privately-held equity securities following the commencement of public market trading of the issuer in the first quarter of fiscal year 2022. As of May 2, 2021, the inves</w:t>
      </w:r>
      <w:r>
        <w:rPr>
          <w:rFonts w:ascii="sans-serif" w:eastAsia="sans-serif" w:hAnsi="sans-serif" w:cs="sans-serif"/>
          <w:color w:val="000000"/>
          <w:sz w:val="16"/>
          <w:szCs w:val="16"/>
        </w:rPr>
        <w:t>tment is subject to short-term selling restrictions. Due to the public market trading of the issuer, an unrealized gain on the investment of $124 million was recorded in other income (expense), net in the first quarter of fiscal year 2022. The net cumulati</w:t>
      </w:r>
      <w:r>
        <w:rPr>
          <w:rFonts w:ascii="sans-serif" w:eastAsia="sans-serif" w:hAnsi="sans-serif" w:cs="sans-serif"/>
          <w:color w:val="000000"/>
          <w:sz w:val="16"/>
          <w:szCs w:val="16"/>
        </w:rPr>
        <w:t xml:space="preserve">ve unrealized gain on the investment was $130 million as of May 2, 2021. </w:t>
      </w:r>
    </w:p>
    <w:p w14:paraId="27E08207" w14:textId="77777777" w:rsidR="00A85061" w:rsidRDefault="00A85061">
      <w:pPr>
        <w:spacing w:after="60"/>
        <w:ind w:hanging="360"/>
        <w:jc w:val="both"/>
      </w:pPr>
    </w:p>
    <w:p w14:paraId="27E08208" w14:textId="77777777" w:rsidR="00A85061" w:rsidRDefault="00F04891">
      <w:pPr>
        <w:spacing w:after="180"/>
        <w:jc w:val="center"/>
      </w:pPr>
      <w:r>
        <w:rPr>
          <w:rFonts w:ascii="sans-serif" w:eastAsia="sans-serif" w:hAnsi="sans-serif" w:cs="sans-serif"/>
          <w:color w:val="000000"/>
          <w:sz w:val="20"/>
          <w:szCs w:val="20"/>
        </w:rPr>
        <w:t>15</w:t>
      </w:r>
    </w:p>
    <w:p w14:paraId="27E08209" w14:textId="77777777" w:rsidR="00A85061" w:rsidRDefault="00F04891">
      <w:r>
        <w:pict w14:anchorId="27E08F00">
          <v:rect id="_x0000_i1039" style="width:415.3pt;height:1.5pt" o:hralign="center" o:hrstd="t" o:hr="t" fillcolor="#a0a0a0" stroked="f"/>
        </w:pict>
      </w:r>
    </w:p>
    <w:p w14:paraId="27E0820A" w14:textId="77777777" w:rsidR="00A85061" w:rsidRDefault="00F04891">
      <w:pPr>
        <w:jc w:val="center"/>
      </w:pPr>
      <w:r>
        <w:rPr>
          <w:rFonts w:ascii="sans-serif" w:eastAsia="sans-serif" w:hAnsi="sans-serif" w:cs="sans-serif"/>
          <w:b/>
          <w:bCs/>
          <w:color w:val="000000"/>
          <w:sz w:val="20"/>
          <w:szCs w:val="20"/>
        </w:rPr>
        <w:t>NVIDIA CORPORATION AND SUBSIDIARIES</w:t>
      </w:r>
    </w:p>
    <w:p w14:paraId="27E0820B"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820C" w14:textId="77777777" w:rsidR="00A85061" w:rsidRDefault="00F04891">
      <w:pPr>
        <w:jc w:val="center"/>
      </w:pPr>
      <w:r>
        <w:rPr>
          <w:rFonts w:ascii="sans-serif" w:eastAsia="sans-serif" w:hAnsi="sans-serif" w:cs="sans-serif"/>
          <w:b/>
          <w:bCs/>
          <w:color w:val="000000"/>
          <w:sz w:val="20"/>
          <w:szCs w:val="20"/>
        </w:rPr>
        <w:t>(Unaudited)</w:t>
      </w:r>
    </w:p>
    <w:p w14:paraId="27E0820D" w14:textId="77777777" w:rsidR="00A85061" w:rsidRDefault="00A85061">
      <w:pPr>
        <w:spacing w:after="180"/>
        <w:jc w:val="both"/>
      </w:pPr>
    </w:p>
    <w:p w14:paraId="27E0820E" w14:textId="77777777" w:rsidR="00A85061" w:rsidRDefault="00A85061">
      <w:pPr>
        <w:spacing w:after="180"/>
        <w:jc w:val="both"/>
      </w:pP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6"/>
        <w:gridCol w:w="122"/>
        <w:gridCol w:w="974"/>
        <w:gridCol w:w="36"/>
        <w:gridCol w:w="36"/>
        <w:gridCol w:w="36"/>
        <w:gridCol w:w="36"/>
        <w:gridCol w:w="123"/>
        <w:gridCol w:w="939"/>
        <w:gridCol w:w="36"/>
      </w:tblGrid>
      <w:tr w:rsidR="00A85061" w14:paraId="27E0821B" w14:textId="77777777">
        <w:tc>
          <w:tcPr>
            <w:tcW w:w="50" w:type="pct"/>
            <w:shd w:val="clear" w:color="auto" w:fill="auto"/>
            <w:vAlign w:val="bottom"/>
          </w:tcPr>
          <w:p w14:paraId="27E0820F" w14:textId="77777777" w:rsidR="00A85061" w:rsidRDefault="00A85061">
            <w:pPr>
              <w:rPr>
                <w:rFonts w:ascii="宋体"/>
              </w:rPr>
            </w:pPr>
          </w:p>
        </w:tc>
        <w:tc>
          <w:tcPr>
            <w:tcW w:w="3575" w:type="pct"/>
            <w:shd w:val="clear" w:color="auto" w:fill="auto"/>
            <w:vAlign w:val="bottom"/>
          </w:tcPr>
          <w:p w14:paraId="27E08210" w14:textId="77777777" w:rsidR="00A85061" w:rsidRDefault="00A85061">
            <w:pPr>
              <w:rPr>
                <w:rFonts w:ascii="宋体"/>
              </w:rPr>
            </w:pPr>
          </w:p>
        </w:tc>
        <w:tc>
          <w:tcPr>
            <w:tcW w:w="5" w:type="pct"/>
            <w:shd w:val="clear" w:color="auto" w:fill="auto"/>
            <w:vAlign w:val="bottom"/>
          </w:tcPr>
          <w:p w14:paraId="27E08211" w14:textId="77777777" w:rsidR="00A85061" w:rsidRDefault="00A85061">
            <w:pPr>
              <w:rPr>
                <w:rFonts w:ascii="宋体"/>
              </w:rPr>
            </w:pPr>
          </w:p>
        </w:tc>
        <w:tc>
          <w:tcPr>
            <w:tcW w:w="50" w:type="pct"/>
            <w:shd w:val="clear" w:color="auto" w:fill="auto"/>
            <w:vAlign w:val="bottom"/>
          </w:tcPr>
          <w:p w14:paraId="27E08212" w14:textId="77777777" w:rsidR="00A85061" w:rsidRDefault="00A85061">
            <w:pPr>
              <w:rPr>
                <w:rFonts w:ascii="宋体"/>
              </w:rPr>
            </w:pPr>
          </w:p>
        </w:tc>
        <w:tc>
          <w:tcPr>
            <w:tcW w:w="611" w:type="pct"/>
            <w:shd w:val="clear" w:color="auto" w:fill="auto"/>
            <w:vAlign w:val="bottom"/>
          </w:tcPr>
          <w:p w14:paraId="27E08213" w14:textId="77777777" w:rsidR="00A85061" w:rsidRDefault="00A85061">
            <w:pPr>
              <w:rPr>
                <w:rFonts w:ascii="宋体"/>
              </w:rPr>
            </w:pPr>
          </w:p>
        </w:tc>
        <w:tc>
          <w:tcPr>
            <w:tcW w:w="5" w:type="pct"/>
            <w:shd w:val="clear" w:color="auto" w:fill="auto"/>
            <w:vAlign w:val="bottom"/>
          </w:tcPr>
          <w:p w14:paraId="27E08214" w14:textId="77777777" w:rsidR="00A85061" w:rsidRDefault="00A85061">
            <w:pPr>
              <w:rPr>
                <w:rFonts w:ascii="宋体"/>
              </w:rPr>
            </w:pPr>
          </w:p>
        </w:tc>
        <w:tc>
          <w:tcPr>
            <w:tcW w:w="5" w:type="pct"/>
            <w:shd w:val="clear" w:color="auto" w:fill="auto"/>
            <w:vAlign w:val="bottom"/>
          </w:tcPr>
          <w:p w14:paraId="27E08215" w14:textId="77777777" w:rsidR="00A85061" w:rsidRDefault="00A85061">
            <w:pPr>
              <w:rPr>
                <w:rFonts w:ascii="宋体"/>
              </w:rPr>
            </w:pPr>
          </w:p>
        </w:tc>
        <w:tc>
          <w:tcPr>
            <w:tcW w:w="26" w:type="pct"/>
            <w:shd w:val="clear" w:color="auto" w:fill="auto"/>
            <w:vAlign w:val="bottom"/>
          </w:tcPr>
          <w:p w14:paraId="27E08216" w14:textId="77777777" w:rsidR="00A85061" w:rsidRDefault="00A85061">
            <w:pPr>
              <w:rPr>
                <w:rFonts w:ascii="宋体"/>
              </w:rPr>
            </w:pPr>
          </w:p>
        </w:tc>
        <w:tc>
          <w:tcPr>
            <w:tcW w:w="5" w:type="pct"/>
            <w:shd w:val="clear" w:color="auto" w:fill="auto"/>
            <w:vAlign w:val="bottom"/>
          </w:tcPr>
          <w:p w14:paraId="27E08217" w14:textId="77777777" w:rsidR="00A85061" w:rsidRDefault="00A85061">
            <w:pPr>
              <w:rPr>
                <w:rFonts w:ascii="宋体"/>
              </w:rPr>
            </w:pPr>
          </w:p>
        </w:tc>
        <w:tc>
          <w:tcPr>
            <w:tcW w:w="50" w:type="pct"/>
            <w:shd w:val="clear" w:color="auto" w:fill="auto"/>
            <w:vAlign w:val="bottom"/>
          </w:tcPr>
          <w:p w14:paraId="27E08218" w14:textId="77777777" w:rsidR="00A85061" w:rsidRDefault="00A85061">
            <w:pPr>
              <w:rPr>
                <w:rFonts w:ascii="宋体"/>
              </w:rPr>
            </w:pPr>
          </w:p>
        </w:tc>
        <w:tc>
          <w:tcPr>
            <w:tcW w:w="611" w:type="pct"/>
            <w:shd w:val="clear" w:color="auto" w:fill="auto"/>
            <w:vAlign w:val="bottom"/>
          </w:tcPr>
          <w:p w14:paraId="27E08219" w14:textId="77777777" w:rsidR="00A85061" w:rsidRDefault="00A85061">
            <w:pPr>
              <w:rPr>
                <w:rFonts w:ascii="宋体"/>
              </w:rPr>
            </w:pPr>
          </w:p>
        </w:tc>
        <w:tc>
          <w:tcPr>
            <w:tcW w:w="5" w:type="pct"/>
            <w:shd w:val="clear" w:color="auto" w:fill="auto"/>
            <w:vAlign w:val="bottom"/>
          </w:tcPr>
          <w:p w14:paraId="27E0821A" w14:textId="77777777" w:rsidR="00A85061" w:rsidRDefault="00A85061">
            <w:pPr>
              <w:rPr>
                <w:rFonts w:ascii="宋体"/>
              </w:rPr>
            </w:pPr>
          </w:p>
        </w:tc>
      </w:tr>
      <w:tr w:rsidR="00A85061" w14:paraId="27E08220" w14:textId="77777777">
        <w:tc>
          <w:tcPr>
            <w:tcW w:w="0" w:type="auto"/>
            <w:gridSpan w:val="3"/>
            <w:shd w:val="clear" w:color="auto" w:fill="auto"/>
            <w:tcMar>
              <w:top w:w="0" w:type="dxa"/>
              <w:left w:w="20" w:type="dxa"/>
              <w:bottom w:w="0" w:type="dxa"/>
              <w:right w:w="20" w:type="dxa"/>
            </w:tcMar>
            <w:vAlign w:val="bottom"/>
          </w:tcPr>
          <w:p w14:paraId="27E0821C"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1D"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21E"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1F"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8225" w14:textId="77777777">
        <w:tc>
          <w:tcPr>
            <w:tcW w:w="0" w:type="auto"/>
            <w:gridSpan w:val="3"/>
            <w:shd w:val="clear" w:color="auto" w:fill="auto"/>
            <w:tcMar>
              <w:top w:w="40" w:type="dxa"/>
              <w:left w:w="20" w:type="dxa"/>
              <w:bottom w:w="40" w:type="dxa"/>
              <w:right w:w="20" w:type="dxa"/>
            </w:tcMar>
            <w:vAlign w:val="bottom"/>
          </w:tcPr>
          <w:p w14:paraId="27E08221"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222"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223"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24"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822A" w14:textId="77777777">
        <w:trPr>
          <w:trHeight w:val="60"/>
        </w:trPr>
        <w:tc>
          <w:tcPr>
            <w:tcW w:w="0" w:type="auto"/>
            <w:gridSpan w:val="3"/>
            <w:shd w:val="clear" w:color="auto" w:fill="auto"/>
            <w:tcMar>
              <w:top w:w="0" w:type="dxa"/>
              <w:left w:w="20" w:type="dxa"/>
              <w:bottom w:w="0" w:type="dxa"/>
              <w:right w:w="20" w:type="dxa"/>
            </w:tcMar>
            <w:vAlign w:val="bottom"/>
          </w:tcPr>
          <w:p w14:paraId="27E0822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22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228"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229" w14:textId="77777777" w:rsidR="00A85061" w:rsidRDefault="00A85061">
            <w:pPr>
              <w:rPr>
                <w:rFonts w:ascii="宋体"/>
              </w:rPr>
            </w:pPr>
          </w:p>
        </w:tc>
      </w:tr>
      <w:tr w:rsidR="00A85061" w14:paraId="27E0822D" w14:textId="77777777">
        <w:tc>
          <w:tcPr>
            <w:tcW w:w="0" w:type="auto"/>
            <w:gridSpan w:val="3"/>
            <w:shd w:val="clear" w:color="auto" w:fill="auto"/>
            <w:tcMar>
              <w:top w:w="40" w:type="dxa"/>
              <w:left w:w="20" w:type="dxa"/>
              <w:bottom w:w="40" w:type="dxa"/>
              <w:right w:w="20" w:type="dxa"/>
            </w:tcMar>
            <w:vAlign w:val="bottom"/>
          </w:tcPr>
          <w:p w14:paraId="27E0822B" w14:textId="77777777" w:rsidR="00A85061" w:rsidRDefault="00F04891">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27E0822C"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236" w14:textId="77777777">
        <w:tc>
          <w:tcPr>
            <w:tcW w:w="0" w:type="auto"/>
            <w:gridSpan w:val="3"/>
            <w:shd w:val="clear" w:color="auto" w:fill="E2EFD9"/>
            <w:tcMar>
              <w:top w:w="40" w:type="dxa"/>
              <w:left w:w="20" w:type="dxa"/>
              <w:bottom w:w="40" w:type="dxa"/>
              <w:right w:w="20" w:type="dxa"/>
            </w:tcMar>
            <w:vAlign w:val="bottom"/>
          </w:tcPr>
          <w:p w14:paraId="27E0822E" w14:textId="77777777" w:rsidR="00A85061" w:rsidRDefault="00F04891">
            <w:pPr>
              <w:textAlignment w:val="bottom"/>
            </w:pPr>
            <w:r>
              <w:rPr>
                <w:rFonts w:ascii="sans-serif" w:eastAsia="sans-serif" w:hAnsi="sans-serif" w:cs="sans-serif"/>
                <w:color w:val="000000"/>
                <w:sz w:val="20"/>
                <w:szCs w:val="20"/>
              </w:rPr>
              <w:t>Advanced consideration for acquisition</w:t>
            </w:r>
          </w:p>
        </w:tc>
        <w:tc>
          <w:tcPr>
            <w:tcW w:w="0" w:type="auto"/>
            <w:shd w:val="clear" w:color="auto" w:fill="E2EFD9"/>
            <w:tcMar>
              <w:top w:w="40" w:type="dxa"/>
              <w:left w:w="20" w:type="dxa"/>
              <w:bottom w:w="40" w:type="dxa"/>
              <w:right w:w="0" w:type="dxa"/>
            </w:tcMar>
            <w:vAlign w:val="bottom"/>
          </w:tcPr>
          <w:p w14:paraId="27E0822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230" w14:textId="77777777" w:rsidR="00A85061" w:rsidRDefault="00F04891">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27E0823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3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23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234" w14:textId="77777777" w:rsidR="00A85061" w:rsidRDefault="00F04891">
            <w:pPr>
              <w:jc w:val="right"/>
              <w:textAlignment w:val="bottom"/>
            </w:pPr>
            <w:r>
              <w:rPr>
                <w:rFonts w:ascii="sans-serif" w:eastAsia="sans-serif" w:hAnsi="sans-serif" w:cs="sans-serif"/>
                <w:color w:val="000000"/>
                <w:sz w:val="20"/>
                <w:szCs w:val="20"/>
              </w:rPr>
              <w:t>1,357 </w:t>
            </w:r>
          </w:p>
        </w:tc>
        <w:tc>
          <w:tcPr>
            <w:tcW w:w="0" w:type="auto"/>
            <w:shd w:val="clear" w:color="auto" w:fill="E2EFD9"/>
            <w:tcMar>
              <w:top w:w="40" w:type="dxa"/>
              <w:left w:w="0" w:type="dxa"/>
              <w:bottom w:w="40" w:type="dxa"/>
              <w:right w:w="20" w:type="dxa"/>
            </w:tcMar>
            <w:vAlign w:val="bottom"/>
          </w:tcPr>
          <w:p w14:paraId="27E08235" w14:textId="77777777" w:rsidR="00A85061" w:rsidRDefault="00A85061">
            <w:pPr>
              <w:jc w:val="right"/>
              <w:rPr>
                <w:rFonts w:ascii="宋体"/>
              </w:rPr>
            </w:pPr>
          </w:p>
        </w:tc>
      </w:tr>
      <w:tr w:rsidR="00A85061" w14:paraId="27E0823D" w14:textId="77777777">
        <w:tc>
          <w:tcPr>
            <w:tcW w:w="0" w:type="auto"/>
            <w:gridSpan w:val="3"/>
            <w:shd w:val="clear" w:color="auto" w:fill="FFFFFF"/>
            <w:tcMar>
              <w:top w:w="40" w:type="dxa"/>
              <w:left w:w="20" w:type="dxa"/>
              <w:bottom w:w="40" w:type="dxa"/>
              <w:right w:w="20" w:type="dxa"/>
            </w:tcMar>
            <w:vAlign w:val="bottom"/>
          </w:tcPr>
          <w:p w14:paraId="27E08237" w14:textId="77777777" w:rsidR="00A85061" w:rsidRDefault="00F04891">
            <w:pPr>
              <w:textAlignment w:val="bottom"/>
            </w:pPr>
            <w:r>
              <w:rPr>
                <w:rFonts w:ascii="sans-serif" w:eastAsia="sans-serif" w:hAnsi="sans-serif" w:cs="sans-serif"/>
                <w:color w:val="000000"/>
                <w:sz w:val="20"/>
                <w:szCs w:val="20"/>
              </w:rPr>
              <w:t>Prepaid royalties</w:t>
            </w:r>
          </w:p>
        </w:tc>
        <w:tc>
          <w:tcPr>
            <w:tcW w:w="0" w:type="auto"/>
            <w:gridSpan w:val="2"/>
            <w:shd w:val="clear" w:color="auto" w:fill="FFFFFF"/>
            <w:tcMar>
              <w:top w:w="40" w:type="dxa"/>
              <w:left w:w="20" w:type="dxa"/>
              <w:bottom w:w="40" w:type="dxa"/>
              <w:right w:w="0" w:type="dxa"/>
            </w:tcMar>
            <w:vAlign w:val="bottom"/>
          </w:tcPr>
          <w:p w14:paraId="27E08238" w14:textId="77777777" w:rsidR="00A85061" w:rsidRDefault="00F04891">
            <w:pPr>
              <w:jc w:val="right"/>
              <w:textAlignment w:val="bottom"/>
            </w:pPr>
            <w:r>
              <w:rPr>
                <w:rFonts w:ascii="sans-serif" w:eastAsia="sans-serif" w:hAnsi="sans-serif" w:cs="sans-serif"/>
                <w:color w:val="000000"/>
                <w:sz w:val="20"/>
                <w:szCs w:val="20"/>
              </w:rPr>
              <w:t>428 </w:t>
            </w:r>
          </w:p>
        </w:tc>
        <w:tc>
          <w:tcPr>
            <w:tcW w:w="0" w:type="auto"/>
            <w:shd w:val="clear" w:color="auto" w:fill="FFFFFF"/>
            <w:tcMar>
              <w:top w:w="40" w:type="dxa"/>
              <w:left w:w="0" w:type="dxa"/>
              <w:bottom w:w="40" w:type="dxa"/>
              <w:right w:w="20" w:type="dxa"/>
            </w:tcMar>
            <w:vAlign w:val="bottom"/>
          </w:tcPr>
          <w:p w14:paraId="27E0823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3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3B" w14:textId="77777777" w:rsidR="00A85061" w:rsidRDefault="00F04891">
            <w:pPr>
              <w:jc w:val="right"/>
              <w:textAlignment w:val="bottom"/>
            </w:pPr>
            <w:r>
              <w:rPr>
                <w:rFonts w:ascii="sans-serif" w:eastAsia="sans-serif" w:hAnsi="sans-serif" w:cs="sans-serif"/>
                <w:color w:val="000000"/>
                <w:sz w:val="20"/>
                <w:szCs w:val="20"/>
              </w:rPr>
              <w:t>440 </w:t>
            </w:r>
          </w:p>
        </w:tc>
        <w:tc>
          <w:tcPr>
            <w:tcW w:w="0" w:type="auto"/>
            <w:shd w:val="clear" w:color="auto" w:fill="FFFFFF"/>
            <w:tcMar>
              <w:top w:w="40" w:type="dxa"/>
              <w:left w:w="0" w:type="dxa"/>
              <w:bottom w:w="40" w:type="dxa"/>
              <w:right w:w="20" w:type="dxa"/>
            </w:tcMar>
            <w:vAlign w:val="bottom"/>
          </w:tcPr>
          <w:p w14:paraId="27E0823C" w14:textId="77777777" w:rsidR="00A85061" w:rsidRDefault="00A85061">
            <w:pPr>
              <w:jc w:val="right"/>
              <w:rPr>
                <w:rFonts w:ascii="宋体"/>
              </w:rPr>
            </w:pPr>
          </w:p>
        </w:tc>
      </w:tr>
      <w:tr w:rsidR="00A85061" w14:paraId="27E08244" w14:textId="77777777">
        <w:tc>
          <w:tcPr>
            <w:tcW w:w="0" w:type="auto"/>
            <w:gridSpan w:val="3"/>
            <w:shd w:val="clear" w:color="auto" w:fill="E2EFD9"/>
            <w:tcMar>
              <w:top w:w="40" w:type="dxa"/>
              <w:left w:w="20" w:type="dxa"/>
              <w:bottom w:w="40" w:type="dxa"/>
              <w:right w:w="20" w:type="dxa"/>
            </w:tcMar>
            <w:vAlign w:val="bottom"/>
          </w:tcPr>
          <w:p w14:paraId="27E0823E" w14:textId="77777777" w:rsidR="00A85061" w:rsidRDefault="00F04891">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27E0823F" w14:textId="77777777" w:rsidR="00A85061" w:rsidRDefault="00F04891">
            <w:pPr>
              <w:jc w:val="right"/>
              <w:textAlignment w:val="bottom"/>
            </w:pPr>
            <w:r>
              <w:rPr>
                <w:rFonts w:ascii="sans-serif" w:eastAsia="sans-serif" w:hAnsi="sans-serif" w:cs="sans-serif"/>
                <w:color w:val="000000"/>
                <w:sz w:val="20"/>
                <w:szCs w:val="20"/>
              </w:rPr>
              <w:t>146 </w:t>
            </w:r>
          </w:p>
        </w:tc>
        <w:tc>
          <w:tcPr>
            <w:tcW w:w="0" w:type="auto"/>
            <w:shd w:val="clear" w:color="auto" w:fill="E2EFD9"/>
            <w:tcMar>
              <w:top w:w="40" w:type="dxa"/>
              <w:left w:w="0" w:type="dxa"/>
              <w:bottom w:w="40" w:type="dxa"/>
              <w:right w:w="20" w:type="dxa"/>
            </w:tcMar>
            <w:vAlign w:val="bottom"/>
          </w:tcPr>
          <w:p w14:paraId="27E0824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4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42" w14:textId="77777777" w:rsidR="00A85061" w:rsidRDefault="00F04891">
            <w:pPr>
              <w:jc w:val="right"/>
              <w:textAlignment w:val="bottom"/>
            </w:pPr>
            <w:r>
              <w:rPr>
                <w:rFonts w:ascii="sans-serif" w:eastAsia="sans-serif" w:hAnsi="sans-serif" w:cs="sans-serif"/>
                <w:color w:val="000000"/>
                <w:sz w:val="20"/>
                <w:szCs w:val="20"/>
              </w:rPr>
              <w:t>144 </w:t>
            </w:r>
          </w:p>
        </w:tc>
        <w:tc>
          <w:tcPr>
            <w:tcW w:w="0" w:type="auto"/>
            <w:shd w:val="clear" w:color="auto" w:fill="E2EFD9"/>
            <w:tcMar>
              <w:top w:w="40" w:type="dxa"/>
              <w:left w:w="0" w:type="dxa"/>
              <w:bottom w:w="40" w:type="dxa"/>
              <w:right w:w="20" w:type="dxa"/>
            </w:tcMar>
            <w:vAlign w:val="bottom"/>
          </w:tcPr>
          <w:p w14:paraId="27E08243" w14:textId="77777777" w:rsidR="00A85061" w:rsidRDefault="00A85061">
            <w:pPr>
              <w:jc w:val="right"/>
              <w:rPr>
                <w:rFonts w:ascii="宋体"/>
              </w:rPr>
            </w:pPr>
          </w:p>
        </w:tc>
      </w:tr>
      <w:tr w:rsidR="00A85061" w14:paraId="27E0824B" w14:textId="77777777">
        <w:tc>
          <w:tcPr>
            <w:tcW w:w="0" w:type="auto"/>
            <w:gridSpan w:val="3"/>
            <w:shd w:val="clear" w:color="auto" w:fill="FFFFFF"/>
            <w:tcMar>
              <w:top w:w="40" w:type="dxa"/>
              <w:left w:w="20" w:type="dxa"/>
              <w:bottom w:w="40" w:type="dxa"/>
              <w:right w:w="20" w:type="dxa"/>
            </w:tcMar>
            <w:vAlign w:val="bottom"/>
          </w:tcPr>
          <w:p w14:paraId="27E08245" w14:textId="77777777" w:rsidR="00A85061" w:rsidRDefault="00F04891">
            <w:pPr>
              <w:textAlignment w:val="bottom"/>
            </w:pPr>
            <w:r>
              <w:rPr>
                <w:rFonts w:ascii="sans-serif" w:eastAsia="sans-serif" w:hAnsi="sans-serif" w:cs="sans-serif"/>
                <w:color w:val="000000"/>
                <w:sz w:val="20"/>
                <w:szCs w:val="20"/>
              </w:rPr>
              <w:t>Deposits</w:t>
            </w:r>
          </w:p>
        </w:tc>
        <w:tc>
          <w:tcPr>
            <w:tcW w:w="0" w:type="auto"/>
            <w:gridSpan w:val="2"/>
            <w:shd w:val="clear" w:color="auto" w:fill="FFFFFF"/>
            <w:tcMar>
              <w:top w:w="40" w:type="dxa"/>
              <w:left w:w="20" w:type="dxa"/>
              <w:bottom w:w="40" w:type="dxa"/>
              <w:right w:w="0" w:type="dxa"/>
            </w:tcMar>
            <w:vAlign w:val="bottom"/>
          </w:tcPr>
          <w:p w14:paraId="27E08246" w14:textId="77777777" w:rsidR="00A85061" w:rsidRDefault="00F04891">
            <w:pPr>
              <w:jc w:val="right"/>
              <w:textAlignment w:val="bottom"/>
            </w:pPr>
            <w:r>
              <w:rPr>
                <w:rFonts w:ascii="sans-serif" w:eastAsia="sans-serif" w:hAnsi="sans-serif" w:cs="sans-serif"/>
                <w:color w:val="000000"/>
                <w:sz w:val="20"/>
                <w:szCs w:val="20"/>
              </w:rPr>
              <w:t>123 </w:t>
            </w:r>
          </w:p>
        </w:tc>
        <w:tc>
          <w:tcPr>
            <w:tcW w:w="0" w:type="auto"/>
            <w:shd w:val="clear" w:color="auto" w:fill="FFFFFF"/>
            <w:tcMar>
              <w:top w:w="40" w:type="dxa"/>
              <w:left w:w="0" w:type="dxa"/>
              <w:bottom w:w="40" w:type="dxa"/>
              <w:right w:w="20" w:type="dxa"/>
            </w:tcMar>
            <w:vAlign w:val="bottom"/>
          </w:tcPr>
          <w:p w14:paraId="27E0824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4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49" w14:textId="77777777" w:rsidR="00A85061" w:rsidRDefault="00F04891">
            <w:pPr>
              <w:jc w:val="right"/>
              <w:textAlignment w:val="bottom"/>
            </w:pPr>
            <w:r>
              <w:rPr>
                <w:rFonts w:ascii="sans-serif" w:eastAsia="sans-serif" w:hAnsi="sans-serif" w:cs="sans-serif"/>
                <w:color w:val="000000"/>
                <w:sz w:val="20"/>
                <w:szCs w:val="20"/>
              </w:rPr>
              <w:t>136 </w:t>
            </w:r>
          </w:p>
        </w:tc>
        <w:tc>
          <w:tcPr>
            <w:tcW w:w="0" w:type="auto"/>
            <w:shd w:val="clear" w:color="auto" w:fill="FFFFFF"/>
            <w:tcMar>
              <w:top w:w="40" w:type="dxa"/>
              <w:left w:w="0" w:type="dxa"/>
              <w:bottom w:w="40" w:type="dxa"/>
              <w:right w:w="20" w:type="dxa"/>
            </w:tcMar>
            <w:vAlign w:val="bottom"/>
          </w:tcPr>
          <w:p w14:paraId="27E0824A" w14:textId="77777777" w:rsidR="00A85061" w:rsidRDefault="00A85061">
            <w:pPr>
              <w:jc w:val="right"/>
              <w:rPr>
                <w:rFonts w:ascii="宋体"/>
              </w:rPr>
            </w:pPr>
          </w:p>
        </w:tc>
      </w:tr>
      <w:tr w:rsidR="00A85061" w14:paraId="27E08252" w14:textId="77777777">
        <w:tc>
          <w:tcPr>
            <w:tcW w:w="0" w:type="auto"/>
            <w:gridSpan w:val="3"/>
            <w:shd w:val="clear" w:color="auto" w:fill="E2EFD9"/>
            <w:tcMar>
              <w:top w:w="40" w:type="dxa"/>
              <w:left w:w="20" w:type="dxa"/>
              <w:bottom w:w="40" w:type="dxa"/>
              <w:right w:w="20" w:type="dxa"/>
            </w:tcMar>
            <w:vAlign w:val="bottom"/>
          </w:tcPr>
          <w:p w14:paraId="27E0824C" w14:textId="77777777" w:rsidR="00A85061" w:rsidRDefault="00F04891">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27E0824D" w14:textId="77777777" w:rsidR="00A85061" w:rsidRDefault="00F04891">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27E0824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4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50" w14:textId="77777777" w:rsidR="00A85061" w:rsidRDefault="00F04891">
            <w:pPr>
              <w:jc w:val="right"/>
              <w:textAlignment w:val="bottom"/>
            </w:pPr>
            <w:r>
              <w:rPr>
                <w:rFonts w:ascii="sans-serif" w:eastAsia="sans-serif" w:hAnsi="sans-serif" w:cs="sans-serif"/>
                <w:color w:val="000000"/>
                <w:sz w:val="20"/>
                <w:szCs w:val="20"/>
              </w:rPr>
              <w:t>67 </w:t>
            </w:r>
          </w:p>
        </w:tc>
        <w:tc>
          <w:tcPr>
            <w:tcW w:w="0" w:type="auto"/>
            <w:shd w:val="clear" w:color="auto" w:fill="E2EFD9"/>
            <w:tcMar>
              <w:top w:w="40" w:type="dxa"/>
              <w:left w:w="0" w:type="dxa"/>
              <w:bottom w:w="40" w:type="dxa"/>
              <w:right w:w="20" w:type="dxa"/>
            </w:tcMar>
            <w:vAlign w:val="bottom"/>
          </w:tcPr>
          <w:p w14:paraId="27E08251" w14:textId="77777777" w:rsidR="00A85061" w:rsidRDefault="00A85061">
            <w:pPr>
              <w:jc w:val="right"/>
              <w:rPr>
                <w:rFonts w:ascii="宋体"/>
              </w:rPr>
            </w:pPr>
          </w:p>
        </w:tc>
      </w:tr>
      <w:tr w:rsidR="00A85061" w14:paraId="27E0825B" w14:textId="77777777">
        <w:tc>
          <w:tcPr>
            <w:tcW w:w="0" w:type="auto"/>
            <w:gridSpan w:val="3"/>
            <w:shd w:val="clear" w:color="auto" w:fill="FFFFFF"/>
            <w:tcMar>
              <w:top w:w="40" w:type="dxa"/>
              <w:left w:w="380" w:type="dxa"/>
              <w:bottom w:w="40" w:type="dxa"/>
              <w:right w:w="20" w:type="dxa"/>
            </w:tcMar>
            <w:vAlign w:val="bottom"/>
          </w:tcPr>
          <w:p w14:paraId="27E08253" w14:textId="77777777" w:rsidR="00A85061" w:rsidRDefault="00F04891">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25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255" w14:textId="77777777" w:rsidR="00A85061" w:rsidRDefault="00F04891">
            <w:pPr>
              <w:jc w:val="right"/>
              <w:textAlignment w:val="bottom"/>
            </w:pPr>
            <w:r>
              <w:rPr>
                <w:rFonts w:ascii="sans-serif" w:eastAsia="sans-serif" w:hAnsi="sans-serif" w:cs="sans-serif"/>
                <w:color w:val="000000"/>
                <w:sz w:val="20"/>
                <w:szCs w:val="20"/>
              </w:rPr>
              <w:t>2,090 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25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57"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258"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259" w14:textId="77777777" w:rsidR="00A85061" w:rsidRDefault="00F04891">
            <w:pPr>
              <w:jc w:val="right"/>
              <w:textAlignment w:val="bottom"/>
            </w:pPr>
            <w:r>
              <w:rPr>
                <w:rFonts w:ascii="sans-serif" w:eastAsia="sans-serif" w:hAnsi="sans-serif" w:cs="sans-serif"/>
                <w:color w:val="000000"/>
                <w:sz w:val="20"/>
                <w:szCs w:val="20"/>
              </w:rPr>
              <w:t>2,144 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25A" w14:textId="77777777" w:rsidR="00A85061" w:rsidRDefault="00A85061">
            <w:pPr>
              <w:jc w:val="right"/>
              <w:rPr>
                <w:rFonts w:ascii="宋体"/>
              </w:rPr>
            </w:pPr>
          </w:p>
        </w:tc>
      </w:tr>
    </w:tbl>
    <w:p w14:paraId="27E0825C" w14:textId="77777777" w:rsidR="00A85061" w:rsidRDefault="00A85061"/>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A85061" w14:paraId="27E08269" w14:textId="77777777">
        <w:tc>
          <w:tcPr>
            <w:tcW w:w="50" w:type="pct"/>
            <w:shd w:val="clear" w:color="auto" w:fill="auto"/>
            <w:vAlign w:val="bottom"/>
          </w:tcPr>
          <w:p w14:paraId="27E0825D" w14:textId="77777777" w:rsidR="00A85061" w:rsidRDefault="00A85061">
            <w:pPr>
              <w:rPr>
                <w:rFonts w:ascii="宋体"/>
              </w:rPr>
            </w:pPr>
          </w:p>
        </w:tc>
        <w:tc>
          <w:tcPr>
            <w:tcW w:w="3575" w:type="pct"/>
            <w:shd w:val="clear" w:color="auto" w:fill="auto"/>
            <w:vAlign w:val="bottom"/>
          </w:tcPr>
          <w:p w14:paraId="27E0825E" w14:textId="77777777" w:rsidR="00A85061" w:rsidRDefault="00A85061">
            <w:pPr>
              <w:rPr>
                <w:rFonts w:ascii="宋体"/>
              </w:rPr>
            </w:pPr>
          </w:p>
        </w:tc>
        <w:tc>
          <w:tcPr>
            <w:tcW w:w="5" w:type="pct"/>
            <w:shd w:val="clear" w:color="auto" w:fill="auto"/>
            <w:vAlign w:val="bottom"/>
          </w:tcPr>
          <w:p w14:paraId="27E0825F" w14:textId="77777777" w:rsidR="00A85061" w:rsidRDefault="00A85061">
            <w:pPr>
              <w:rPr>
                <w:rFonts w:ascii="宋体"/>
              </w:rPr>
            </w:pPr>
          </w:p>
        </w:tc>
        <w:tc>
          <w:tcPr>
            <w:tcW w:w="50" w:type="pct"/>
            <w:shd w:val="clear" w:color="auto" w:fill="auto"/>
            <w:vAlign w:val="bottom"/>
          </w:tcPr>
          <w:p w14:paraId="27E08260" w14:textId="77777777" w:rsidR="00A85061" w:rsidRDefault="00A85061">
            <w:pPr>
              <w:rPr>
                <w:rFonts w:ascii="宋体"/>
              </w:rPr>
            </w:pPr>
          </w:p>
        </w:tc>
        <w:tc>
          <w:tcPr>
            <w:tcW w:w="611" w:type="pct"/>
            <w:shd w:val="clear" w:color="auto" w:fill="auto"/>
            <w:vAlign w:val="bottom"/>
          </w:tcPr>
          <w:p w14:paraId="27E08261" w14:textId="77777777" w:rsidR="00A85061" w:rsidRDefault="00A85061">
            <w:pPr>
              <w:rPr>
                <w:rFonts w:ascii="宋体"/>
              </w:rPr>
            </w:pPr>
          </w:p>
        </w:tc>
        <w:tc>
          <w:tcPr>
            <w:tcW w:w="5" w:type="pct"/>
            <w:shd w:val="clear" w:color="auto" w:fill="auto"/>
            <w:vAlign w:val="bottom"/>
          </w:tcPr>
          <w:p w14:paraId="27E08262" w14:textId="77777777" w:rsidR="00A85061" w:rsidRDefault="00A85061">
            <w:pPr>
              <w:rPr>
                <w:rFonts w:ascii="宋体"/>
              </w:rPr>
            </w:pPr>
          </w:p>
        </w:tc>
        <w:tc>
          <w:tcPr>
            <w:tcW w:w="5" w:type="pct"/>
            <w:shd w:val="clear" w:color="auto" w:fill="auto"/>
            <w:vAlign w:val="bottom"/>
          </w:tcPr>
          <w:p w14:paraId="27E08263" w14:textId="77777777" w:rsidR="00A85061" w:rsidRDefault="00A85061">
            <w:pPr>
              <w:rPr>
                <w:rFonts w:ascii="宋体"/>
              </w:rPr>
            </w:pPr>
          </w:p>
        </w:tc>
        <w:tc>
          <w:tcPr>
            <w:tcW w:w="26" w:type="pct"/>
            <w:shd w:val="clear" w:color="auto" w:fill="auto"/>
            <w:vAlign w:val="bottom"/>
          </w:tcPr>
          <w:p w14:paraId="27E08264" w14:textId="77777777" w:rsidR="00A85061" w:rsidRDefault="00A85061">
            <w:pPr>
              <w:rPr>
                <w:rFonts w:ascii="宋体"/>
              </w:rPr>
            </w:pPr>
          </w:p>
        </w:tc>
        <w:tc>
          <w:tcPr>
            <w:tcW w:w="5" w:type="pct"/>
            <w:shd w:val="clear" w:color="auto" w:fill="auto"/>
            <w:vAlign w:val="bottom"/>
          </w:tcPr>
          <w:p w14:paraId="27E08265" w14:textId="77777777" w:rsidR="00A85061" w:rsidRDefault="00A85061">
            <w:pPr>
              <w:rPr>
                <w:rFonts w:ascii="宋体"/>
              </w:rPr>
            </w:pPr>
          </w:p>
        </w:tc>
        <w:tc>
          <w:tcPr>
            <w:tcW w:w="50" w:type="pct"/>
            <w:shd w:val="clear" w:color="auto" w:fill="auto"/>
            <w:vAlign w:val="bottom"/>
          </w:tcPr>
          <w:p w14:paraId="27E08266" w14:textId="77777777" w:rsidR="00A85061" w:rsidRDefault="00A85061">
            <w:pPr>
              <w:rPr>
                <w:rFonts w:ascii="宋体"/>
              </w:rPr>
            </w:pPr>
          </w:p>
        </w:tc>
        <w:tc>
          <w:tcPr>
            <w:tcW w:w="611" w:type="pct"/>
            <w:shd w:val="clear" w:color="auto" w:fill="auto"/>
            <w:vAlign w:val="bottom"/>
          </w:tcPr>
          <w:p w14:paraId="27E08267" w14:textId="77777777" w:rsidR="00A85061" w:rsidRDefault="00A85061">
            <w:pPr>
              <w:rPr>
                <w:rFonts w:ascii="宋体"/>
              </w:rPr>
            </w:pPr>
          </w:p>
        </w:tc>
        <w:tc>
          <w:tcPr>
            <w:tcW w:w="5" w:type="pct"/>
            <w:shd w:val="clear" w:color="auto" w:fill="auto"/>
            <w:vAlign w:val="bottom"/>
          </w:tcPr>
          <w:p w14:paraId="27E08268" w14:textId="77777777" w:rsidR="00A85061" w:rsidRDefault="00A85061">
            <w:pPr>
              <w:rPr>
                <w:rFonts w:ascii="宋体"/>
              </w:rPr>
            </w:pPr>
          </w:p>
        </w:tc>
      </w:tr>
      <w:tr w:rsidR="00A85061" w14:paraId="27E0826E" w14:textId="77777777">
        <w:tc>
          <w:tcPr>
            <w:tcW w:w="0" w:type="auto"/>
            <w:gridSpan w:val="3"/>
            <w:shd w:val="clear" w:color="auto" w:fill="auto"/>
            <w:tcMar>
              <w:top w:w="0" w:type="dxa"/>
              <w:left w:w="20" w:type="dxa"/>
              <w:bottom w:w="0" w:type="dxa"/>
              <w:right w:w="20" w:type="dxa"/>
            </w:tcMar>
            <w:vAlign w:val="bottom"/>
          </w:tcPr>
          <w:p w14:paraId="27E0826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6B"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26C"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6D"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8273" w14:textId="77777777">
        <w:tc>
          <w:tcPr>
            <w:tcW w:w="0" w:type="auto"/>
            <w:gridSpan w:val="3"/>
            <w:shd w:val="clear" w:color="auto" w:fill="auto"/>
            <w:tcMar>
              <w:top w:w="40" w:type="dxa"/>
              <w:left w:w="20" w:type="dxa"/>
              <w:bottom w:w="40" w:type="dxa"/>
              <w:right w:w="20" w:type="dxa"/>
            </w:tcMar>
            <w:vAlign w:val="bottom"/>
          </w:tcPr>
          <w:p w14:paraId="27E0826F"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270"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27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272"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8278" w14:textId="77777777">
        <w:trPr>
          <w:trHeight w:val="60"/>
        </w:trPr>
        <w:tc>
          <w:tcPr>
            <w:tcW w:w="0" w:type="auto"/>
            <w:gridSpan w:val="3"/>
            <w:shd w:val="clear" w:color="auto" w:fill="auto"/>
            <w:tcMar>
              <w:top w:w="0" w:type="dxa"/>
              <w:left w:w="20" w:type="dxa"/>
              <w:bottom w:w="0" w:type="dxa"/>
              <w:right w:w="20" w:type="dxa"/>
            </w:tcMar>
            <w:vAlign w:val="bottom"/>
          </w:tcPr>
          <w:p w14:paraId="27E0827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27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27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277" w14:textId="77777777" w:rsidR="00A85061" w:rsidRDefault="00A85061">
            <w:pPr>
              <w:rPr>
                <w:rFonts w:ascii="宋体"/>
              </w:rPr>
            </w:pPr>
          </w:p>
        </w:tc>
      </w:tr>
      <w:tr w:rsidR="00A85061" w14:paraId="27E0827B" w14:textId="77777777">
        <w:tc>
          <w:tcPr>
            <w:tcW w:w="0" w:type="auto"/>
            <w:gridSpan w:val="3"/>
            <w:shd w:val="clear" w:color="auto" w:fill="auto"/>
            <w:tcMar>
              <w:top w:w="40" w:type="dxa"/>
              <w:left w:w="20" w:type="dxa"/>
              <w:bottom w:w="40" w:type="dxa"/>
              <w:right w:w="20" w:type="dxa"/>
            </w:tcMar>
            <w:vAlign w:val="bottom"/>
          </w:tcPr>
          <w:p w14:paraId="27E08279" w14:textId="77777777" w:rsidR="00A85061" w:rsidRDefault="00F04891">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27E0827A"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284" w14:textId="77777777">
        <w:tc>
          <w:tcPr>
            <w:tcW w:w="0" w:type="auto"/>
            <w:gridSpan w:val="3"/>
            <w:shd w:val="clear" w:color="auto" w:fill="E2EFD9"/>
            <w:tcMar>
              <w:top w:w="40" w:type="dxa"/>
              <w:left w:w="20" w:type="dxa"/>
              <w:bottom w:w="40" w:type="dxa"/>
              <w:right w:w="20" w:type="dxa"/>
            </w:tcMar>
            <w:vAlign w:val="bottom"/>
          </w:tcPr>
          <w:p w14:paraId="27E0827C" w14:textId="77777777" w:rsidR="00A85061" w:rsidRDefault="00F04891">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27E0827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27E" w14:textId="77777777" w:rsidR="00A85061" w:rsidRDefault="00F04891">
            <w:pPr>
              <w:jc w:val="right"/>
              <w:textAlignment w:val="bottom"/>
            </w:pPr>
            <w:r>
              <w:rPr>
                <w:rFonts w:ascii="sans-serif" w:eastAsia="sans-serif" w:hAnsi="sans-serif" w:cs="sans-serif"/>
                <w:color w:val="000000"/>
                <w:sz w:val="20"/>
                <w:szCs w:val="20"/>
              </w:rPr>
              <w:t>700 </w:t>
            </w:r>
          </w:p>
        </w:tc>
        <w:tc>
          <w:tcPr>
            <w:tcW w:w="0" w:type="auto"/>
            <w:shd w:val="clear" w:color="auto" w:fill="E2EFD9"/>
            <w:tcMar>
              <w:top w:w="40" w:type="dxa"/>
              <w:left w:w="0" w:type="dxa"/>
              <w:bottom w:w="40" w:type="dxa"/>
              <w:right w:w="20" w:type="dxa"/>
            </w:tcMar>
            <w:vAlign w:val="bottom"/>
          </w:tcPr>
          <w:p w14:paraId="27E0827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8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28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282" w14:textId="77777777" w:rsidR="00A85061" w:rsidRDefault="00F04891">
            <w:pPr>
              <w:jc w:val="right"/>
              <w:textAlignment w:val="bottom"/>
            </w:pPr>
            <w:r>
              <w:rPr>
                <w:rFonts w:ascii="sans-serif" w:eastAsia="sans-serif" w:hAnsi="sans-serif" w:cs="sans-serif"/>
                <w:color w:val="000000"/>
                <w:sz w:val="20"/>
                <w:szCs w:val="20"/>
              </w:rPr>
              <w:t>630 </w:t>
            </w:r>
          </w:p>
        </w:tc>
        <w:tc>
          <w:tcPr>
            <w:tcW w:w="0" w:type="auto"/>
            <w:shd w:val="clear" w:color="auto" w:fill="E2EFD9"/>
            <w:tcMar>
              <w:top w:w="40" w:type="dxa"/>
              <w:left w:w="0" w:type="dxa"/>
              <w:bottom w:w="40" w:type="dxa"/>
              <w:right w:w="20" w:type="dxa"/>
            </w:tcMar>
            <w:vAlign w:val="bottom"/>
          </w:tcPr>
          <w:p w14:paraId="27E08283" w14:textId="77777777" w:rsidR="00A85061" w:rsidRDefault="00A85061">
            <w:pPr>
              <w:jc w:val="right"/>
              <w:rPr>
                <w:rFonts w:ascii="宋体"/>
              </w:rPr>
            </w:pPr>
          </w:p>
        </w:tc>
      </w:tr>
      <w:tr w:rsidR="00A85061" w14:paraId="27E0828B" w14:textId="77777777">
        <w:tc>
          <w:tcPr>
            <w:tcW w:w="0" w:type="auto"/>
            <w:gridSpan w:val="3"/>
            <w:shd w:val="clear" w:color="auto" w:fill="FFFFFF"/>
            <w:tcMar>
              <w:top w:w="40" w:type="dxa"/>
              <w:left w:w="20" w:type="dxa"/>
              <w:bottom w:w="40" w:type="dxa"/>
              <w:right w:w="20" w:type="dxa"/>
            </w:tcMar>
            <w:vAlign w:val="bottom"/>
          </w:tcPr>
          <w:p w14:paraId="27E08285" w14:textId="77777777" w:rsidR="00A85061" w:rsidRDefault="00F04891">
            <w:pPr>
              <w:textAlignment w:val="bottom"/>
            </w:pPr>
            <w:r>
              <w:rPr>
                <w:rFonts w:ascii="sans-serif" w:eastAsia="sans-serif" w:hAnsi="sans-serif" w:cs="sans-serif"/>
                <w:color w:val="000000"/>
                <w:sz w:val="20"/>
                <w:szCs w:val="20"/>
              </w:rPr>
              <w:t>Deferred revenue (1)</w:t>
            </w:r>
          </w:p>
        </w:tc>
        <w:tc>
          <w:tcPr>
            <w:tcW w:w="0" w:type="auto"/>
            <w:gridSpan w:val="2"/>
            <w:shd w:val="clear" w:color="auto" w:fill="FFFFFF"/>
            <w:tcMar>
              <w:top w:w="40" w:type="dxa"/>
              <w:left w:w="20" w:type="dxa"/>
              <w:bottom w:w="40" w:type="dxa"/>
              <w:right w:w="0" w:type="dxa"/>
            </w:tcMar>
            <w:vAlign w:val="bottom"/>
          </w:tcPr>
          <w:p w14:paraId="27E08286" w14:textId="77777777" w:rsidR="00A85061" w:rsidRDefault="00F04891">
            <w:pPr>
              <w:jc w:val="right"/>
              <w:textAlignment w:val="bottom"/>
            </w:pPr>
            <w:r>
              <w:rPr>
                <w:rFonts w:ascii="sans-serif" w:eastAsia="sans-serif" w:hAnsi="sans-serif" w:cs="sans-serif"/>
                <w:color w:val="000000"/>
                <w:sz w:val="20"/>
                <w:szCs w:val="20"/>
              </w:rPr>
              <w:t>333 </w:t>
            </w:r>
          </w:p>
        </w:tc>
        <w:tc>
          <w:tcPr>
            <w:tcW w:w="0" w:type="auto"/>
            <w:shd w:val="clear" w:color="auto" w:fill="FFFFFF"/>
            <w:tcMar>
              <w:top w:w="40" w:type="dxa"/>
              <w:left w:w="0" w:type="dxa"/>
              <w:bottom w:w="40" w:type="dxa"/>
              <w:right w:w="20" w:type="dxa"/>
            </w:tcMar>
            <w:vAlign w:val="bottom"/>
          </w:tcPr>
          <w:p w14:paraId="27E0828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8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89" w14:textId="77777777" w:rsidR="00A85061" w:rsidRDefault="00F04891">
            <w:pPr>
              <w:jc w:val="right"/>
              <w:textAlignment w:val="bottom"/>
            </w:pPr>
            <w:r>
              <w:rPr>
                <w:rFonts w:ascii="sans-serif" w:eastAsia="sans-serif" w:hAnsi="sans-serif" w:cs="sans-serif"/>
                <w:color w:val="000000"/>
                <w:sz w:val="20"/>
                <w:szCs w:val="20"/>
              </w:rPr>
              <w:t>288 </w:t>
            </w:r>
          </w:p>
        </w:tc>
        <w:tc>
          <w:tcPr>
            <w:tcW w:w="0" w:type="auto"/>
            <w:shd w:val="clear" w:color="auto" w:fill="FFFFFF"/>
            <w:tcMar>
              <w:top w:w="40" w:type="dxa"/>
              <w:left w:w="0" w:type="dxa"/>
              <w:bottom w:w="40" w:type="dxa"/>
              <w:right w:w="20" w:type="dxa"/>
            </w:tcMar>
            <w:vAlign w:val="bottom"/>
          </w:tcPr>
          <w:p w14:paraId="27E0828A" w14:textId="77777777" w:rsidR="00A85061" w:rsidRDefault="00A85061">
            <w:pPr>
              <w:jc w:val="right"/>
              <w:rPr>
                <w:rFonts w:ascii="宋体"/>
              </w:rPr>
            </w:pPr>
          </w:p>
        </w:tc>
      </w:tr>
      <w:tr w:rsidR="00A85061" w14:paraId="27E08292" w14:textId="77777777">
        <w:tc>
          <w:tcPr>
            <w:tcW w:w="0" w:type="auto"/>
            <w:gridSpan w:val="3"/>
            <w:shd w:val="clear" w:color="auto" w:fill="E2EFD9"/>
            <w:tcMar>
              <w:top w:w="40" w:type="dxa"/>
              <w:left w:w="20" w:type="dxa"/>
              <w:bottom w:w="40" w:type="dxa"/>
              <w:right w:w="20" w:type="dxa"/>
            </w:tcMar>
            <w:vAlign w:val="bottom"/>
          </w:tcPr>
          <w:p w14:paraId="27E0828C" w14:textId="77777777" w:rsidR="00A85061" w:rsidRDefault="00F04891">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E2EFD9"/>
            <w:tcMar>
              <w:top w:w="40" w:type="dxa"/>
              <w:left w:w="20" w:type="dxa"/>
              <w:bottom w:w="40" w:type="dxa"/>
              <w:right w:w="0" w:type="dxa"/>
            </w:tcMar>
            <w:vAlign w:val="bottom"/>
          </w:tcPr>
          <w:p w14:paraId="27E0828D" w14:textId="77777777" w:rsidR="00A85061" w:rsidRDefault="00F04891">
            <w:pPr>
              <w:jc w:val="right"/>
              <w:textAlignment w:val="bottom"/>
            </w:pPr>
            <w:r>
              <w:rPr>
                <w:rFonts w:ascii="sans-serif" w:eastAsia="sans-serif" w:hAnsi="sans-serif" w:cs="sans-serif"/>
                <w:color w:val="000000"/>
                <w:sz w:val="20"/>
                <w:szCs w:val="20"/>
              </w:rPr>
              <w:t>265 </w:t>
            </w:r>
          </w:p>
        </w:tc>
        <w:tc>
          <w:tcPr>
            <w:tcW w:w="0" w:type="auto"/>
            <w:shd w:val="clear" w:color="auto" w:fill="E2EFD9"/>
            <w:tcMar>
              <w:top w:w="40" w:type="dxa"/>
              <w:left w:w="0" w:type="dxa"/>
              <w:bottom w:w="40" w:type="dxa"/>
              <w:right w:w="20" w:type="dxa"/>
            </w:tcMar>
            <w:vAlign w:val="bottom"/>
          </w:tcPr>
          <w:p w14:paraId="27E0828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8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90" w14:textId="77777777" w:rsidR="00A85061" w:rsidRDefault="00F04891">
            <w:pPr>
              <w:jc w:val="right"/>
              <w:textAlignment w:val="bottom"/>
            </w:pPr>
            <w:r>
              <w:rPr>
                <w:rFonts w:ascii="sans-serif" w:eastAsia="sans-serif" w:hAnsi="sans-serif" w:cs="sans-serif"/>
                <w:color w:val="000000"/>
                <w:sz w:val="20"/>
                <w:szCs w:val="20"/>
              </w:rPr>
              <w:t>297 </w:t>
            </w:r>
          </w:p>
        </w:tc>
        <w:tc>
          <w:tcPr>
            <w:tcW w:w="0" w:type="auto"/>
            <w:shd w:val="clear" w:color="auto" w:fill="E2EFD9"/>
            <w:tcMar>
              <w:top w:w="40" w:type="dxa"/>
              <w:left w:w="0" w:type="dxa"/>
              <w:bottom w:w="40" w:type="dxa"/>
              <w:right w:w="20" w:type="dxa"/>
            </w:tcMar>
            <w:vAlign w:val="bottom"/>
          </w:tcPr>
          <w:p w14:paraId="27E08291" w14:textId="77777777" w:rsidR="00A85061" w:rsidRDefault="00A85061">
            <w:pPr>
              <w:jc w:val="right"/>
              <w:rPr>
                <w:rFonts w:ascii="宋体"/>
              </w:rPr>
            </w:pPr>
          </w:p>
        </w:tc>
      </w:tr>
      <w:tr w:rsidR="00A85061" w14:paraId="27E08299" w14:textId="77777777">
        <w:tc>
          <w:tcPr>
            <w:tcW w:w="0" w:type="auto"/>
            <w:gridSpan w:val="3"/>
            <w:shd w:val="clear" w:color="auto" w:fill="FFFFFF"/>
            <w:tcMar>
              <w:top w:w="40" w:type="dxa"/>
              <w:left w:w="20" w:type="dxa"/>
              <w:bottom w:w="40" w:type="dxa"/>
              <w:right w:w="20" w:type="dxa"/>
            </w:tcMar>
            <w:vAlign w:val="bottom"/>
          </w:tcPr>
          <w:p w14:paraId="27E08293" w14:textId="77777777" w:rsidR="00A85061" w:rsidRDefault="00F04891">
            <w:pPr>
              <w:textAlignment w:val="bottom"/>
            </w:pPr>
            <w:r>
              <w:rPr>
                <w:rFonts w:ascii="sans-serif" w:eastAsia="sans-serif" w:hAnsi="sans-serif" w:cs="sans-serif"/>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27E08294" w14:textId="77777777" w:rsidR="00A85061" w:rsidRDefault="00F04891">
            <w:pPr>
              <w:jc w:val="right"/>
              <w:textAlignment w:val="bottom"/>
            </w:pPr>
            <w:r>
              <w:rPr>
                <w:rFonts w:ascii="sans-serif" w:eastAsia="sans-serif" w:hAnsi="sans-serif" w:cs="sans-serif"/>
                <w:color w:val="000000"/>
                <w:sz w:val="20"/>
                <w:szCs w:val="20"/>
              </w:rPr>
              <w:t>135 </w:t>
            </w:r>
          </w:p>
        </w:tc>
        <w:tc>
          <w:tcPr>
            <w:tcW w:w="0" w:type="auto"/>
            <w:shd w:val="clear" w:color="auto" w:fill="FFFFFF"/>
            <w:tcMar>
              <w:top w:w="40" w:type="dxa"/>
              <w:left w:w="0" w:type="dxa"/>
              <w:bottom w:w="40" w:type="dxa"/>
              <w:right w:w="20" w:type="dxa"/>
            </w:tcMar>
            <w:vAlign w:val="bottom"/>
          </w:tcPr>
          <w:p w14:paraId="27E0829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9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97" w14:textId="77777777" w:rsidR="00A85061" w:rsidRDefault="00F04891">
            <w:pPr>
              <w:jc w:val="right"/>
              <w:textAlignment w:val="bottom"/>
            </w:pPr>
            <w:r>
              <w:rPr>
                <w:rFonts w:ascii="sans-serif" w:eastAsia="sans-serif" w:hAnsi="sans-serif" w:cs="sans-serif"/>
                <w:color w:val="000000"/>
                <w:sz w:val="20"/>
                <w:szCs w:val="20"/>
              </w:rPr>
              <w:t>121 </w:t>
            </w:r>
          </w:p>
        </w:tc>
        <w:tc>
          <w:tcPr>
            <w:tcW w:w="0" w:type="auto"/>
            <w:shd w:val="clear" w:color="auto" w:fill="FFFFFF"/>
            <w:tcMar>
              <w:top w:w="40" w:type="dxa"/>
              <w:left w:w="0" w:type="dxa"/>
              <w:bottom w:w="40" w:type="dxa"/>
              <w:right w:w="20" w:type="dxa"/>
            </w:tcMar>
            <w:vAlign w:val="bottom"/>
          </w:tcPr>
          <w:p w14:paraId="27E08298" w14:textId="77777777" w:rsidR="00A85061" w:rsidRDefault="00A85061">
            <w:pPr>
              <w:jc w:val="right"/>
              <w:rPr>
                <w:rFonts w:ascii="宋体"/>
              </w:rPr>
            </w:pPr>
          </w:p>
        </w:tc>
      </w:tr>
      <w:tr w:rsidR="00A85061" w14:paraId="27E082A0" w14:textId="77777777">
        <w:tc>
          <w:tcPr>
            <w:tcW w:w="0" w:type="auto"/>
            <w:gridSpan w:val="3"/>
            <w:shd w:val="clear" w:color="auto" w:fill="E2EFD9"/>
            <w:tcMar>
              <w:top w:w="40" w:type="dxa"/>
              <w:left w:w="20" w:type="dxa"/>
              <w:bottom w:w="40" w:type="dxa"/>
              <w:right w:w="20" w:type="dxa"/>
            </w:tcMar>
            <w:vAlign w:val="bottom"/>
          </w:tcPr>
          <w:p w14:paraId="27E0829A" w14:textId="77777777" w:rsidR="00A85061" w:rsidRDefault="00F04891">
            <w:pPr>
              <w:textAlignment w:val="bottom"/>
            </w:pPr>
            <w:r>
              <w:rPr>
                <w:rFonts w:ascii="sans-serif" w:eastAsia="sans-serif" w:hAnsi="sans-serif" w:cs="sans-serif"/>
                <w:color w:val="000000"/>
                <w:sz w:val="20"/>
                <w:szCs w:val="20"/>
              </w:rPr>
              <w:t>Licenses and royalties</w:t>
            </w:r>
          </w:p>
        </w:tc>
        <w:tc>
          <w:tcPr>
            <w:tcW w:w="0" w:type="auto"/>
            <w:gridSpan w:val="2"/>
            <w:shd w:val="clear" w:color="auto" w:fill="E2EFD9"/>
            <w:tcMar>
              <w:top w:w="40" w:type="dxa"/>
              <w:left w:w="20" w:type="dxa"/>
              <w:bottom w:w="40" w:type="dxa"/>
              <w:right w:w="0" w:type="dxa"/>
            </w:tcMar>
            <w:vAlign w:val="bottom"/>
          </w:tcPr>
          <w:p w14:paraId="27E0829B" w14:textId="77777777" w:rsidR="00A85061" w:rsidRDefault="00F04891">
            <w:pPr>
              <w:jc w:val="right"/>
              <w:textAlignment w:val="bottom"/>
            </w:pPr>
            <w:r>
              <w:rPr>
                <w:rFonts w:ascii="sans-serif" w:eastAsia="sans-serif" w:hAnsi="sans-serif" w:cs="sans-serif"/>
                <w:color w:val="000000"/>
                <w:sz w:val="20"/>
                <w:szCs w:val="20"/>
              </w:rPr>
              <w:t>96 </w:t>
            </w:r>
          </w:p>
        </w:tc>
        <w:tc>
          <w:tcPr>
            <w:tcW w:w="0" w:type="auto"/>
            <w:shd w:val="clear" w:color="auto" w:fill="E2EFD9"/>
            <w:tcMar>
              <w:top w:w="40" w:type="dxa"/>
              <w:left w:w="0" w:type="dxa"/>
              <w:bottom w:w="40" w:type="dxa"/>
              <w:right w:w="20" w:type="dxa"/>
            </w:tcMar>
            <w:vAlign w:val="bottom"/>
          </w:tcPr>
          <w:p w14:paraId="27E0829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9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9E" w14:textId="77777777" w:rsidR="00A85061" w:rsidRDefault="00F04891">
            <w:pPr>
              <w:jc w:val="right"/>
              <w:textAlignment w:val="bottom"/>
            </w:pPr>
            <w:r>
              <w:rPr>
                <w:rFonts w:ascii="sans-serif" w:eastAsia="sans-serif" w:hAnsi="sans-serif" w:cs="sans-serif"/>
                <w:color w:val="000000"/>
                <w:sz w:val="20"/>
                <w:szCs w:val="20"/>
              </w:rPr>
              <w:t>128 </w:t>
            </w:r>
          </w:p>
        </w:tc>
        <w:tc>
          <w:tcPr>
            <w:tcW w:w="0" w:type="auto"/>
            <w:shd w:val="clear" w:color="auto" w:fill="E2EFD9"/>
            <w:tcMar>
              <w:top w:w="40" w:type="dxa"/>
              <w:left w:w="0" w:type="dxa"/>
              <w:bottom w:w="40" w:type="dxa"/>
              <w:right w:w="20" w:type="dxa"/>
            </w:tcMar>
            <w:vAlign w:val="bottom"/>
          </w:tcPr>
          <w:p w14:paraId="27E0829F" w14:textId="77777777" w:rsidR="00A85061" w:rsidRDefault="00A85061">
            <w:pPr>
              <w:jc w:val="right"/>
              <w:rPr>
                <w:rFonts w:ascii="宋体"/>
              </w:rPr>
            </w:pPr>
          </w:p>
        </w:tc>
      </w:tr>
      <w:tr w:rsidR="00A85061" w14:paraId="27E082A7" w14:textId="77777777">
        <w:tc>
          <w:tcPr>
            <w:tcW w:w="0" w:type="auto"/>
            <w:gridSpan w:val="3"/>
            <w:shd w:val="clear" w:color="auto" w:fill="FFFFFF"/>
            <w:tcMar>
              <w:top w:w="40" w:type="dxa"/>
              <w:left w:w="20" w:type="dxa"/>
              <w:bottom w:w="40" w:type="dxa"/>
              <w:right w:w="20" w:type="dxa"/>
            </w:tcMar>
            <w:vAlign w:val="bottom"/>
          </w:tcPr>
          <w:p w14:paraId="27E082A1" w14:textId="77777777" w:rsidR="00A85061" w:rsidRDefault="00F04891">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27E082A2" w14:textId="77777777" w:rsidR="00A85061" w:rsidRDefault="00F04891">
            <w:pPr>
              <w:jc w:val="right"/>
              <w:textAlignment w:val="bottom"/>
            </w:pPr>
            <w:r>
              <w:rPr>
                <w:rFonts w:ascii="sans-serif" w:eastAsia="sans-serif" w:hAnsi="sans-serif" w:cs="sans-serif"/>
                <w:color w:val="000000"/>
                <w:sz w:val="20"/>
                <w:szCs w:val="20"/>
              </w:rPr>
              <w:t>96 </w:t>
            </w:r>
          </w:p>
        </w:tc>
        <w:tc>
          <w:tcPr>
            <w:tcW w:w="0" w:type="auto"/>
            <w:shd w:val="clear" w:color="auto" w:fill="FFFFFF"/>
            <w:tcMar>
              <w:top w:w="40" w:type="dxa"/>
              <w:left w:w="0" w:type="dxa"/>
              <w:bottom w:w="40" w:type="dxa"/>
              <w:right w:w="20" w:type="dxa"/>
            </w:tcMar>
            <w:vAlign w:val="bottom"/>
          </w:tcPr>
          <w:p w14:paraId="27E082A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A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A5" w14:textId="77777777" w:rsidR="00A85061" w:rsidRDefault="00F04891">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27E082A6" w14:textId="77777777" w:rsidR="00A85061" w:rsidRDefault="00A85061">
            <w:pPr>
              <w:jc w:val="right"/>
              <w:rPr>
                <w:rFonts w:ascii="宋体"/>
              </w:rPr>
            </w:pPr>
          </w:p>
        </w:tc>
      </w:tr>
      <w:tr w:rsidR="00A85061" w14:paraId="27E082AC" w14:textId="77777777">
        <w:trPr>
          <w:hidden/>
        </w:trPr>
        <w:tc>
          <w:tcPr>
            <w:tcW w:w="0" w:type="auto"/>
            <w:gridSpan w:val="3"/>
            <w:shd w:val="clear" w:color="auto" w:fill="auto"/>
            <w:vAlign w:val="bottom"/>
          </w:tcPr>
          <w:p w14:paraId="27E082A8" w14:textId="77777777" w:rsidR="00A85061" w:rsidRDefault="00A85061">
            <w:pPr>
              <w:rPr>
                <w:rFonts w:ascii="宋体"/>
                <w:vanish/>
              </w:rPr>
            </w:pPr>
          </w:p>
        </w:tc>
        <w:tc>
          <w:tcPr>
            <w:tcW w:w="0" w:type="auto"/>
            <w:gridSpan w:val="3"/>
            <w:shd w:val="clear" w:color="auto" w:fill="auto"/>
            <w:vAlign w:val="bottom"/>
          </w:tcPr>
          <w:p w14:paraId="27E082A9" w14:textId="77777777" w:rsidR="00A85061" w:rsidRDefault="00A85061">
            <w:pPr>
              <w:rPr>
                <w:rFonts w:ascii="宋体"/>
                <w:vanish/>
              </w:rPr>
            </w:pPr>
          </w:p>
        </w:tc>
        <w:tc>
          <w:tcPr>
            <w:tcW w:w="0" w:type="auto"/>
            <w:gridSpan w:val="3"/>
            <w:shd w:val="clear" w:color="auto" w:fill="auto"/>
            <w:vAlign w:val="bottom"/>
          </w:tcPr>
          <w:p w14:paraId="27E082AA" w14:textId="77777777" w:rsidR="00A85061" w:rsidRDefault="00A85061">
            <w:pPr>
              <w:rPr>
                <w:rFonts w:ascii="宋体"/>
                <w:vanish/>
              </w:rPr>
            </w:pPr>
          </w:p>
        </w:tc>
        <w:tc>
          <w:tcPr>
            <w:tcW w:w="0" w:type="auto"/>
            <w:gridSpan w:val="3"/>
            <w:shd w:val="clear" w:color="auto" w:fill="auto"/>
            <w:vAlign w:val="bottom"/>
          </w:tcPr>
          <w:p w14:paraId="27E082AB" w14:textId="77777777" w:rsidR="00A85061" w:rsidRDefault="00A85061">
            <w:pPr>
              <w:rPr>
                <w:rFonts w:ascii="宋体"/>
                <w:vanish/>
              </w:rPr>
            </w:pPr>
          </w:p>
        </w:tc>
      </w:tr>
      <w:tr w:rsidR="00A85061" w14:paraId="27E082B3" w14:textId="77777777">
        <w:tc>
          <w:tcPr>
            <w:tcW w:w="0" w:type="auto"/>
            <w:gridSpan w:val="3"/>
            <w:shd w:val="clear" w:color="auto" w:fill="E2EFD9"/>
            <w:tcMar>
              <w:top w:w="40" w:type="dxa"/>
              <w:left w:w="20" w:type="dxa"/>
              <w:bottom w:w="40" w:type="dxa"/>
              <w:right w:w="20" w:type="dxa"/>
            </w:tcMar>
            <w:vAlign w:val="bottom"/>
          </w:tcPr>
          <w:p w14:paraId="27E082AD" w14:textId="77777777" w:rsidR="00A85061" w:rsidRDefault="00F04891">
            <w:pPr>
              <w:textAlignment w:val="bottom"/>
            </w:pPr>
            <w:r>
              <w:rPr>
                <w:rFonts w:ascii="sans-serif" w:eastAsia="sans-serif" w:hAnsi="sans-serif" w:cs="sans-serif"/>
                <w:color w:val="000000"/>
                <w:sz w:val="20"/>
                <w:szCs w:val="20"/>
              </w:rPr>
              <w:t>Product warranty and return provisions</w:t>
            </w:r>
          </w:p>
        </w:tc>
        <w:tc>
          <w:tcPr>
            <w:tcW w:w="0" w:type="auto"/>
            <w:gridSpan w:val="2"/>
            <w:shd w:val="clear" w:color="auto" w:fill="E2EFD9"/>
            <w:tcMar>
              <w:top w:w="40" w:type="dxa"/>
              <w:left w:w="20" w:type="dxa"/>
              <w:bottom w:w="40" w:type="dxa"/>
              <w:right w:w="0" w:type="dxa"/>
            </w:tcMar>
            <w:vAlign w:val="bottom"/>
          </w:tcPr>
          <w:p w14:paraId="27E082AE" w14:textId="77777777" w:rsidR="00A85061" w:rsidRDefault="00F04891">
            <w:pPr>
              <w:jc w:val="right"/>
              <w:textAlignment w:val="bottom"/>
            </w:pPr>
            <w:r>
              <w:rPr>
                <w:rFonts w:ascii="sans-serif" w:eastAsia="sans-serif" w:hAnsi="sans-serif" w:cs="sans-serif"/>
                <w:color w:val="000000"/>
                <w:sz w:val="20"/>
                <w:szCs w:val="20"/>
              </w:rPr>
              <w:t>45 </w:t>
            </w:r>
          </w:p>
        </w:tc>
        <w:tc>
          <w:tcPr>
            <w:tcW w:w="0" w:type="auto"/>
            <w:shd w:val="clear" w:color="auto" w:fill="E2EFD9"/>
            <w:tcMar>
              <w:top w:w="40" w:type="dxa"/>
              <w:left w:w="0" w:type="dxa"/>
              <w:bottom w:w="40" w:type="dxa"/>
              <w:right w:w="20" w:type="dxa"/>
            </w:tcMar>
            <w:vAlign w:val="bottom"/>
          </w:tcPr>
          <w:p w14:paraId="27E082A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B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B1" w14:textId="77777777" w:rsidR="00A85061" w:rsidRDefault="00F04891">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27E082B2" w14:textId="77777777" w:rsidR="00A85061" w:rsidRDefault="00A85061">
            <w:pPr>
              <w:jc w:val="right"/>
              <w:rPr>
                <w:rFonts w:ascii="宋体"/>
              </w:rPr>
            </w:pPr>
          </w:p>
        </w:tc>
      </w:tr>
      <w:tr w:rsidR="00A85061" w14:paraId="27E082BA" w14:textId="77777777">
        <w:tc>
          <w:tcPr>
            <w:tcW w:w="0" w:type="auto"/>
            <w:gridSpan w:val="3"/>
            <w:shd w:val="clear" w:color="auto" w:fill="FFFFFF"/>
            <w:tcMar>
              <w:top w:w="40" w:type="dxa"/>
              <w:left w:w="20" w:type="dxa"/>
              <w:bottom w:w="40" w:type="dxa"/>
              <w:right w:w="20" w:type="dxa"/>
            </w:tcMar>
            <w:vAlign w:val="bottom"/>
          </w:tcPr>
          <w:p w14:paraId="27E082B4" w14:textId="77777777" w:rsidR="00A85061" w:rsidRDefault="00F04891">
            <w:pPr>
              <w:textAlignment w:val="bottom"/>
            </w:pPr>
            <w:r>
              <w:rPr>
                <w:rFonts w:ascii="sans-serif" w:eastAsia="sans-serif" w:hAnsi="sans-serif" w:cs="sans-serif"/>
                <w:color w:val="000000"/>
                <w:sz w:val="20"/>
                <w:szCs w:val="20"/>
              </w:rPr>
              <w:t>Professional service fees</w:t>
            </w:r>
          </w:p>
        </w:tc>
        <w:tc>
          <w:tcPr>
            <w:tcW w:w="0" w:type="auto"/>
            <w:gridSpan w:val="2"/>
            <w:shd w:val="clear" w:color="auto" w:fill="FFFFFF"/>
            <w:tcMar>
              <w:top w:w="40" w:type="dxa"/>
              <w:left w:w="20" w:type="dxa"/>
              <w:bottom w:w="40" w:type="dxa"/>
              <w:right w:w="0" w:type="dxa"/>
            </w:tcMar>
            <w:vAlign w:val="bottom"/>
          </w:tcPr>
          <w:p w14:paraId="27E082B5" w14:textId="77777777" w:rsidR="00A85061" w:rsidRDefault="00F04891">
            <w:pPr>
              <w:jc w:val="right"/>
              <w:textAlignment w:val="bottom"/>
            </w:pPr>
            <w:r>
              <w:rPr>
                <w:rFonts w:ascii="sans-serif" w:eastAsia="sans-serif" w:hAnsi="sans-serif" w:cs="sans-serif"/>
                <w:color w:val="000000"/>
                <w:sz w:val="20"/>
                <w:szCs w:val="20"/>
              </w:rPr>
              <w:t>33 </w:t>
            </w:r>
          </w:p>
        </w:tc>
        <w:tc>
          <w:tcPr>
            <w:tcW w:w="0" w:type="auto"/>
            <w:shd w:val="clear" w:color="auto" w:fill="FFFFFF"/>
            <w:tcMar>
              <w:top w:w="40" w:type="dxa"/>
              <w:left w:w="0" w:type="dxa"/>
              <w:bottom w:w="40" w:type="dxa"/>
              <w:right w:w="20" w:type="dxa"/>
            </w:tcMar>
            <w:vAlign w:val="bottom"/>
          </w:tcPr>
          <w:p w14:paraId="27E082B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B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B8" w14:textId="77777777" w:rsidR="00A85061" w:rsidRDefault="00F04891">
            <w:pPr>
              <w:jc w:val="right"/>
              <w:textAlignment w:val="bottom"/>
            </w:pPr>
            <w:r>
              <w:rPr>
                <w:rFonts w:ascii="sans-serif" w:eastAsia="sans-serif" w:hAnsi="sans-serif" w:cs="sans-serif"/>
                <w:color w:val="000000"/>
                <w:sz w:val="20"/>
                <w:szCs w:val="20"/>
              </w:rPr>
              <w:t>26 </w:t>
            </w:r>
          </w:p>
        </w:tc>
        <w:tc>
          <w:tcPr>
            <w:tcW w:w="0" w:type="auto"/>
            <w:shd w:val="clear" w:color="auto" w:fill="FFFFFF"/>
            <w:tcMar>
              <w:top w:w="40" w:type="dxa"/>
              <w:left w:w="0" w:type="dxa"/>
              <w:bottom w:w="40" w:type="dxa"/>
              <w:right w:w="20" w:type="dxa"/>
            </w:tcMar>
            <w:vAlign w:val="bottom"/>
          </w:tcPr>
          <w:p w14:paraId="27E082B9" w14:textId="77777777" w:rsidR="00A85061" w:rsidRDefault="00A85061">
            <w:pPr>
              <w:jc w:val="right"/>
              <w:rPr>
                <w:rFonts w:ascii="宋体"/>
              </w:rPr>
            </w:pPr>
          </w:p>
        </w:tc>
      </w:tr>
      <w:tr w:rsidR="00A85061" w14:paraId="27E082BF" w14:textId="77777777">
        <w:trPr>
          <w:hidden/>
        </w:trPr>
        <w:tc>
          <w:tcPr>
            <w:tcW w:w="0" w:type="auto"/>
            <w:gridSpan w:val="3"/>
            <w:shd w:val="clear" w:color="auto" w:fill="auto"/>
            <w:vAlign w:val="bottom"/>
          </w:tcPr>
          <w:p w14:paraId="27E082BB" w14:textId="77777777" w:rsidR="00A85061" w:rsidRDefault="00A85061">
            <w:pPr>
              <w:rPr>
                <w:rFonts w:ascii="宋体"/>
                <w:vanish/>
              </w:rPr>
            </w:pPr>
          </w:p>
        </w:tc>
        <w:tc>
          <w:tcPr>
            <w:tcW w:w="0" w:type="auto"/>
            <w:gridSpan w:val="3"/>
            <w:shd w:val="clear" w:color="auto" w:fill="auto"/>
            <w:vAlign w:val="bottom"/>
          </w:tcPr>
          <w:p w14:paraId="27E082BC" w14:textId="77777777" w:rsidR="00A85061" w:rsidRDefault="00A85061">
            <w:pPr>
              <w:rPr>
                <w:rFonts w:ascii="宋体"/>
                <w:vanish/>
              </w:rPr>
            </w:pPr>
          </w:p>
        </w:tc>
        <w:tc>
          <w:tcPr>
            <w:tcW w:w="0" w:type="auto"/>
            <w:gridSpan w:val="3"/>
            <w:shd w:val="clear" w:color="auto" w:fill="auto"/>
            <w:vAlign w:val="bottom"/>
          </w:tcPr>
          <w:p w14:paraId="27E082BD" w14:textId="77777777" w:rsidR="00A85061" w:rsidRDefault="00A85061">
            <w:pPr>
              <w:rPr>
                <w:rFonts w:ascii="宋体"/>
                <w:vanish/>
              </w:rPr>
            </w:pPr>
          </w:p>
        </w:tc>
        <w:tc>
          <w:tcPr>
            <w:tcW w:w="0" w:type="auto"/>
            <w:gridSpan w:val="3"/>
            <w:shd w:val="clear" w:color="auto" w:fill="auto"/>
            <w:vAlign w:val="bottom"/>
          </w:tcPr>
          <w:p w14:paraId="27E082BE" w14:textId="77777777" w:rsidR="00A85061" w:rsidRDefault="00A85061">
            <w:pPr>
              <w:rPr>
                <w:rFonts w:ascii="宋体"/>
                <w:vanish/>
              </w:rPr>
            </w:pPr>
          </w:p>
        </w:tc>
      </w:tr>
      <w:tr w:rsidR="00A85061" w14:paraId="27E082C4" w14:textId="77777777">
        <w:trPr>
          <w:hidden/>
        </w:trPr>
        <w:tc>
          <w:tcPr>
            <w:tcW w:w="0" w:type="auto"/>
            <w:gridSpan w:val="3"/>
            <w:shd w:val="clear" w:color="auto" w:fill="auto"/>
            <w:vAlign w:val="bottom"/>
          </w:tcPr>
          <w:p w14:paraId="27E082C0" w14:textId="77777777" w:rsidR="00A85061" w:rsidRDefault="00A85061">
            <w:pPr>
              <w:rPr>
                <w:rFonts w:ascii="宋体"/>
                <w:vanish/>
              </w:rPr>
            </w:pPr>
          </w:p>
        </w:tc>
        <w:tc>
          <w:tcPr>
            <w:tcW w:w="0" w:type="auto"/>
            <w:gridSpan w:val="3"/>
            <w:shd w:val="clear" w:color="auto" w:fill="auto"/>
            <w:vAlign w:val="bottom"/>
          </w:tcPr>
          <w:p w14:paraId="27E082C1" w14:textId="77777777" w:rsidR="00A85061" w:rsidRDefault="00A85061">
            <w:pPr>
              <w:rPr>
                <w:rFonts w:ascii="宋体"/>
                <w:vanish/>
              </w:rPr>
            </w:pPr>
          </w:p>
        </w:tc>
        <w:tc>
          <w:tcPr>
            <w:tcW w:w="0" w:type="auto"/>
            <w:gridSpan w:val="3"/>
            <w:shd w:val="clear" w:color="auto" w:fill="auto"/>
            <w:vAlign w:val="bottom"/>
          </w:tcPr>
          <w:p w14:paraId="27E082C2" w14:textId="77777777" w:rsidR="00A85061" w:rsidRDefault="00A85061">
            <w:pPr>
              <w:rPr>
                <w:rFonts w:ascii="宋体"/>
                <w:vanish/>
              </w:rPr>
            </w:pPr>
          </w:p>
        </w:tc>
        <w:tc>
          <w:tcPr>
            <w:tcW w:w="0" w:type="auto"/>
            <w:gridSpan w:val="3"/>
            <w:shd w:val="clear" w:color="auto" w:fill="auto"/>
            <w:vAlign w:val="bottom"/>
          </w:tcPr>
          <w:p w14:paraId="27E082C3" w14:textId="77777777" w:rsidR="00A85061" w:rsidRDefault="00A85061">
            <w:pPr>
              <w:rPr>
                <w:rFonts w:ascii="宋体"/>
                <w:vanish/>
              </w:rPr>
            </w:pPr>
          </w:p>
        </w:tc>
      </w:tr>
      <w:tr w:rsidR="00A85061" w14:paraId="27E082C9" w14:textId="77777777">
        <w:trPr>
          <w:hidden/>
        </w:trPr>
        <w:tc>
          <w:tcPr>
            <w:tcW w:w="0" w:type="auto"/>
            <w:gridSpan w:val="3"/>
            <w:shd w:val="clear" w:color="auto" w:fill="auto"/>
            <w:vAlign w:val="bottom"/>
          </w:tcPr>
          <w:p w14:paraId="27E082C5" w14:textId="77777777" w:rsidR="00A85061" w:rsidRDefault="00A85061">
            <w:pPr>
              <w:rPr>
                <w:rFonts w:ascii="宋体"/>
                <w:vanish/>
              </w:rPr>
            </w:pPr>
          </w:p>
        </w:tc>
        <w:tc>
          <w:tcPr>
            <w:tcW w:w="0" w:type="auto"/>
            <w:gridSpan w:val="3"/>
            <w:shd w:val="clear" w:color="auto" w:fill="auto"/>
            <w:vAlign w:val="bottom"/>
          </w:tcPr>
          <w:p w14:paraId="27E082C6" w14:textId="77777777" w:rsidR="00A85061" w:rsidRDefault="00A85061">
            <w:pPr>
              <w:rPr>
                <w:rFonts w:ascii="宋体"/>
                <w:vanish/>
              </w:rPr>
            </w:pPr>
          </w:p>
        </w:tc>
        <w:tc>
          <w:tcPr>
            <w:tcW w:w="0" w:type="auto"/>
            <w:gridSpan w:val="3"/>
            <w:shd w:val="clear" w:color="auto" w:fill="auto"/>
            <w:vAlign w:val="bottom"/>
          </w:tcPr>
          <w:p w14:paraId="27E082C7" w14:textId="77777777" w:rsidR="00A85061" w:rsidRDefault="00A85061">
            <w:pPr>
              <w:rPr>
                <w:rFonts w:ascii="宋体"/>
                <w:vanish/>
              </w:rPr>
            </w:pPr>
          </w:p>
        </w:tc>
        <w:tc>
          <w:tcPr>
            <w:tcW w:w="0" w:type="auto"/>
            <w:gridSpan w:val="3"/>
            <w:shd w:val="clear" w:color="auto" w:fill="auto"/>
            <w:vAlign w:val="bottom"/>
          </w:tcPr>
          <w:p w14:paraId="27E082C8" w14:textId="77777777" w:rsidR="00A85061" w:rsidRDefault="00A85061">
            <w:pPr>
              <w:rPr>
                <w:rFonts w:ascii="宋体"/>
                <w:vanish/>
              </w:rPr>
            </w:pPr>
          </w:p>
        </w:tc>
      </w:tr>
      <w:tr w:rsidR="00A85061" w14:paraId="27E082CE" w14:textId="77777777">
        <w:trPr>
          <w:hidden/>
        </w:trPr>
        <w:tc>
          <w:tcPr>
            <w:tcW w:w="0" w:type="auto"/>
            <w:gridSpan w:val="3"/>
            <w:shd w:val="clear" w:color="auto" w:fill="auto"/>
            <w:vAlign w:val="bottom"/>
          </w:tcPr>
          <w:p w14:paraId="27E082CA" w14:textId="77777777" w:rsidR="00A85061" w:rsidRDefault="00A85061">
            <w:pPr>
              <w:rPr>
                <w:rFonts w:ascii="宋体"/>
                <w:vanish/>
              </w:rPr>
            </w:pPr>
          </w:p>
        </w:tc>
        <w:tc>
          <w:tcPr>
            <w:tcW w:w="0" w:type="auto"/>
            <w:gridSpan w:val="3"/>
            <w:shd w:val="clear" w:color="auto" w:fill="auto"/>
            <w:vAlign w:val="bottom"/>
          </w:tcPr>
          <w:p w14:paraId="27E082CB" w14:textId="77777777" w:rsidR="00A85061" w:rsidRDefault="00A85061">
            <w:pPr>
              <w:rPr>
                <w:rFonts w:ascii="宋体"/>
                <w:vanish/>
              </w:rPr>
            </w:pPr>
          </w:p>
        </w:tc>
        <w:tc>
          <w:tcPr>
            <w:tcW w:w="0" w:type="auto"/>
            <w:gridSpan w:val="3"/>
            <w:shd w:val="clear" w:color="auto" w:fill="auto"/>
            <w:vAlign w:val="bottom"/>
          </w:tcPr>
          <w:p w14:paraId="27E082CC" w14:textId="77777777" w:rsidR="00A85061" w:rsidRDefault="00A85061">
            <w:pPr>
              <w:rPr>
                <w:rFonts w:ascii="宋体"/>
                <w:vanish/>
              </w:rPr>
            </w:pPr>
          </w:p>
        </w:tc>
        <w:tc>
          <w:tcPr>
            <w:tcW w:w="0" w:type="auto"/>
            <w:gridSpan w:val="3"/>
            <w:shd w:val="clear" w:color="auto" w:fill="auto"/>
            <w:vAlign w:val="bottom"/>
          </w:tcPr>
          <w:p w14:paraId="27E082CD" w14:textId="77777777" w:rsidR="00A85061" w:rsidRDefault="00A85061">
            <w:pPr>
              <w:rPr>
                <w:rFonts w:ascii="宋体"/>
                <w:vanish/>
              </w:rPr>
            </w:pPr>
          </w:p>
        </w:tc>
      </w:tr>
      <w:tr w:rsidR="00A85061" w14:paraId="27E082D3" w14:textId="77777777">
        <w:trPr>
          <w:hidden/>
        </w:trPr>
        <w:tc>
          <w:tcPr>
            <w:tcW w:w="0" w:type="auto"/>
            <w:gridSpan w:val="3"/>
            <w:shd w:val="clear" w:color="auto" w:fill="auto"/>
            <w:vAlign w:val="bottom"/>
          </w:tcPr>
          <w:p w14:paraId="27E082CF" w14:textId="77777777" w:rsidR="00A85061" w:rsidRDefault="00A85061">
            <w:pPr>
              <w:rPr>
                <w:rFonts w:ascii="宋体"/>
                <w:vanish/>
              </w:rPr>
            </w:pPr>
          </w:p>
        </w:tc>
        <w:tc>
          <w:tcPr>
            <w:tcW w:w="0" w:type="auto"/>
            <w:gridSpan w:val="3"/>
            <w:shd w:val="clear" w:color="auto" w:fill="auto"/>
            <w:vAlign w:val="bottom"/>
          </w:tcPr>
          <w:p w14:paraId="27E082D0" w14:textId="77777777" w:rsidR="00A85061" w:rsidRDefault="00A85061">
            <w:pPr>
              <w:rPr>
                <w:rFonts w:ascii="宋体"/>
                <w:vanish/>
              </w:rPr>
            </w:pPr>
          </w:p>
        </w:tc>
        <w:tc>
          <w:tcPr>
            <w:tcW w:w="0" w:type="auto"/>
            <w:gridSpan w:val="3"/>
            <w:shd w:val="clear" w:color="auto" w:fill="auto"/>
            <w:vAlign w:val="bottom"/>
          </w:tcPr>
          <w:p w14:paraId="27E082D1" w14:textId="77777777" w:rsidR="00A85061" w:rsidRDefault="00A85061">
            <w:pPr>
              <w:rPr>
                <w:rFonts w:ascii="宋体"/>
                <w:vanish/>
              </w:rPr>
            </w:pPr>
          </w:p>
        </w:tc>
        <w:tc>
          <w:tcPr>
            <w:tcW w:w="0" w:type="auto"/>
            <w:gridSpan w:val="3"/>
            <w:shd w:val="clear" w:color="auto" w:fill="auto"/>
            <w:vAlign w:val="bottom"/>
          </w:tcPr>
          <w:p w14:paraId="27E082D2" w14:textId="77777777" w:rsidR="00A85061" w:rsidRDefault="00A85061">
            <w:pPr>
              <w:rPr>
                <w:rFonts w:ascii="宋体"/>
                <w:vanish/>
              </w:rPr>
            </w:pPr>
          </w:p>
        </w:tc>
      </w:tr>
      <w:tr w:rsidR="00A85061" w14:paraId="27E082D8" w14:textId="77777777">
        <w:trPr>
          <w:hidden/>
        </w:trPr>
        <w:tc>
          <w:tcPr>
            <w:tcW w:w="0" w:type="auto"/>
            <w:gridSpan w:val="3"/>
            <w:shd w:val="clear" w:color="auto" w:fill="auto"/>
            <w:vAlign w:val="bottom"/>
          </w:tcPr>
          <w:p w14:paraId="27E082D4" w14:textId="77777777" w:rsidR="00A85061" w:rsidRDefault="00A85061">
            <w:pPr>
              <w:rPr>
                <w:rFonts w:ascii="宋体"/>
                <w:vanish/>
              </w:rPr>
            </w:pPr>
          </w:p>
        </w:tc>
        <w:tc>
          <w:tcPr>
            <w:tcW w:w="0" w:type="auto"/>
            <w:gridSpan w:val="3"/>
            <w:shd w:val="clear" w:color="auto" w:fill="auto"/>
            <w:vAlign w:val="bottom"/>
          </w:tcPr>
          <w:p w14:paraId="27E082D5" w14:textId="77777777" w:rsidR="00A85061" w:rsidRDefault="00A85061">
            <w:pPr>
              <w:rPr>
                <w:rFonts w:ascii="宋体"/>
                <w:vanish/>
              </w:rPr>
            </w:pPr>
          </w:p>
        </w:tc>
        <w:tc>
          <w:tcPr>
            <w:tcW w:w="0" w:type="auto"/>
            <w:gridSpan w:val="3"/>
            <w:shd w:val="clear" w:color="auto" w:fill="auto"/>
            <w:vAlign w:val="bottom"/>
          </w:tcPr>
          <w:p w14:paraId="27E082D6" w14:textId="77777777" w:rsidR="00A85061" w:rsidRDefault="00A85061">
            <w:pPr>
              <w:rPr>
                <w:rFonts w:ascii="宋体"/>
                <w:vanish/>
              </w:rPr>
            </w:pPr>
          </w:p>
        </w:tc>
        <w:tc>
          <w:tcPr>
            <w:tcW w:w="0" w:type="auto"/>
            <w:gridSpan w:val="3"/>
            <w:shd w:val="clear" w:color="auto" w:fill="auto"/>
            <w:vAlign w:val="bottom"/>
          </w:tcPr>
          <w:p w14:paraId="27E082D7" w14:textId="77777777" w:rsidR="00A85061" w:rsidRDefault="00A85061">
            <w:pPr>
              <w:rPr>
                <w:rFonts w:ascii="宋体"/>
                <w:vanish/>
              </w:rPr>
            </w:pPr>
          </w:p>
        </w:tc>
      </w:tr>
      <w:tr w:rsidR="00A85061" w14:paraId="27E082DD" w14:textId="77777777">
        <w:trPr>
          <w:hidden/>
        </w:trPr>
        <w:tc>
          <w:tcPr>
            <w:tcW w:w="0" w:type="auto"/>
            <w:gridSpan w:val="3"/>
            <w:shd w:val="clear" w:color="auto" w:fill="auto"/>
            <w:vAlign w:val="bottom"/>
          </w:tcPr>
          <w:p w14:paraId="27E082D9" w14:textId="77777777" w:rsidR="00A85061" w:rsidRDefault="00A85061">
            <w:pPr>
              <w:rPr>
                <w:rFonts w:ascii="宋体"/>
                <w:vanish/>
              </w:rPr>
            </w:pPr>
          </w:p>
        </w:tc>
        <w:tc>
          <w:tcPr>
            <w:tcW w:w="0" w:type="auto"/>
            <w:gridSpan w:val="3"/>
            <w:shd w:val="clear" w:color="auto" w:fill="auto"/>
            <w:vAlign w:val="bottom"/>
          </w:tcPr>
          <w:p w14:paraId="27E082DA" w14:textId="77777777" w:rsidR="00A85061" w:rsidRDefault="00A85061">
            <w:pPr>
              <w:rPr>
                <w:rFonts w:ascii="宋体"/>
                <w:vanish/>
              </w:rPr>
            </w:pPr>
          </w:p>
        </w:tc>
        <w:tc>
          <w:tcPr>
            <w:tcW w:w="0" w:type="auto"/>
            <w:gridSpan w:val="3"/>
            <w:shd w:val="clear" w:color="auto" w:fill="auto"/>
            <w:vAlign w:val="bottom"/>
          </w:tcPr>
          <w:p w14:paraId="27E082DB" w14:textId="77777777" w:rsidR="00A85061" w:rsidRDefault="00A85061">
            <w:pPr>
              <w:rPr>
                <w:rFonts w:ascii="宋体"/>
                <w:vanish/>
              </w:rPr>
            </w:pPr>
          </w:p>
        </w:tc>
        <w:tc>
          <w:tcPr>
            <w:tcW w:w="0" w:type="auto"/>
            <w:gridSpan w:val="3"/>
            <w:shd w:val="clear" w:color="auto" w:fill="auto"/>
            <w:vAlign w:val="bottom"/>
          </w:tcPr>
          <w:p w14:paraId="27E082DC" w14:textId="77777777" w:rsidR="00A85061" w:rsidRDefault="00A85061">
            <w:pPr>
              <w:rPr>
                <w:rFonts w:ascii="宋体"/>
                <w:vanish/>
              </w:rPr>
            </w:pPr>
          </w:p>
        </w:tc>
      </w:tr>
      <w:tr w:rsidR="00A85061" w14:paraId="27E082E2" w14:textId="77777777">
        <w:trPr>
          <w:hidden/>
        </w:trPr>
        <w:tc>
          <w:tcPr>
            <w:tcW w:w="0" w:type="auto"/>
            <w:gridSpan w:val="3"/>
            <w:shd w:val="clear" w:color="auto" w:fill="auto"/>
            <w:vAlign w:val="bottom"/>
          </w:tcPr>
          <w:p w14:paraId="27E082DE" w14:textId="77777777" w:rsidR="00A85061" w:rsidRDefault="00A85061">
            <w:pPr>
              <w:rPr>
                <w:rFonts w:ascii="宋体"/>
                <w:vanish/>
              </w:rPr>
            </w:pPr>
          </w:p>
        </w:tc>
        <w:tc>
          <w:tcPr>
            <w:tcW w:w="0" w:type="auto"/>
            <w:gridSpan w:val="3"/>
            <w:shd w:val="clear" w:color="auto" w:fill="auto"/>
            <w:vAlign w:val="bottom"/>
          </w:tcPr>
          <w:p w14:paraId="27E082DF" w14:textId="77777777" w:rsidR="00A85061" w:rsidRDefault="00A85061">
            <w:pPr>
              <w:rPr>
                <w:rFonts w:ascii="宋体"/>
                <w:vanish/>
              </w:rPr>
            </w:pPr>
          </w:p>
        </w:tc>
        <w:tc>
          <w:tcPr>
            <w:tcW w:w="0" w:type="auto"/>
            <w:gridSpan w:val="3"/>
            <w:shd w:val="clear" w:color="auto" w:fill="auto"/>
            <w:vAlign w:val="bottom"/>
          </w:tcPr>
          <w:p w14:paraId="27E082E0" w14:textId="77777777" w:rsidR="00A85061" w:rsidRDefault="00A85061">
            <w:pPr>
              <w:rPr>
                <w:rFonts w:ascii="宋体"/>
                <w:vanish/>
              </w:rPr>
            </w:pPr>
          </w:p>
        </w:tc>
        <w:tc>
          <w:tcPr>
            <w:tcW w:w="0" w:type="auto"/>
            <w:gridSpan w:val="3"/>
            <w:shd w:val="clear" w:color="auto" w:fill="auto"/>
            <w:vAlign w:val="bottom"/>
          </w:tcPr>
          <w:p w14:paraId="27E082E1" w14:textId="77777777" w:rsidR="00A85061" w:rsidRDefault="00A85061">
            <w:pPr>
              <w:rPr>
                <w:rFonts w:ascii="宋体"/>
                <w:vanish/>
              </w:rPr>
            </w:pPr>
          </w:p>
        </w:tc>
      </w:tr>
      <w:tr w:rsidR="00A85061" w14:paraId="27E082E9" w14:textId="77777777">
        <w:tc>
          <w:tcPr>
            <w:tcW w:w="0" w:type="auto"/>
            <w:gridSpan w:val="3"/>
            <w:shd w:val="clear" w:color="auto" w:fill="E2EFD9"/>
            <w:tcMar>
              <w:top w:w="40" w:type="dxa"/>
              <w:left w:w="20" w:type="dxa"/>
              <w:bottom w:w="40" w:type="dxa"/>
              <w:right w:w="20" w:type="dxa"/>
            </w:tcMar>
            <w:vAlign w:val="bottom"/>
          </w:tcPr>
          <w:p w14:paraId="27E082E3" w14:textId="77777777" w:rsidR="00A85061" w:rsidRDefault="00F04891">
            <w:pPr>
              <w:textAlignment w:val="bottom"/>
            </w:pPr>
            <w:r>
              <w:rPr>
                <w:rFonts w:ascii="sans-serif" w:eastAsia="sans-serif" w:hAnsi="sans-serif" w:cs="sans-serif"/>
                <w:color w:val="000000"/>
                <w:sz w:val="20"/>
                <w:szCs w:val="20"/>
              </w:rPr>
              <w:t xml:space="preserve">Coupon interest on debt </w:t>
            </w:r>
            <w:r>
              <w:rPr>
                <w:rFonts w:ascii="sans-serif" w:eastAsia="sans-serif" w:hAnsi="sans-serif" w:cs="sans-serif"/>
                <w:color w:val="000000"/>
                <w:sz w:val="20"/>
                <w:szCs w:val="20"/>
              </w:rPr>
              <w:t>obligations</w:t>
            </w:r>
          </w:p>
        </w:tc>
        <w:tc>
          <w:tcPr>
            <w:tcW w:w="0" w:type="auto"/>
            <w:gridSpan w:val="2"/>
            <w:shd w:val="clear" w:color="auto" w:fill="E2EFD9"/>
            <w:tcMar>
              <w:top w:w="40" w:type="dxa"/>
              <w:left w:w="20" w:type="dxa"/>
              <w:bottom w:w="40" w:type="dxa"/>
              <w:right w:w="0" w:type="dxa"/>
            </w:tcMar>
            <w:vAlign w:val="bottom"/>
          </w:tcPr>
          <w:p w14:paraId="27E082E4" w14:textId="77777777" w:rsidR="00A85061" w:rsidRDefault="00F04891">
            <w:pPr>
              <w:jc w:val="right"/>
              <w:textAlignment w:val="bottom"/>
            </w:pPr>
            <w:r>
              <w:rPr>
                <w:rFonts w:ascii="sans-serif" w:eastAsia="sans-serif" w:hAnsi="sans-serif" w:cs="sans-serif"/>
                <w:color w:val="000000"/>
                <w:sz w:val="20"/>
                <w:szCs w:val="20"/>
              </w:rPr>
              <w:t>19 </w:t>
            </w:r>
          </w:p>
        </w:tc>
        <w:tc>
          <w:tcPr>
            <w:tcW w:w="0" w:type="auto"/>
            <w:shd w:val="clear" w:color="auto" w:fill="E2EFD9"/>
            <w:tcMar>
              <w:top w:w="40" w:type="dxa"/>
              <w:left w:w="0" w:type="dxa"/>
              <w:bottom w:w="40" w:type="dxa"/>
              <w:right w:w="20" w:type="dxa"/>
            </w:tcMar>
            <w:vAlign w:val="bottom"/>
          </w:tcPr>
          <w:p w14:paraId="27E082E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E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2E7" w14:textId="77777777" w:rsidR="00A85061" w:rsidRDefault="00F04891">
            <w:pPr>
              <w:jc w:val="right"/>
              <w:textAlignment w:val="bottom"/>
            </w:pPr>
            <w:r>
              <w:rPr>
                <w:rFonts w:ascii="sans-serif" w:eastAsia="sans-serif" w:hAnsi="sans-serif" w:cs="sans-serif"/>
                <w:color w:val="000000"/>
                <w:sz w:val="20"/>
                <w:szCs w:val="20"/>
              </w:rPr>
              <w:t>74 </w:t>
            </w:r>
          </w:p>
        </w:tc>
        <w:tc>
          <w:tcPr>
            <w:tcW w:w="0" w:type="auto"/>
            <w:shd w:val="clear" w:color="auto" w:fill="E2EFD9"/>
            <w:tcMar>
              <w:top w:w="40" w:type="dxa"/>
              <w:left w:w="0" w:type="dxa"/>
              <w:bottom w:w="40" w:type="dxa"/>
              <w:right w:w="20" w:type="dxa"/>
            </w:tcMar>
            <w:vAlign w:val="bottom"/>
          </w:tcPr>
          <w:p w14:paraId="27E082E8" w14:textId="77777777" w:rsidR="00A85061" w:rsidRDefault="00A85061">
            <w:pPr>
              <w:jc w:val="right"/>
              <w:rPr>
                <w:rFonts w:ascii="宋体"/>
              </w:rPr>
            </w:pPr>
          </w:p>
        </w:tc>
      </w:tr>
      <w:tr w:rsidR="00A85061" w14:paraId="27E082F0" w14:textId="77777777">
        <w:tc>
          <w:tcPr>
            <w:tcW w:w="0" w:type="auto"/>
            <w:gridSpan w:val="3"/>
            <w:shd w:val="clear" w:color="auto" w:fill="FFFFFF"/>
            <w:tcMar>
              <w:top w:w="40" w:type="dxa"/>
              <w:left w:w="20" w:type="dxa"/>
              <w:bottom w:w="40" w:type="dxa"/>
              <w:right w:w="20" w:type="dxa"/>
            </w:tcMar>
            <w:vAlign w:val="bottom"/>
          </w:tcPr>
          <w:p w14:paraId="27E082EA" w14:textId="77777777" w:rsidR="00A85061" w:rsidRDefault="00F04891">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27E082EB" w14:textId="77777777" w:rsidR="00A85061" w:rsidRDefault="00F04891">
            <w:pPr>
              <w:jc w:val="right"/>
              <w:textAlignment w:val="bottom"/>
            </w:pPr>
            <w:r>
              <w:rPr>
                <w:rFonts w:ascii="sans-serif" w:eastAsia="sans-serif" w:hAnsi="sans-serif" w:cs="sans-serif"/>
                <w:color w:val="000000"/>
                <w:sz w:val="20"/>
                <w:szCs w:val="20"/>
              </w:rPr>
              <w:t>65 </w:t>
            </w:r>
          </w:p>
        </w:tc>
        <w:tc>
          <w:tcPr>
            <w:tcW w:w="0" w:type="auto"/>
            <w:shd w:val="clear" w:color="auto" w:fill="FFFFFF"/>
            <w:tcMar>
              <w:top w:w="40" w:type="dxa"/>
              <w:left w:w="0" w:type="dxa"/>
              <w:bottom w:w="40" w:type="dxa"/>
              <w:right w:w="20" w:type="dxa"/>
            </w:tcMar>
            <w:vAlign w:val="bottom"/>
          </w:tcPr>
          <w:p w14:paraId="27E082E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2E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2EE" w14:textId="77777777" w:rsidR="00A85061" w:rsidRDefault="00F04891">
            <w:pPr>
              <w:jc w:val="right"/>
              <w:textAlignment w:val="bottom"/>
            </w:pPr>
            <w:r>
              <w:rPr>
                <w:rFonts w:ascii="sans-serif" w:eastAsia="sans-serif" w:hAnsi="sans-serif" w:cs="sans-serif"/>
                <w:color w:val="000000"/>
                <w:sz w:val="20"/>
                <w:szCs w:val="20"/>
              </w:rPr>
              <w:t>61 </w:t>
            </w:r>
          </w:p>
        </w:tc>
        <w:tc>
          <w:tcPr>
            <w:tcW w:w="0" w:type="auto"/>
            <w:shd w:val="clear" w:color="auto" w:fill="FFFFFF"/>
            <w:tcMar>
              <w:top w:w="40" w:type="dxa"/>
              <w:left w:w="0" w:type="dxa"/>
              <w:bottom w:w="40" w:type="dxa"/>
              <w:right w:w="20" w:type="dxa"/>
            </w:tcMar>
            <w:vAlign w:val="bottom"/>
          </w:tcPr>
          <w:p w14:paraId="27E082EF" w14:textId="77777777" w:rsidR="00A85061" w:rsidRDefault="00A85061">
            <w:pPr>
              <w:jc w:val="right"/>
              <w:rPr>
                <w:rFonts w:ascii="宋体"/>
              </w:rPr>
            </w:pPr>
          </w:p>
        </w:tc>
      </w:tr>
      <w:tr w:rsidR="00A85061" w14:paraId="27E082F9" w14:textId="77777777">
        <w:tc>
          <w:tcPr>
            <w:tcW w:w="0" w:type="auto"/>
            <w:gridSpan w:val="3"/>
            <w:shd w:val="clear" w:color="auto" w:fill="E2EFD9"/>
            <w:tcMar>
              <w:top w:w="40" w:type="dxa"/>
              <w:left w:w="380" w:type="dxa"/>
              <w:bottom w:w="40" w:type="dxa"/>
              <w:right w:w="20" w:type="dxa"/>
            </w:tcMar>
            <w:vAlign w:val="bottom"/>
          </w:tcPr>
          <w:p w14:paraId="27E082F1" w14:textId="77777777" w:rsidR="00A85061" w:rsidRDefault="00F04891">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2F2"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2F3" w14:textId="77777777" w:rsidR="00A85061" w:rsidRDefault="00F04891">
            <w:pPr>
              <w:jc w:val="right"/>
              <w:textAlignment w:val="bottom"/>
            </w:pPr>
            <w:r>
              <w:rPr>
                <w:rFonts w:ascii="sans-serif" w:eastAsia="sans-serif" w:hAnsi="sans-serif" w:cs="sans-serif"/>
                <w:color w:val="000000"/>
                <w:sz w:val="20"/>
                <w:szCs w:val="20"/>
              </w:rPr>
              <w:t>1,787 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2F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2F5"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2F6"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2F7" w14:textId="77777777" w:rsidR="00A85061" w:rsidRDefault="00F04891">
            <w:pPr>
              <w:jc w:val="right"/>
              <w:textAlignment w:val="bottom"/>
            </w:pPr>
            <w:r>
              <w:rPr>
                <w:rFonts w:ascii="sans-serif" w:eastAsia="sans-serif" w:hAnsi="sans-serif" w:cs="sans-serif"/>
                <w:color w:val="000000"/>
                <w:sz w:val="20"/>
                <w:szCs w:val="20"/>
              </w:rPr>
              <w:t>1,725 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2F8" w14:textId="77777777" w:rsidR="00A85061" w:rsidRDefault="00A85061">
            <w:pPr>
              <w:jc w:val="right"/>
              <w:rPr>
                <w:rFonts w:ascii="宋体"/>
              </w:rPr>
            </w:pPr>
          </w:p>
        </w:tc>
      </w:tr>
    </w:tbl>
    <w:p w14:paraId="27E082FA" w14:textId="77777777" w:rsidR="00A85061" w:rsidRDefault="00F04891">
      <w:pPr>
        <w:spacing w:after="180"/>
        <w:ind w:hanging="360"/>
        <w:jc w:val="both"/>
      </w:pPr>
      <w:r>
        <w:rPr>
          <w:rFonts w:ascii="sans-serif" w:eastAsia="sans-serif" w:hAnsi="sans-serif" w:cs="sans-serif"/>
          <w:color w:val="000000"/>
          <w:sz w:val="16"/>
          <w:szCs w:val="16"/>
        </w:rPr>
        <w:t xml:space="preserve">(1)    Deferred revenue primarily includes customer advances and deferrals related to license and development arrangements and </w:t>
      </w:r>
      <w:r>
        <w:rPr>
          <w:rFonts w:ascii="sans-serif" w:eastAsia="sans-serif" w:hAnsi="sans-serif" w:cs="sans-serif"/>
          <w:color w:val="000000"/>
          <w:sz w:val="16"/>
          <w:szCs w:val="16"/>
        </w:rPr>
        <w:t>post-contract customer support, or PCS.</w:t>
      </w:r>
    </w:p>
    <w:tbl>
      <w:tblPr>
        <w:tblW w:w="4993" w:type="pct"/>
        <w:tblInd w:w="-345" w:type="dxa"/>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A85061" w14:paraId="27E08307" w14:textId="77777777">
        <w:tc>
          <w:tcPr>
            <w:tcW w:w="50" w:type="pct"/>
            <w:shd w:val="clear" w:color="auto" w:fill="auto"/>
            <w:vAlign w:val="bottom"/>
          </w:tcPr>
          <w:p w14:paraId="27E082FB" w14:textId="77777777" w:rsidR="00A85061" w:rsidRDefault="00A85061">
            <w:pPr>
              <w:rPr>
                <w:rFonts w:ascii="宋体"/>
              </w:rPr>
            </w:pPr>
          </w:p>
        </w:tc>
        <w:tc>
          <w:tcPr>
            <w:tcW w:w="3575" w:type="pct"/>
            <w:shd w:val="clear" w:color="auto" w:fill="auto"/>
            <w:vAlign w:val="bottom"/>
          </w:tcPr>
          <w:p w14:paraId="27E082FC" w14:textId="77777777" w:rsidR="00A85061" w:rsidRDefault="00A85061">
            <w:pPr>
              <w:rPr>
                <w:rFonts w:ascii="宋体"/>
              </w:rPr>
            </w:pPr>
          </w:p>
        </w:tc>
        <w:tc>
          <w:tcPr>
            <w:tcW w:w="5" w:type="pct"/>
            <w:shd w:val="clear" w:color="auto" w:fill="auto"/>
            <w:vAlign w:val="bottom"/>
          </w:tcPr>
          <w:p w14:paraId="27E082FD" w14:textId="77777777" w:rsidR="00A85061" w:rsidRDefault="00A85061">
            <w:pPr>
              <w:rPr>
                <w:rFonts w:ascii="宋体"/>
              </w:rPr>
            </w:pPr>
          </w:p>
        </w:tc>
        <w:tc>
          <w:tcPr>
            <w:tcW w:w="50" w:type="pct"/>
            <w:shd w:val="clear" w:color="auto" w:fill="auto"/>
            <w:vAlign w:val="bottom"/>
          </w:tcPr>
          <w:p w14:paraId="27E082FE" w14:textId="77777777" w:rsidR="00A85061" w:rsidRDefault="00A85061">
            <w:pPr>
              <w:rPr>
                <w:rFonts w:ascii="宋体"/>
              </w:rPr>
            </w:pPr>
          </w:p>
        </w:tc>
        <w:tc>
          <w:tcPr>
            <w:tcW w:w="611" w:type="pct"/>
            <w:shd w:val="clear" w:color="auto" w:fill="auto"/>
            <w:vAlign w:val="bottom"/>
          </w:tcPr>
          <w:p w14:paraId="27E082FF" w14:textId="77777777" w:rsidR="00A85061" w:rsidRDefault="00A85061">
            <w:pPr>
              <w:rPr>
                <w:rFonts w:ascii="宋体"/>
              </w:rPr>
            </w:pPr>
          </w:p>
        </w:tc>
        <w:tc>
          <w:tcPr>
            <w:tcW w:w="5" w:type="pct"/>
            <w:shd w:val="clear" w:color="auto" w:fill="auto"/>
            <w:vAlign w:val="bottom"/>
          </w:tcPr>
          <w:p w14:paraId="27E08300" w14:textId="77777777" w:rsidR="00A85061" w:rsidRDefault="00A85061">
            <w:pPr>
              <w:rPr>
                <w:rFonts w:ascii="宋体"/>
              </w:rPr>
            </w:pPr>
          </w:p>
        </w:tc>
        <w:tc>
          <w:tcPr>
            <w:tcW w:w="5" w:type="pct"/>
            <w:shd w:val="clear" w:color="auto" w:fill="auto"/>
            <w:vAlign w:val="bottom"/>
          </w:tcPr>
          <w:p w14:paraId="27E08301" w14:textId="77777777" w:rsidR="00A85061" w:rsidRDefault="00A85061">
            <w:pPr>
              <w:rPr>
                <w:rFonts w:ascii="宋体"/>
              </w:rPr>
            </w:pPr>
          </w:p>
        </w:tc>
        <w:tc>
          <w:tcPr>
            <w:tcW w:w="26" w:type="pct"/>
            <w:shd w:val="clear" w:color="auto" w:fill="auto"/>
            <w:vAlign w:val="bottom"/>
          </w:tcPr>
          <w:p w14:paraId="27E08302" w14:textId="77777777" w:rsidR="00A85061" w:rsidRDefault="00A85061">
            <w:pPr>
              <w:rPr>
                <w:rFonts w:ascii="宋体"/>
              </w:rPr>
            </w:pPr>
          </w:p>
        </w:tc>
        <w:tc>
          <w:tcPr>
            <w:tcW w:w="5" w:type="pct"/>
            <w:shd w:val="clear" w:color="auto" w:fill="auto"/>
            <w:vAlign w:val="bottom"/>
          </w:tcPr>
          <w:p w14:paraId="27E08303" w14:textId="77777777" w:rsidR="00A85061" w:rsidRDefault="00A85061">
            <w:pPr>
              <w:rPr>
                <w:rFonts w:ascii="宋体"/>
              </w:rPr>
            </w:pPr>
          </w:p>
        </w:tc>
        <w:tc>
          <w:tcPr>
            <w:tcW w:w="50" w:type="pct"/>
            <w:shd w:val="clear" w:color="auto" w:fill="auto"/>
            <w:vAlign w:val="bottom"/>
          </w:tcPr>
          <w:p w14:paraId="27E08304" w14:textId="77777777" w:rsidR="00A85061" w:rsidRDefault="00A85061">
            <w:pPr>
              <w:rPr>
                <w:rFonts w:ascii="宋体"/>
              </w:rPr>
            </w:pPr>
          </w:p>
        </w:tc>
        <w:tc>
          <w:tcPr>
            <w:tcW w:w="611" w:type="pct"/>
            <w:shd w:val="clear" w:color="auto" w:fill="auto"/>
            <w:vAlign w:val="bottom"/>
          </w:tcPr>
          <w:p w14:paraId="27E08305" w14:textId="77777777" w:rsidR="00A85061" w:rsidRDefault="00A85061">
            <w:pPr>
              <w:rPr>
                <w:rFonts w:ascii="宋体"/>
              </w:rPr>
            </w:pPr>
          </w:p>
        </w:tc>
        <w:tc>
          <w:tcPr>
            <w:tcW w:w="5" w:type="pct"/>
            <w:shd w:val="clear" w:color="auto" w:fill="auto"/>
            <w:vAlign w:val="bottom"/>
          </w:tcPr>
          <w:p w14:paraId="27E08306" w14:textId="77777777" w:rsidR="00A85061" w:rsidRDefault="00A85061">
            <w:pPr>
              <w:rPr>
                <w:rFonts w:ascii="宋体"/>
              </w:rPr>
            </w:pPr>
          </w:p>
        </w:tc>
      </w:tr>
      <w:tr w:rsidR="00A85061" w14:paraId="27E0830C" w14:textId="77777777">
        <w:tc>
          <w:tcPr>
            <w:tcW w:w="0" w:type="auto"/>
            <w:gridSpan w:val="3"/>
            <w:shd w:val="clear" w:color="auto" w:fill="auto"/>
            <w:tcMar>
              <w:top w:w="0" w:type="dxa"/>
              <w:left w:w="20" w:type="dxa"/>
              <w:bottom w:w="0" w:type="dxa"/>
              <w:right w:w="20" w:type="dxa"/>
            </w:tcMar>
            <w:vAlign w:val="bottom"/>
          </w:tcPr>
          <w:p w14:paraId="27E08308"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09"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30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0B" w14:textId="77777777" w:rsidR="00A85061" w:rsidRDefault="00F04891">
            <w:pPr>
              <w:jc w:val="center"/>
              <w:textAlignment w:val="bottom"/>
            </w:pPr>
            <w:r>
              <w:rPr>
                <w:rFonts w:ascii="sans-serif" w:eastAsia="sans-serif" w:hAnsi="sans-serif" w:cs="sans-serif"/>
                <w:b/>
                <w:bCs/>
                <w:color w:val="000000"/>
                <w:sz w:val="20"/>
                <w:szCs w:val="20"/>
              </w:rPr>
              <w:t>January 31,</w:t>
            </w:r>
          </w:p>
        </w:tc>
      </w:tr>
      <w:tr w:rsidR="00A85061" w14:paraId="27E08311" w14:textId="77777777">
        <w:tc>
          <w:tcPr>
            <w:tcW w:w="0" w:type="auto"/>
            <w:gridSpan w:val="3"/>
            <w:shd w:val="clear" w:color="auto" w:fill="auto"/>
            <w:tcMar>
              <w:top w:w="40" w:type="dxa"/>
              <w:left w:w="20" w:type="dxa"/>
              <w:bottom w:w="40" w:type="dxa"/>
              <w:right w:w="20" w:type="dxa"/>
            </w:tcMar>
            <w:vAlign w:val="bottom"/>
          </w:tcPr>
          <w:p w14:paraId="27E0830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30E"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30F"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10" w14:textId="77777777" w:rsidR="00A85061" w:rsidRDefault="00F04891">
            <w:pPr>
              <w:jc w:val="center"/>
              <w:textAlignment w:val="bottom"/>
            </w:pPr>
            <w:r>
              <w:rPr>
                <w:rFonts w:ascii="sans-serif" w:eastAsia="sans-serif" w:hAnsi="sans-serif" w:cs="sans-serif"/>
                <w:b/>
                <w:bCs/>
                <w:color w:val="000000"/>
                <w:sz w:val="20"/>
                <w:szCs w:val="20"/>
              </w:rPr>
              <w:t>2021</w:t>
            </w:r>
          </w:p>
        </w:tc>
      </w:tr>
      <w:tr w:rsidR="00A85061" w14:paraId="27E08316" w14:textId="77777777">
        <w:trPr>
          <w:trHeight w:val="60"/>
        </w:trPr>
        <w:tc>
          <w:tcPr>
            <w:tcW w:w="0" w:type="auto"/>
            <w:gridSpan w:val="3"/>
            <w:shd w:val="clear" w:color="auto" w:fill="auto"/>
            <w:tcMar>
              <w:top w:w="0" w:type="dxa"/>
              <w:left w:w="20" w:type="dxa"/>
              <w:bottom w:w="0" w:type="dxa"/>
              <w:right w:w="20" w:type="dxa"/>
            </w:tcMar>
            <w:vAlign w:val="bottom"/>
          </w:tcPr>
          <w:p w14:paraId="27E0831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1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31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15" w14:textId="77777777" w:rsidR="00A85061" w:rsidRDefault="00A85061">
            <w:pPr>
              <w:rPr>
                <w:rFonts w:ascii="宋体"/>
              </w:rPr>
            </w:pPr>
          </w:p>
        </w:tc>
      </w:tr>
      <w:tr w:rsidR="00A85061" w14:paraId="27E08319" w14:textId="77777777">
        <w:tc>
          <w:tcPr>
            <w:tcW w:w="0" w:type="auto"/>
            <w:gridSpan w:val="3"/>
            <w:shd w:val="clear" w:color="auto" w:fill="auto"/>
            <w:tcMar>
              <w:top w:w="40" w:type="dxa"/>
              <w:left w:w="20" w:type="dxa"/>
              <w:bottom w:w="40" w:type="dxa"/>
              <w:right w:w="20" w:type="dxa"/>
            </w:tcMar>
            <w:vAlign w:val="bottom"/>
          </w:tcPr>
          <w:p w14:paraId="27E08317" w14:textId="77777777" w:rsidR="00A85061" w:rsidRDefault="00F04891">
            <w:pPr>
              <w:textAlignment w:val="bottom"/>
            </w:pPr>
            <w:r>
              <w:rPr>
                <w:rFonts w:ascii="sans-serif" w:eastAsia="sans-serif" w:hAnsi="sans-serif" w:cs="sans-serif"/>
                <w:b/>
                <w:bCs/>
                <w:color w:val="000000"/>
                <w:sz w:val="20"/>
                <w:szCs w:val="20"/>
              </w:rPr>
              <w:t>Other Long-Term Liabilities:</w:t>
            </w:r>
          </w:p>
        </w:tc>
        <w:tc>
          <w:tcPr>
            <w:tcW w:w="0" w:type="auto"/>
            <w:gridSpan w:val="9"/>
            <w:shd w:val="clear" w:color="auto" w:fill="auto"/>
            <w:tcMar>
              <w:top w:w="40" w:type="dxa"/>
              <w:left w:w="20" w:type="dxa"/>
              <w:bottom w:w="40" w:type="dxa"/>
              <w:right w:w="20" w:type="dxa"/>
            </w:tcMar>
            <w:vAlign w:val="bottom"/>
          </w:tcPr>
          <w:p w14:paraId="27E08318"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322" w14:textId="77777777">
        <w:tc>
          <w:tcPr>
            <w:tcW w:w="0" w:type="auto"/>
            <w:gridSpan w:val="3"/>
            <w:shd w:val="clear" w:color="auto" w:fill="E2EFD9"/>
            <w:tcMar>
              <w:top w:w="40" w:type="dxa"/>
              <w:left w:w="20" w:type="dxa"/>
              <w:bottom w:w="40" w:type="dxa"/>
              <w:right w:w="20" w:type="dxa"/>
            </w:tcMar>
            <w:vAlign w:val="bottom"/>
          </w:tcPr>
          <w:p w14:paraId="27E0831A" w14:textId="77777777" w:rsidR="00A85061" w:rsidRDefault="00F04891">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27E0831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1C" w14:textId="77777777" w:rsidR="00A85061" w:rsidRDefault="00F04891">
            <w:pPr>
              <w:jc w:val="right"/>
              <w:textAlignment w:val="bottom"/>
            </w:pPr>
            <w:r>
              <w:rPr>
                <w:rFonts w:ascii="sans-serif" w:eastAsia="sans-serif" w:hAnsi="sans-serif" w:cs="sans-serif"/>
                <w:color w:val="000000"/>
                <w:sz w:val="20"/>
                <w:szCs w:val="20"/>
              </w:rPr>
              <w:t>864 </w:t>
            </w:r>
          </w:p>
        </w:tc>
        <w:tc>
          <w:tcPr>
            <w:tcW w:w="0" w:type="auto"/>
            <w:shd w:val="clear" w:color="auto" w:fill="E2EFD9"/>
            <w:tcMar>
              <w:top w:w="40" w:type="dxa"/>
              <w:left w:w="0" w:type="dxa"/>
              <w:bottom w:w="40" w:type="dxa"/>
              <w:right w:w="20" w:type="dxa"/>
            </w:tcMar>
            <w:vAlign w:val="bottom"/>
          </w:tcPr>
          <w:p w14:paraId="27E0831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1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31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20" w14:textId="77777777" w:rsidR="00A85061" w:rsidRDefault="00F04891">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27E08321" w14:textId="77777777" w:rsidR="00A85061" w:rsidRDefault="00A85061">
            <w:pPr>
              <w:jc w:val="right"/>
              <w:rPr>
                <w:rFonts w:ascii="宋体"/>
              </w:rPr>
            </w:pPr>
          </w:p>
        </w:tc>
      </w:tr>
      <w:tr w:rsidR="00A85061" w14:paraId="27E08329" w14:textId="77777777">
        <w:tc>
          <w:tcPr>
            <w:tcW w:w="0" w:type="auto"/>
            <w:gridSpan w:val="3"/>
            <w:shd w:val="clear" w:color="auto" w:fill="FFFFFF"/>
            <w:tcMar>
              <w:top w:w="40" w:type="dxa"/>
              <w:left w:w="20" w:type="dxa"/>
              <w:bottom w:w="40" w:type="dxa"/>
              <w:right w:w="20" w:type="dxa"/>
            </w:tcMar>
            <w:vAlign w:val="bottom"/>
          </w:tcPr>
          <w:p w14:paraId="27E08323" w14:textId="77777777" w:rsidR="00A85061" w:rsidRDefault="00F04891">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27E08324" w14:textId="77777777" w:rsidR="00A85061" w:rsidRDefault="00F04891">
            <w:pPr>
              <w:jc w:val="right"/>
              <w:textAlignment w:val="bottom"/>
            </w:pPr>
            <w:r>
              <w:rPr>
                <w:rFonts w:ascii="sans-serif" w:eastAsia="sans-serif" w:hAnsi="sans-serif" w:cs="sans-serif"/>
                <w:color w:val="000000"/>
                <w:sz w:val="20"/>
                <w:szCs w:val="20"/>
              </w:rPr>
              <w:t>234 </w:t>
            </w:r>
          </w:p>
        </w:tc>
        <w:tc>
          <w:tcPr>
            <w:tcW w:w="0" w:type="auto"/>
            <w:shd w:val="clear" w:color="auto" w:fill="FFFFFF"/>
            <w:tcMar>
              <w:top w:w="40" w:type="dxa"/>
              <w:left w:w="0" w:type="dxa"/>
              <w:bottom w:w="40" w:type="dxa"/>
              <w:right w:w="20" w:type="dxa"/>
            </w:tcMar>
            <w:vAlign w:val="bottom"/>
          </w:tcPr>
          <w:p w14:paraId="27E0832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2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327" w14:textId="77777777" w:rsidR="00A85061" w:rsidRDefault="00F04891">
            <w:pPr>
              <w:jc w:val="right"/>
              <w:textAlignment w:val="bottom"/>
            </w:pPr>
            <w:r>
              <w:rPr>
                <w:rFonts w:ascii="sans-serif" w:eastAsia="sans-serif" w:hAnsi="sans-serif" w:cs="sans-serif"/>
                <w:color w:val="000000"/>
                <w:sz w:val="20"/>
                <w:szCs w:val="20"/>
              </w:rPr>
              <w:t>241 </w:t>
            </w:r>
          </w:p>
        </w:tc>
        <w:tc>
          <w:tcPr>
            <w:tcW w:w="0" w:type="auto"/>
            <w:shd w:val="clear" w:color="auto" w:fill="FFFFFF"/>
            <w:tcMar>
              <w:top w:w="40" w:type="dxa"/>
              <w:left w:w="0" w:type="dxa"/>
              <w:bottom w:w="40" w:type="dxa"/>
              <w:right w:w="20" w:type="dxa"/>
            </w:tcMar>
            <w:vAlign w:val="bottom"/>
          </w:tcPr>
          <w:p w14:paraId="27E08328" w14:textId="77777777" w:rsidR="00A85061" w:rsidRDefault="00A85061">
            <w:pPr>
              <w:jc w:val="right"/>
              <w:rPr>
                <w:rFonts w:ascii="宋体"/>
              </w:rPr>
            </w:pPr>
          </w:p>
        </w:tc>
      </w:tr>
      <w:tr w:rsidR="00A85061" w14:paraId="27E08330" w14:textId="77777777">
        <w:tc>
          <w:tcPr>
            <w:tcW w:w="0" w:type="auto"/>
            <w:gridSpan w:val="3"/>
            <w:shd w:val="clear" w:color="auto" w:fill="E2EFD9"/>
            <w:tcMar>
              <w:top w:w="40" w:type="dxa"/>
              <w:left w:w="20" w:type="dxa"/>
              <w:bottom w:w="40" w:type="dxa"/>
              <w:right w:w="20" w:type="dxa"/>
            </w:tcMar>
            <w:vAlign w:val="bottom"/>
          </w:tcPr>
          <w:p w14:paraId="27E0832A" w14:textId="77777777" w:rsidR="00A85061" w:rsidRDefault="00F04891">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27E0832B" w14:textId="77777777" w:rsidR="00A85061" w:rsidRDefault="00F04891">
            <w:pPr>
              <w:jc w:val="right"/>
              <w:textAlignment w:val="bottom"/>
            </w:pPr>
            <w:r>
              <w:rPr>
                <w:rFonts w:ascii="sans-serif" w:eastAsia="sans-serif" w:hAnsi="sans-serif" w:cs="sans-serif"/>
                <w:color w:val="000000"/>
                <w:sz w:val="20"/>
                <w:szCs w:val="20"/>
              </w:rPr>
              <w:t>173 </w:t>
            </w:r>
          </w:p>
        </w:tc>
        <w:tc>
          <w:tcPr>
            <w:tcW w:w="0" w:type="auto"/>
            <w:shd w:val="clear" w:color="auto" w:fill="E2EFD9"/>
            <w:tcMar>
              <w:top w:w="40" w:type="dxa"/>
              <w:left w:w="0" w:type="dxa"/>
              <w:bottom w:w="40" w:type="dxa"/>
              <w:right w:w="20" w:type="dxa"/>
            </w:tcMar>
            <w:vAlign w:val="bottom"/>
          </w:tcPr>
          <w:p w14:paraId="27E0832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2D"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32E" w14:textId="77777777" w:rsidR="00A85061" w:rsidRDefault="00F04891">
            <w:pPr>
              <w:jc w:val="right"/>
              <w:textAlignment w:val="bottom"/>
            </w:pPr>
            <w:r>
              <w:rPr>
                <w:rFonts w:ascii="sans-serif" w:eastAsia="sans-serif" w:hAnsi="sans-serif" w:cs="sans-serif"/>
                <w:color w:val="000000"/>
                <w:sz w:val="20"/>
                <w:szCs w:val="20"/>
              </w:rPr>
              <w:t>163 </w:t>
            </w:r>
          </w:p>
        </w:tc>
        <w:tc>
          <w:tcPr>
            <w:tcW w:w="0" w:type="auto"/>
            <w:shd w:val="clear" w:color="auto" w:fill="E2EFD9"/>
            <w:tcMar>
              <w:top w:w="40" w:type="dxa"/>
              <w:left w:w="0" w:type="dxa"/>
              <w:bottom w:w="40" w:type="dxa"/>
              <w:right w:w="20" w:type="dxa"/>
            </w:tcMar>
            <w:vAlign w:val="bottom"/>
          </w:tcPr>
          <w:p w14:paraId="27E0832F" w14:textId="77777777" w:rsidR="00A85061" w:rsidRDefault="00A85061">
            <w:pPr>
              <w:jc w:val="right"/>
              <w:rPr>
                <w:rFonts w:ascii="宋体"/>
              </w:rPr>
            </w:pPr>
          </w:p>
        </w:tc>
      </w:tr>
      <w:tr w:rsidR="00A85061" w14:paraId="27E08337" w14:textId="77777777">
        <w:tc>
          <w:tcPr>
            <w:tcW w:w="0" w:type="auto"/>
            <w:gridSpan w:val="3"/>
            <w:shd w:val="clear" w:color="auto" w:fill="FFFFFF"/>
            <w:tcMar>
              <w:top w:w="40" w:type="dxa"/>
              <w:left w:w="20" w:type="dxa"/>
              <w:bottom w:w="40" w:type="dxa"/>
              <w:right w:w="20" w:type="dxa"/>
            </w:tcMar>
            <w:vAlign w:val="bottom"/>
          </w:tcPr>
          <w:p w14:paraId="27E08331" w14:textId="77777777" w:rsidR="00A85061" w:rsidRDefault="00F04891">
            <w:pPr>
              <w:textAlignment w:val="bottom"/>
            </w:pPr>
            <w:r>
              <w:rPr>
                <w:rFonts w:ascii="sans-serif" w:eastAsia="sans-serif" w:hAnsi="sans-serif" w:cs="sans-serif"/>
                <w:color w:val="000000"/>
                <w:sz w:val="20"/>
                <w:szCs w:val="20"/>
              </w:rPr>
              <w:t>Licenses payable</w:t>
            </w:r>
          </w:p>
        </w:tc>
        <w:tc>
          <w:tcPr>
            <w:tcW w:w="0" w:type="auto"/>
            <w:gridSpan w:val="2"/>
            <w:shd w:val="clear" w:color="auto" w:fill="FFFFFF"/>
            <w:tcMar>
              <w:top w:w="40" w:type="dxa"/>
              <w:left w:w="20" w:type="dxa"/>
              <w:bottom w:w="40" w:type="dxa"/>
              <w:right w:w="0" w:type="dxa"/>
            </w:tcMar>
            <w:vAlign w:val="bottom"/>
          </w:tcPr>
          <w:p w14:paraId="27E08332" w14:textId="77777777" w:rsidR="00A85061" w:rsidRDefault="00F04891">
            <w:pPr>
              <w:jc w:val="right"/>
              <w:textAlignment w:val="bottom"/>
            </w:pPr>
            <w:r>
              <w:rPr>
                <w:rFonts w:ascii="sans-serif" w:eastAsia="sans-serif" w:hAnsi="sans-serif" w:cs="sans-serif"/>
                <w:color w:val="000000"/>
                <w:sz w:val="20"/>
                <w:szCs w:val="20"/>
              </w:rPr>
              <w:t>59 </w:t>
            </w:r>
          </w:p>
        </w:tc>
        <w:tc>
          <w:tcPr>
            <w:tcW w:w="0" w:type="auto"/>
            <w:shd w:val="clear" w:color="auto" w:fill="FFFFFF"/>
            <w:tcMar>
              <w:top w:w="40" w:type="dxa"/>
              <w:left w:w="0" w:type="dxa"/>
              <w:bottom w:w="40" w:type="dxa"/>
              <w:right w:w="20" w:type="dxa"/>
            </w:tcMar>
            <w:vAlign w:val="bottom"/>
          </w:tcPr>
          <w:p w14:paraId="27E0833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34"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335" w14:textId="77777777" w:rsidR="00A85061" w:rsidRDefault="00F04891">
            <w:pPr>
              <w:jc w:val="right"/>
              <w:textAlignment w:val="bottom"/>
            </w:pPr>
            <w:r>
              <w:rPr>
                <w:rFonts w:ascii="sans-serif" w:eastAsia="sans-serif" w:hAnsi="sans-serif" w:cs="sans-serif"/>
                <w:color w:val="000000"/>
                <w:sz w:val="20"/>
                <w:szCs w:val="20"/>
              </w:rPr>
              <w:t>56 </w:t>
            </w:r>
          </w:p>
        </w:tc>
        <w:tc>
          <w:tcPr>
            <w:tcW w:w="0" w:type="auto"/>
            <w:shd w:val="clear" w:color="auto" w:fill="FFFFFF"/>
            <w:tcMar>
              <w:top w:w="40" w:type="dxa"/>
              <w:left w:w="0" w:type="dxa"/>
              <w:bottom w:w="40" w:type="dxa"/>
              <w:right w:w="20" w:type="dxa"/>
            </w:tcMar>
            <w:vAlign w:val="bottom"/>
          </w:tcPr>
          <w:p w14:paraId="27E08336" w14:textId="77777777" w:rsidR="00A85061" w:rsidRDefault="00A85061">
            <w:pPr>
              <w:jc w:val="right"/>
              <w:rPr>
                <w:rFonts w:ascii="宋体"/>
              </w:rPr>
            </w:pPr>
          </w:p>
        </w:tc>
      </w:tr>
      <w:tr w:rsidR="00A85061" w14:paraId="27E0833E" w14:textId="77777777">
        <w:tc>
          <w:tcPr>
            <w:tcW w:w="0" w:type="auto"/>
            <w:gridSpan w:val="3"/>
            <w:shd w:val="clear" w:color="auto" w:fill="E2EFD9"/>
            <w:tcMar>
              <w:top w:w="40" w:type="dxa"/>
              <w:left w:w="20" w:type="dxa"/>
              <w:bottom w:w="40" w:type="dxa"/>
              <w:right w:w="20" w:type="dxa"/>
            </w:tcMar>
            <w:vAlign w:val="bottom"/>
          </w:tcPr>
          <w:p w14:paraId="27E08338" w14:textId="77777777" w:rsidR="00A85061" w:rsidRDefault="00F04891">
            <w:pPr>
              <w:textAlignment w:val="bottom"/>
            </w:pPr>
            <w:r>
              <w:rPr>
                <w:rFonts w:ascii="sans-serif" w:eastAsia="sans-serif" w:hAnsi="sans-serif" w:cs="sans-serif"/>
                <w:color w:val="000000"/>
                <w:sz w:val="20"/>
                <w:szCs w:val="20"/>
              </w:rPr>
              <w:t>Employee benefits</w:t>
            </w:r>
          </w:p>
        </w:tc>
        <w:tc>
          <w:tcPr>
            <w:tcW w:w="0" w:type="auto"/>
            <w:gridSpan w:val="2"/>
            <w:shd w:val="clear" w:color="auto" w:fill="E2EFD9"/>
            <w:tcMar>
              <w:top w:w="40" w:type="dxa"/>
              <w:left w:w="20" w:type="dxa"/>
              <w:bottom w:w="40" w:type="dxa"/>
              <w:right w:w="0" w:type="dxa"/>
            </w:tcMar>
            <w:vAlign w:val="bottom"/>
          </w:tcPr>
          <w:p w14:paraId="27E08339" w14:textId="77777777" w:rsidR="00A85061" w:rsidRDefault="00F04891">
            <w:pPr>
              <w:jc w:val="right"/>
              <w:textAlignment w:val="bottom"/>
            </w:pPr>
            <w:r>
              <w:rPr>
                <w:rFonts w:ascii="sans-serif" w:eastAsia="sans-serif" w:hAnsi="sans-serif" w:cs="sans-serif"/>
                <w:color w:val="000000"/>
                <w:sz w:val="20"/>
                <w:szCs w:val="20"/>
              </w:rPr>
              <w:t>34 </w:t>
            </w:r>
          </w:p>
        </w:tc>
        <w:tc>
          <w:tcPr>
            <w:tcW w:w="0" w:type="auto"/>
            <w:shd w:val="clear" w:color="auto" w:fill="E2EFD9"/>
            <w:tcMar>
              <w:top w:w="40" w:type="dxa"/>
              <w:left w:w="0" w:type="dxa"/>
              <w:bottom w:w="40" w:type="dxa"/>
              <w:right w:w="20" w:type="dxa"/>
            </w:tcMar>
            <w:vAlign w:val="bottom"/>
          </w:tcPr>
          <w:p w14:paraId="27E0833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3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33C" w14:textId="77777777" w:rsidR="00A85061" w:rsidRDefault="00F04891">
            <w:pPr>
              <w:jc w:val="right"/>
              <w:textAlignment w:val="bottom"/>
            </w:pPr>
            <w:r>
              <w:rPr>
                <w:rFonts w:ascii="sans-serif" w:eastAsia="sans-serif" w:hAnsi="sans-serif" w:cs="sans-serif"/>
                <w:color w:val="000000"/>
                <w:sz w:val="20"/>
                <w:szCs w:val="20"/>
              </w:rPr>
              <w:t>33 </w:t>
            </w:r>
          </w:p>
        </w:tc>
        <w:tc>
          <w:tcPr>
            <w:tcW w:w="0" w:type="auto"/>
            <w:shd w:val="clear" w:color="auto" w:fill="E2EFD9"/>
            <w:tcMar>
              <w:top w:w="40" w:type="dxa"/>
              <w:left w:w="0" w:type="dxa"/>
              <w:bottom w:w="40" w:type="dxa"/>
              <w:right w:w="20" w:type="dxa"/>
            </w:tcMar>
            <w:vAlign w:val="bottom"/>
          </w:tcPr>
          <w:p w14:paraId="27E0833D" w14:textId="77777777" w:rsidR="00A85061" w:rsidRDefault="00A85061">
            <w:pPr>
              <w:jc w:val="right"/>
              <w:rPr>
                <w:rFonts w:ascii="宋体"/>
              </w:rPr>
            </w:pPr>
          </w:p>
        </w:tc>
      </w:tr>
      <w:tr w:rsidR="00A85061" w14:paraId="27E08343" w14:textId="77777777">
        <w:trPr>
          <w:hidden/>
        </w:trPr>
        <w:tc>
          <w:tcPr>
            <w:tcW w:w="0" w:type="auto"/>
            <w:gridSpan w:val="3"/>
            <w:shd w:val="clear" w:color="auto" w:fill="auto"/>
            <w:vAlign w:val="bottom"/>
          </w:tcPr>
          <w:p w14:paraId="27E0833F" w14:textId="77777777" w:rsidR="00A85061" w:rsidRDefault="00A85061">
            <w:pPr>
              <w:rPr>
                <w:rFonts w:ascii="宋体"/>
                <w:vanish/>
              </w:rPr>
            </w:pPr>
          </w:p>
        </w:tc>
        <w:tc>
          <w:tcPr>
            <w:tcW w:w="0" w:type="auto"/>
            <w:gridSpan w:val="3"/>
            <w:shd w:val="clear" w:color="auto" w:fill="auto"/>
            <w:vAlign w:val="bottom"/>
          </w:tcPr>
          <w:p w14:paraId="27E08340" w14:textId="77777777" w:rsidR="00A85061" w:rsidRDefault="00A85061">
            <w:pPr>
              <w:rPr>
                <w:rFonts w:ascii="宋体"/>
                <w:vanish/>
              </w:rPr>
            </w:pPr>
          </w:p>
        </w:tc>
        <w:tc>
          <w:tcPr>
            <w:tcW w:w="0" w:type="auto"/>
            <w:gridSpan w:val="3"/>
            <w:shd w:val="clear" w:color="auto" w:fill="auto"/>
            <w:vAlign w:val="bottom"/>
          </w:tcPr>
          <w:p w14:paraId="27E08341" w14:textId="77777777" w:rsidR="00A85061" w:rsidRDefault="00A85061">
            <w:pPr>
              <w:rPr>
                <w:rFonts w:ascii="宋体"/>
                <w:vanish/>
              </w:rPr>
            </w:pPr>
          </w:p>
        </w:tc>
        <w:tc>
          <w:tcPr>
            <w:tcW w:w="0" w:type="auto"/>
            <w:gridSpan w:val="3"/>
            <w:shd w:val="clear" w:color="auto" w:fill="auto"/>
            <w:vAlign w:val="bottom"/>
          </w:tcPr>
          <w:p w14:paraId="27E08342" w14:textId="77777777" w:rsidR="00A85061" w:rsidRDefault="00A85061">
            <w:pPr>
              <w:rPr>
                <w:rFonts w:ascii="宋体"/>
                <w:vanish/>
              </w:rPr>
            </w:pPr>
          </w:p>
        </w:tc>
      </w:tr>
      <w:tr w:rsidR="00A85061" w14:paraId="27E0834A" w14:textId="77777777">
        <w:tc>
          <w:tcPr>
            <w:tcW w:w="0" w:type="auto"/>
            <w:gridSpan w:val="3"/>
            <w:shd w:val="clear" w:color="auto" w:fill="FFFFFF"/>
            <w:tcMar>
              <w:top w:w="40" w:type="dxa"/>
              <w:left w:w="20" w:type="dxa"/>
              <w:bottom w:w="40" w:type="dxa"/>
              <w:right w:w="20" w:type="dxa"/>
            </w:tcMar>
            <w:vAlign w:val="bottom"/>
          </w:tcPr>
          <w:p w14:paraId="27E08344" w14:textId="77777777" w:rsidR="00A85061" w:rsidRDefault="00F04891">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27E08345" w14:textId="77777777" w:rsidR="00A85061" w:rsidRDefault="00F04891">
            <w:pPr>
              <w:jc w:val="right"/>
              <w:textAlignment w:val="bottom"/>
            </w:pPr>
            <w:r>
              <w:rPr>
                <w:rFonts w:ascii="sans-serif" w:eastAsia="sans-serif" w:hAnsi="sans-serif" w:cs="sans-serif"/>
                <w:color w:val="000000"/>
                <w:sz w:val="20"/>
                <w:szCs w:val="20"/>
              </w:rPr>
              <w:t>50 </w:t>
            </w:r>
          </w:p>
        </w:tc>
        <w:tc>
          <w:tcPr>
            <w:tcW w:w="0" w:type="auto"/>
            <w:shd w:val="clear" w:color="auto" w:fill="FFFFFF"/>
            <w:tcMar>
              <w:top w:w="40" w:type="dxa"/>
              <w:left w:w="0" w:type="dxa"/>
              <w:bottom w:w="40" w:type="dxa"/>
              <w:right w:w="20" w:type="dxa"/>
            </w:tcMar>
            <w:vAlign w:val="bottom"/>
          </w:tcPr>
          <w:p w14:paraId="27E0834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4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348" w14:textId="77777777" w:rsidR="00A85061" w:rsidRDefault="00F04891">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27E08349" w14:textId="77777777" w:rsidR="00A85061" w:rsidRDefault="00A85061">
            <w:pPr>
              <w:jc w:val="right"/>
              <w:rPr>
                <w:rFonts w:ascii="宋体"/>
              </w:rPr>
            </w:pPr>
          </w:p>
        </w:tc>
      </w:tr>
      <w:tr w:rsidR="00A85061" w14:paraId="27E08353" w14:textId="77777777">
        <w:tc>
          <w:tcPr>
            <w:tcW w:w="0" w:type="auto"/>
            <w:gridSpan w:val="3"/>
            <w:shd w:val="clear" w:color="auto" w:fill="E2EFD9"/>
            <w:tcMar>
              <w:top w:w="40" w:type="dxa"/>
              <w:left w:w="380" w:type="dxa"/>
              <w:bottom w:w="40" w:type="dxa"/>
              <w:right w:w="20" w:type="dxa"/>
            </w:tcMar>
            <w:vAlign w:val="bottom"/>
          </w:tcPr>
          <w:p w14:paraId="27E0834B" w14:textId="77777777" w:rsidR="00A85061" w:rsidRDefault="00F04891">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34C"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34D" w14:textId="77777777" w:rsidR="00A85061" w:rsidRDefault="00F04891">
            <w:pPr>
              <w:jc w:val="right"/>
              <w:textAlignment w:val="bottom"/>
            </w:pPr>
            <w:r>
              <w:rPr>
                <w:rFonts w:ascii="sans-serif" w:eastAsia="sans-serif" w:hAnsi="sans-serif" w:cs="sans-serif"/>
                <w:color w:val="000000"/>
                <w:sz w:val="20"/>
                <w:szCs w:val="20"/>
              </w:rPr>
              <w:t>1,414 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34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4F"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350"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351" w14:textId="77777777" w:rsidR="00A85061" w:rsidRDefault="00F04891">
            <w:pPr>
              <w:jc w:val="right"/>
              <w:textAlignment w:val="bottom"/>
            </w:pPr>
            <w:r>
              <w:rPr>
                <w:rFonts w:ascii="sans-serif" w:eastAsia="sans-serif" w:hAnsi="sans-serif" w:cs="sans-serif"/>
                <w:color w:val="000000"/>
                <w:sz w:val="20"/>
                <w:szCs w:val="20"/>
              </w:rPr>
              <w:t>1,375 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352" w14:textId="77777777" w:rsidR="00A85061" w:rsidRDefault="00A85061">
            <w:pPr>
              <w:jc w:val="right"/>
              <w:rPr>
                <w:rFonts w:ascii="宋体"/>
              </w:rPr>
            </w:pPr>
          </w:p>
        </w:tc>
      </w:tr>
    </w:tbl>
    <w:p w14:paraId="27E08354" w14:textId="77777777" w:rsidR="00A85061" w:rsidRDefault="00F04891">
      <w:pPr>
        <w:spacing w:after="60"/>
        <w:ind w:hanging="360"/>
        <w:jc w:val="both"/>
      </w:pPr>
      <w:r>
        <w:rPr>
          <w:rFonts w:ascii="sans-serif" w:eastAsia="sans-serif" w:hAnsi="sans-serif" w:cs="sans-serif"/>
          <w:color w:val="000000"/>
          <w:sz w:val="16"/>
          <w:szCs w:val="16"/>
        </w:rPr>
        <w:t xml:space="preserve">(1)    As of May 2, 2021, income tax payable represents the long-term portion of the one-time transition tax payable of $284 million, unrecognized tax benefits of $374 million, related interest and penalties of $48 million, and other foreign long-term tax </w:t>
      </w:r>
      <w:r>
        <w:rPr>
          <w:rFonts w:ascii="sans-serif" w:eastAsia="sans-serif" w:hAnsi="sans-serif" w:cs="sans-serif"/>
          <w:color w:val="000000"/>
          <w:sz w:val="16"/>
          <w:szCs w:val="16"/>
        </w:rPr>
        <w:t xml:space="preserve">payable of $158 million. </w:t>
      </w:r>
    </w:p>
    <w:p w14:paraId="27E08355" w14:textId="77777777" w:rsidR="00A85061" w:rsidRDefault="00F04891">
      <w:pPr>
        <w:spacing w:after="60"/>
        <w:ind w:hanging="360"/>
        <w:jc w:val="both"/>
      </w:pPr>
      <w:r>
        <w:rPr>
          <w:rFonts w:ascii="sans-serif" w:eastAsia="sans-serif" w:hAnsi="sans-serif" w:cs="sans-serif"/>
          <w:color w:val="000000"/>
          <w:sz w:val="16"/>
          <w:szCs w:val="16"/>
        </w:rPr>
        <w:t>(2)    Deferred revenue primarily includes deferrals related to PCS.</w:t>
      </w:r>
    </w:p>
    <w:p w14:paraId="27E08356" w14:textId="77777777" w:rsidR="00A85061" w:rsidRDefault="00A85061">
      <w:pPr>
        <w:spacing w:before="240" w:after="60"/>
        <w:jc w:val="both"/>
      </w:pPr>
    </w:p>
    <w:p w14:paraId="27E08357" w14:textId="77777777" w:rsidR="00A85061" w:rsidRDefault="00F04891">
      <w:pPr>
        <w:spacing w:after="180"/>
        <w:jc w:val="center"/>
      </w:pPr>
      <w:r>
        <w:rPr>
          <w:rFonts w:ascii="sans-serif" w:eastAsia="sans-serif" w:hAnsi="sans-serif" w:cs="sans-serif"/>
          <w:color w:val="000000"/>
          <w:sz w:val="20"/>
          <w:szCs w:val="20"/>
        </w:rPr>
        <w:t>16</w:t>
      </w:r>
    </w:p>
    <w:p w14:paraId="27E08358" w14:textId="77777777" w:rsidR="00A85061" w:rsidRDefault="00F04891">
      <w:r>
        <w:pict w14:anchorId="27E08F01">
          <v:rect id="_x0000_i1040" style="width:415.3pt;height:1.5pt" o:hralign="center" o:hrstd="t" o:hr="t" fillcolor="#a0a0a0" stroked="f"/>
        </w:pict>
      </w:r>
    </w:p>
    <w:p w14:paraId="27E08359" w14:textId="77777777" w:rsidR="00A85061" w:rsidRDefault="00F04891">
      <w:pPr>
        <w:jc w:val="center"/>
      </w:pPr>
      <w:r>
        <w:rPr>
          <w:rFonts w:ascii="sans-serif" w:eastAsia="sans-serif" w:hAnsi="sans-serif" w:cs="sans-serif"/>
          <w:b/>
          <w:bCs/>
          <w:color w:val="000000"/>
          <w:sz w:val="20"/>
          <w:szCs w:val="20"/>
        </w:rPr>
        <w:t>NVIDIA CORPORATION AND SUBSIDIARIES</w:t>
      </w:r>
    </w:p>
    <w:p w14:paraId="27E0835A"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835B" w14:textId="77777777" w:rsidR="00A85061" w:rsidRDefault="00F04891">
      <w:pPr>
        <w:jc w:val="center"/>
      </w:pPr>
      <w:r>
        <w:rPr>
          <w:rFonts w:ascii="sans-serif" w:eastAsia="sans-serif" w:hAnsi="sans-serif" w:cs="sans-serif"/>
          <w:b/>
          <w:bCs/>
          <w:color w:val="000000"/>
          <w:sz w:val="20"/>
          <w:szCs w:val="20"/>
        </w:rPr>
        <w:t>(Unaudited)</w:t>
      </w:r>
    </w:p>
    <w:p w14:paraId="27E0835C" w14:textId="77777777" w:rsidR="00A85061" w:rsidRDefault="00A85061">
      <w:pPr>
        <w:spacing w:after="180"/>
        <w:jc w:val="both"/>
      </w:pPr>
    </w:p>
    <w:p w14:paraId="27E0835D" w14:textId="77777777" w:rsidR="00A85061" w:rsidRDefault="00A85061">
      <w:pPr>
        <w:spacing w:after="180"/>
        <w:jc w:val="both"/>
      </w:pPr>
    </w:p>
    <w:p w14:paraId="27E0835E" w14:textId="77777777" w:rsidR="00A85061" w:rsidRDefault="00F04891">
      <w:pPr>
        <w:spacing w:before="240" w:after="60"/>
        <w:jc w:val="both"/>
      </w:pPr>
      <w:r>
        <w:rPr>
          <w:rFonts w:ascii="sans-serif" w:eastAsia="sans-serif" w:hAnsi="sans-serif" w:cs="sans-serif"/>
          <w:b/>
          <w:bCs/>
          <w:color w:val="76B900"/>
          <w:sz w:val="20"/>
          <w:szCs w:val="20"/>
        </w:rPr>
        <w:t xml:space="preserve">Deferred Revenue </w:t>
      </w:r>
    </w:p>
    <w:p w14:paraId="27E0835F" w14:textId="77777777" w:rsidR="00A85061" w:rsidRDefault="00F04891">
      <w:pPr>
        <w:spacing w:after="180"/>
      </w:pPr>
      <w:r>
        <w:rPr>
          <w:rFonts w:ascii="sans-serif" w:eastAsia="sans-serif" w:hAnsi="sans-serif" w:cs="sans-serif"/>
          <w:color w:val="000000"/>
          <w:sz w:val="20"/>
          <w:szCs w:val="20"/>
        </w:rPr>
        <w:t xml:space="preserve">The following </w:t>
      </w:r>
      <w:r>
        <w:rPr>
          <w:rFonts w:ascii="sans-serif" w:eastAsia="sans-serif" w:hAnsi="sans-serif" w:cs="sans-serif"/>
          <w:color w:val="000000"/>
          <w:sz w:val="20"/>
          <w:szCs w:val="20"/>
        </w:rPr>
        <w:t>table shows the changes in deferred revenue during the first quarter of fiscal years 2022 and 2021:</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2"/>
        <w:gridCol w:w="939"/>
        <w:gridCol w:w="36"/>
      </w:tblGrid>
      <w:tr w:rsidR="00A85061" w14:paraId="27E0836C" w14:textId="77777777">
        <w:tc>
          <w:tcPr>
            <w:tcW w:w="50" w:type="pct"/>
            <w:shd w:val="clear" w:color="auto" w:fill="auto"/>
            <w:vAlign w:val="bottom"/>
          </w:tcPr>
          <w:p w14:paraId="27E08360" w14:textId="77777777" w:rsidR="00A85061" w:rsidRDefault="00A85061">
            <w:pPr>
              <w:rPr>
                <w:rFonts w:ascii="宋体"/>
              </w:rPr>
            </w:pPr>
          </w:p>
        </w:tc>
        <w:tc>
          <w:tcPr>
            <w:tcW w:w="3575" w:type="pct"/>
            <w:shd w:val="clear" w:color="auto" w:fill="auto"/>
            <w:vAlign w:val="bottom"/>
          </w:tcPr>
          <w:p w14:paraId="27E08361" w14:textId="77777777" w:rsidR="00A85061" w:rsidRDefault="00A85061">
            <w:pPr>
              <w:rPr>
                <w:rFonts w:ascii="宋体"/>
              </w:rPr>
            </w:pPr>
          </w:p>
        </w:tc>
        <w:tc>
          <w:tcPr>
            <w:tcW w:w="5" w:type="pct"/>
            <w:shd w:val="clear" w:color="auto" w:fill="auto"/>
            <w:vAlign w:val="bottom"/>
          </w:tcPr>
          <w:p w14:paraId="27E08362" w14:textId="77777777" w:rsidR="00A85061" w:rsidRDefault="00A85061">
            <w:pPr>
              <w:rPr>
                <w:rFonts w:ascii="宋体"/>
              </w:rPr>
            </w:pPr>
          </w:p>
        </w:tc>
        <w:tc>
          <w:tcPr>
            <w:tcW w:w="50" w:type="pct"/>
            <w:shd w:val="clear" w:color="auto" w:fill="auto"/>
            <w:vAlign w:val="bottom"/>
          </w:tcPr>
          <w:p w14:paraId="27E08363" w14:textId="77777777" w:rsidR="00A85061" w:rsidRDefault="00A85061">
            <w:pPr>
              <w:rPr>
                <w:rFonts w:ascii="宋体"/>
              </w:rPr>
            </w:pPr>
          </w:p>
        </w:tc>
        <w:tc>
          <w:tcPr>
            <w:tcW w:w="611" w:type="pct"/>
            <w:shd w:val="clear" w:color="auto" w:fill="auto"/>
            <w:vAlign w:val="bottom"/>
          </w:tcPr>
          <w:p w14:paraId="27E08364" w14:textId="77777777" w:rsidR="00A85061" w:rsidRDefault="00A85061">
            <w:pPr>
              <w:rPr>
                <w:rFonts w:ascii="宋体"/>
              </w:rPr>
            </w:pPr>
          </w:p>
        </w:tc>
        <w:tc>
          <w:tcPr>
            <w:tcW w:w="5" w:type="pct"/>
            <w:shd w:val="clear" w:color="auto" w:fill="auto"/>
            <w:vAlign w:val="bottom"/>
          </w:tcPr>
          <w:p w14:paraId="27E08365" w14:textId="77777777" w:rsidR="00A85061" w:rsidRDefault="00A85061">
            <w:pPr>
              <w:rPr>
                <w:rFonts w:ascii="宋体"/>
              </w:rPr>
            </w:pPr>
          </w:p>
        </w:tc>
        <w:tc>
          <w:tcPr>
            <w:tcW w:w="5" w:type="pct"/>
            <w:shd w:val="clear" w:color="auto" w:fill="auto"/>
            <w:vAlign w:val="bottom"/>
          </w:tcPr>
          <w:p w14:paraId="27E08366" w14:textId="77777777" w:rsidR="00A85061" w:rsidRDefault="00A85061">
            <w:pPr>
              <w:rPr>
                <w:rFonts w:ascii="宋体"/>
              </w:rPr>
            </w:pPr>
          </w:p>
        </w:tc>
        <w:tc>
          <w:tcPr>
            <w:tcW w:w="26" w:type="pct"/>
            <w:shd w:val="clear" w:color="auto" w:fill="auto"/>
            <w:vAlign w:val="bottom"/>
          </w:tcPr>
          <w:p w14:paraId="27E08367" w14:textId="77777777" w:rsidR="00A85061" w:rsidRDefault="00A85061">
            <w:pPr>
              <w:rPr>
                <w:rFonts w:ascii="宋体"/>
              </w:rPr>
            </w:pPr>
          </w:p>
        </w:tc>
        <w:tc>
          <w:tcPr>
            <w:tcW w:w="5" w:type="pct"/>
            <w:shd w:val="clear" w:color="auto" w:fill="auto"/>
            <w:vAlign w:val="bottom"/>
          </w:tcPr>
          <w:p w14:paraId="27E08368" w14:textId="77777777" w:rsidR="00A85061" w:rsidRDefault="00A85061">
            <w:pPr>
              <w:rPr>
                <w:rFonts w:ascii="宋体"/>
              </w:rPr>
            </w:pPr>
          </w:p>
        </w:tc>
        <w:tc>
          <w:tcPr>
            <w:tcW w:w="50" w:type="pct"/>
            <w:shd w:val="clear" w:color="auto" w:fill="auto"/>
            <w:vAlign w:val="bottom"/>
          </w:tcPr>
          <w:p w14:paraId="27E08369" w14:textId="77777777" w:rsidR="00A85061" w:rsidRDefault="00A85061">
            <w:pPr>
              <w:rPr>
                <w:rFonts w:ascii="宋体"/>
              </w:rPr>
            </w:pPr>
          </w:p>
        </w:tc>
        <w:tc>
          <w:tcPr>
            <w:tcW w:w="611" w:type="pct"/>
            <w:shd w:val="clear" w:color="auto" w:fill="auto"/>
            <w:vAlign w:val="bottom"/>
          </w:tcPr>
          <w:p w14:paraId="27E0836A" w14:textId="77777777" w:rsidR="00A85061" w:rsidRDefault="00A85061">
            <w:pPr>
              <w:rPr>
                <w:rFonts w:ascii="宋体"/>
              </w:rPr>
            </w:pPr>
          </w:p>
        </w:tc>
        <w:tc>
          <w:tcPr>
            <w:tcW w:w="5" w:type="pct"/>
            <w:shd w:val="clear" w:color="auto" w:fill="auto"/>
            <w:vAlign w:val="bottom"/>
          </w:tcPr>
          <w:p w14:paraId="27E0836B" w14:textId="77777777" w:rsidR="00A85061" w:rsidRDefault="00A85061">
            <w:pPr>
              <w:rPr>
                <w:rFonts w:ascii="宋体"/>
              </w:rPr>
            </w:pPr>
          </w:p>
        </w:tc>
      </w:tr>
      <w:tr w:rsidR="00A85061" w14:paraId="27E08371" w14:textId="77777777">
        <w:tc>
          <w:tcPr>
            <w:tcW w:w="0" w:type="auto"/>
            <w:gridSpan w:val="3"/>
            <w:shd w:val="clear" w:color="auto" w:fill="auto"/>
            <w:tcMar>
              <w:top w:w="0" w:type="dxa"/>
              <w:left w:w="20" w:type="dxa"/>
              <w:bottom w:w="0" w:type="dxa"/>
              <w:right w:w="20" w:type="dxa"/>
            </w:tcMar>
            <w:vAlign w:val="bottom"/>
          </w:tcPr>
          <w:p w14:paraId="27E0836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6E"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shd w:val="clear" w:color="auto" w:fill="auto"/>
            <w:tcMar>
              <w:top w:w="0" w:type="dxa"/>
              <w:left w:w="20" w:type="dxa"/>
              <w:bottom w:w="0" w:type="dxa"/>
              <w:right w:w="20" w:type="dxa"/>
            </w:tcMar>
            <w:vAlign w:val="bottom"/>
          </w:tcPr>
          <w:p w14:paraId="27E0836F"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70" w14:textId="77777777" w:rsidR="00A85061" w:rsidRDefault="00F04891">
            <w:pPr>
              <w:jc w:val="center"/>
              <w:textAlignment w:val="bottom"/>
            </w:pPr>
            <w:r>
              <w:rPr>
                <w:rFonts w:ascii="sans-serif" w:eastAsia="sans-serif" w:hAnsi="sans-serif" w:cs="sans-serif"/>
                <w:b/>
                <w:bCs/>
                <w:color w:val="000000"/>
                <w:sz w:val="20"/>
                <w:szCs w:val="20"/>
              </w:rPr>
              <w:t>April 26,</w:t>
            </w:r>
          </w:p>
        </w:tc>
      </w:tr>
      <w:tr w:rsidR="00A85061" w14:paraId="27E08376" w14:textId="77777777">
        <w:tc>
          <w:tcPr>
            <w:tcW w:w="0" w:type="auto"/>
            <w:gridSpan w:val="3"/>
            <w:shd w:val="clear" w:color="auto" w:fill="auto"/>
            <w:tcMar>
              <w:top w:w="40" w:type="dxa"/>
              <w:left w:w="20" w:type="dxa"/>
              <w:bottom w:w="40" w:type="dxa"/>
              <w:right w:w="20" w:type="dxa"/>
            </w:tcMar>
            <w:vAlign w:val="bottom"/>
          </w:tcPr>
          <w:p w14:paraId="27E08372"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373"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374"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75" w14:textId="77777777" w:rsidR="00A85061" w:rsidRDefault="00F04891">
            <w:pPr>
              <w:jc w:val="center"/>
              <w:textAlignment w:val="bottom"/>
            </w:pPr>
            <w:r>
              <w:rPr>
                <w:rFonts w:ascii="sans-serif" w:eastAsia="sans-serif" w:hAnsi="sans-serif" w:cs="sans-serif"/>
                <w:b/>
                <w:bCs/>
                <w:color w:val="000000"/>
                <w:sz w:val="20"/>
                <w:szCs w:val="20"/>
              </w:rPr>
              <w:t>2020</w:t>
            </w:r>
          </w:p>
        </w:tc>
      </w:tr>
      <w:tr w:rsidR="00A85061" w14:paraId="27E0837B" w14:textId="77777777">
        <w:trPr>
          <w:trHeight w:val="60"/>
        </w:trPr>
        <w:tc>
          <w:tcPr>
            <w:tcW w:w="0" w:type="auto"/>
            <w:gridSpan w:val="3"/>
            <w:shd w:val="clear" w:color="auto" w:fill="auto"/>
            <w:tcMar>
              <w:top w:w="0" w:type="dxa"/>
              <w:left w:w="20" w:type="dxa"/>
              <w:bottom w:w="0" w:type="dxa"/>
              <w:right w:w="20" w:type="dxa"/>
            </w:tcMar>
            <w:vAlign w:val="bottom"/>
          </w:tcPr>
          <w:p w14:paraId="27E08377"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7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379"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7A" w14:textId="77777777" w:rsidR="00A85061" w:rsidRDefault="00A85061">
            <w:pPr>
              <w:rPr>
                <w:rFonts w:ascii="宋体"/>
              </w:rPr>
            </w:pPr>
          </w:p>
        </w:tc>
      </w:tr>
      <w:tr w:rsidR="00A85061" w14:paraId="27E0837E" w14:textId="77777777">
        <w:tc>
          <w:tcPr>
            <w:tcW w:w="0" w:type="auto"/>
            <w:gridSpan w:val="3"/>
            <w:shd w:val="clear" w:color="auto" w:fill="auto"/>
            <w:tcMar>
              <w:top w:w="0" w:type="dxa"/>
              <w:left w:w="20" w:type="dxa"/>
              <w:bottom w:w="0" w:type="dxa"/>
              <w:right w:w="20" w:type="dxa"/>
            </w:tcMar>
            <w:vAlign w:val="bottom"/>
          </w:tcPr>
          <w:p w14:paraId="27E0837C"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837D"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387" w14:textId="77777777">
        <w:tc>
          <w:tcPr>
            <w:tcW w:w="0" w:type="auto"/>
            <w:gridSpan w:val="3"/>
            <w:shd w:val="clear" w:color="auto" w:fill="E2EFD9"/>
            <w:tcMar>
              <w:top w:w="40" w:type="dxa"/>
              <w:left w:w="20" w:type="dxa"/>
              <w:bottom w:w="40" w:type="dxa"/>
              <w:right w:w="20" w:type="dxa"/>
            </w:tcMar>
            <w:vAlign w:val="bottom"/>
          </w:tcPr>
          <w:p w14:paraId="27E0837F" w14:textId="77777777" w:rsidR="00A85061" w:rsidRDefault="00F04891">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27E08380"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81" w14:textId="77777777" w:rsidR="00A85061" w:rsidRDefault="00F04891">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27E0838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83"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384"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85" w14:textId="77777777" w:rsidR="00A85061" w:rsidRDefault="00F04891">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27E08386" w14:textId="77777777" w:rsidR="00A85061" w:rsidRDefault="00A85061">
            <w:pPr>
              <w:jc w:val="right"/>
              <w:rPr>
                <w:rFonts w:ascii="宋体"/>
              </w:rPr>
            </w:pPr>
          </w:p>
        </w:tc>
      </w:tr>
      <w:tr w:rsidR="00A85061" w14:paraId="27E0838E" w14:textId="77777777">
        <w:tc>
          <w:tcPr>
            <w:tcW w:w="0" w:type="auto"/>
            <w:gridSpan w:val="3"/>
            <w:shd w:val="clear" w:color="auto" w:fill="FFFFFF"/>
            <w:tcMar>
              <w:top w:w="40" w:type="dxa"/>
              <w:left w:w="20" w:type="dxa"/>
              <w:bottom w:w="40" w:type="dxa"/>
              <w:right w:w="20" w:type="dxa"/>
            </w:tcMar>
            <w:vAlign w:val="bottom"/>
          </w:tcPr>
          <w:p w14:paraId="27E08388" w14:textId="77777777" w:rsidR="00A85061" w:rsidRDefault="00F04891">
            <w:pPr>
              <w:textAlignment w:val="bottom"/>
            </w:pPr>
            <w:r>
              <w:rPr>
                <w:rFonts w:ascii="sans-serif" w:eastAsia="sans-serif" w:hAnsi="sans-serif" w:cs="sans-serif"/>
                <w:color w:val="000000"/>
                <w:sz w:val="20"/>
                <w:szCs w:val="20"/>
              </w:rPr>
              <w:t xml:space="preserve">Deferred revenue added during the </w:t>
            </w:r>
            <w:r>
              <w:rPr>
                <w:rFonts w:ascii="sans-serif" w:eastAsia="sans-serif" w:hAnsi="sans-serif" w:cs="sans-serif"/>
                <w:color w:val="000000"/>
                <w:sz w:val="20"/>
                <w:szCs w:val="20"/>
              </w:rPr>
              <w:t>period</w:t>
            </w:r>
          </w:p>
        </w:tc>
        <w:tc>
          <w:tcPr>
            <w:tcW w:w="0" w:type="auto"/>
            <w:gridSpan w:val="2"/>
            <w:shd w:val="clear" w:color="auto" w:fill="FFFFFF"/>
            <w:tcMar>
              <w:top w:w="40" w:type="dxa"/>
              <w:left w:w="20" w:type="dxa"/>
              <w:bottom w:w="40" w:type="dxa"/>
              <w:right w:w="0" w:type="dxa"/>
            </w:tcMar>
            <w:vAlign w:val="bottom"/>
          </w:tcPr>
          <w:p w14:paraId="27E08389" w14:textId="77777777" w:rsidR="00A85061" w:rsidRDefault="00F04891">
            <w:pPr>
              <w:jc w:val="right"/>
              <w:textAlignment w:val="bottom"/>
            </w:pPr>
            <w:r>
              <w:rPr>
                <w:rFonts w:ascii="sans-serif" w:eastAsia="sans-serif" w:hAnsi="sans-serif" w:cs="sans-serif"/>
                <w:color w:val="000000"/>
                <w:sz w:val="20"/>
                <w:szCs w:val="20"/>
              </w:rPr>
              <w:t>178 </w:t>
            </w:r>
          </w:p>
        </w:tc>
        <w:tc>
          <w:tcPr>
            <w:tcW w:w="0" w:type="auto"/>
            <w:shd w:val="clear" w:color="auto" w:fill="FFFFFF"/>
            <w:tcMar>
              <w:top w:w="40" w:type="dxa"/>
              <w:left w:w="0" w:type="dxa"/>
              <w:bottom w:w="40" w:type="dxa"/>
              <w:right w:w="20" w:type="dxa"/>
            </w:tcMar>
            <w:vAlign w:val="bottom"/>
          </w:tcPr>
          <w:p w14:paraId="27E0838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8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38C" w14:textId="77777777" w:rsidR="00A85061" w:rsidRDefault="00F04891">
            <w:pPr>
              <w:jc w:val="right"/>
              <w:textAlignment w:val="bottom"/>
            </w:pPr>
            <w:r>
              <w:rPr>
                <w:rFonts w:ascii="sans-serif" w:eastAsia="sans-serif" w:hAnsi="sans-serif" w:cs="sans-serif"/>
                <w:color w:val="000000"/>
                <w:sz w:val="20"/>
                <w:szCs w:val="20"/>
              </w:rPr>
              <w:t>110 </w:t>
            </w:r>
          </w:p>
        </w:tc>
        <w:tc>
          <w:tcPr>
            <w:tcW w:w="0" w:type="auto"/>
            <w:shd w:val="clear" w:color="auto" w:fill="FFFFFF"/>
            <w:tcMar>
              <w:top w:w="40" w:type="dxa"/>
              <w:left w:w="0" w:type="dxa"/>
              <w:bottom w:w="40" w:type="dxa"/>
              <w:right w:w="20" w:type="dxa"/>
            </w:tcMar>
            <w:vAlign w:val="bottom"/>
          </w:tcPr>
          <w:p w14:paraId="27E0838D" w14:textId="77777777" w:rsidR="00A85061" w:rsidRDefault="00A85061">
            <w:pPr>
              <w:jc w:val="right"/>
              <w:rPr>
                <w:rFonts w:ascii="宋体"/>
              </w:rPr>
            </w:pPr>
          </w:p>
        </w:tc>
      </w:tr>
      <w:tr w:rsidR="00A85061" w14:paraId="27E08393" w14:textId="77777777">
        <w:trPr>
          <w:hidden/>
        </w:trPr>
        <w:tc>
          <w:tcPr>
            <w:tcW w:w="0" w:type="auto"/>
            <w:gridSpan w:val="3"/>
            <w:shd w:val="clear" w:color="auto" w:fill="auto"/>
            <w:vAlign w:val="bottom"/>
          </w:tcPr>
          <w:p w14:paraId="27E0838F" w14:textId="77777777" w:rsidR="00A85061" w:rsidRDefault="00A85061">
            <w:pPr>
              <w:rPr>
                <w:rFonts w:ascii="宋体"/>
                <w:vanish/>
              </w:rPr>
            </w:pPr>
          </w:p>
        </w:tc>
        <w:tc>
          <w:tcPr>
            <w:tcW w:w="0" w:type="auto"/>
            <w:gridSpan w:val="3"/>
            <w:shd w:val="clear" w:color="auto" w:fill="auto"/>
            <w:vAlign w:val="bottom"/>
          </w:tcPr>
          <w:p w14:paraId="27E08390" w14:textId="77777777" w:rsidR="00A85061" w:rsidRDefault="00A85061">
            <w:pPr>
              <w:rPr>
                <w:rFonts w:ascii="宋体"/>
                <w:vanish/>
              </w:rPr>
            </w:pPr>
          </w:p>
        </w:tc>
        <w:tc>
          <w:tcPr>
            <w:tcW w:w="0" w:type="auto"/>
            <w:gridSpan w:val="3"/>
            <w:shd w:val="clear" w:color="auto" w:fill="auto"/>
            <w:vAlign w:val="bottom"/>
          </w:tcPr>
          <w:p w14:paraId="27E08391" w14:textId="77777777" w:rsidR="00A85061" w:rsidRDefault="00A85061">
            <w:pPr>
              <w:rPr>
                <w:rFonts w:ascii="宋体"/>
                <w:vanish/>
              </w:rPr>
            </w:pPr>
          </w:p>
        </w:tc>
        <w:tc>
          <w:tcPr>
            <w:tcW w:w="0" w:type="auto"/>
            <w:gridSpan w:val="3"/>
            <w:shd w:val="clear" w:color="auto" w:fill="auto"/>
            <w:vAlign w:val="bottom"/>
          </w:tcPr>
          <w:p w14:paraId="27E08392" w14:textId="77777777" w:rsidR="00A85061" w:rsidRDefault="00A85061">
            <w:pPr>
              <w:rPr>
                <w:rFonts w:ascii="宋体"/>
                <w:vanish/>
              </w:rPr>
            </w:pPr>
          </w:p>
        </w:tc>
      </w:tr>
      <w:tr w:rsidR="00A85061" w14:paraId="27E0839A" w14:textId="77777777">
        <w:tc>
          <w:tcPr>
            <w:tcW w:w="0" w:type="auto"/>
            <w:gridSpan w:val="3"/>
            <w:shd w:val="clear" w:color="auto" w:fill="E2EFD9"/>
            <w:tcMar>
              <w:top w:w="40" w:type="dxa"/>
              <w:left w:w="20" w:type="dxa"/>
              <w:bottom w:w="40" w:type="dxa"/>
              <w:right w:w="20" w:type="dxa"/>
            </w:tcMar>
            <w:vAlign w:val="bottom"/>
          </w:tcPr>
          <w:p w14:paraId="27E08394" w14:textId="77777777" w:rsidR="00A85061" w:rsidRDefault="00F04891">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E2EFD9"/>
            <w:tcMar>
              <w:top w:w="40" w:type="dxa"/>
              <w:left w:w="20" w:type="dxa"/>
              <w:bottom w:w="40" w:type="dxa"/>
              <w:right w:w="0" w:type="dxa"/>
            </w:tcMar>
            <w:vAlign w:val="bottom"/>
          </w:tcPr>
          <w:p w14:paraId="27E08395" w14:textId="77777777" w:rsidR="00A85061" w:rsidRDefault="00F04891">
            <w:pPr>
              <w:jc w:val="right"/>
              <w:textAlignment w:val="bottom"/>
            </w:pPr>
            <w:r>
              <w:rPr>
                <w:rFonts w:ascii="sans-serif" w:eastAsia="sans-serif" w:hAnsi="sans-serif" w:cs="sans-serif"/>
                <w:color w:val="000000"/>
                <w:sz w:val="20"/>
                <w:szCs w:val="20"/>
              </w:rPr>
              <w:t>(123)</w:t>
            </w:r>
          </w:p>
        </w:tc>
        <w:tc>
          <w:tcPr>
            <w:tcW w:w="0" w:type="auto"/>
            <w:shd w:val="clear" w:color="auto" w:fill="E2EFD9"/>
            <w:tcMar>
              <w:top w:w="40" w:type="dxa"/>
              <w:left w:w="0" w:type="dxa"/>
              <w:bottom w:w="40" w:type="dxa"/>
              <w:right w:w="20" w:type="dxa"/>
            </w:tcMar>
            <w:vAlign w:val="bottom"/>
          </w:tcPr>
          <w:p w14:paraId="27E0839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9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398" w14:textId="77777777" w:rsidR="00A85061" w:rsidRDefault="00F04891">
            <w:pPr>
              <w:jc w:val="right"/>
              <w:textAlignment w:val="bottom"/>
            </w:pPr>
            <w:r>
              <w:rPr>
                <w:rFonts w:ascii="sans-serif" w:eastAsia="sans-serif" w:hAnsi="sans-serif" w:cs="sans-serif"/>
                <w:color w:val="000000"/>
                <w:sz w:val="20"/>
                <w:szCs w:val="20"/>
              </w:rPr>
              <w:t>(70)</w:t>
            </w:r>
          </w:p>
        </w:tc>
        <w:tc>
          <w:tcPr>
            <w:tcW w:w="0" w:type="auto"/>
            <w:shd w:val="clear" w:color="auto" w:fill="E2EFD9"/>
            <w:tcMar>
              <w:top w:w="40" w:type="dxa"/>
              <w:left w:w="0" w:type="dxa"/>
              <w:bottom w:w="40" w:type="dxa"/>
              <w:right w:w="20" w:type="dxa"/>
            </w:tcMar>
            <w:vAlign w:val="bottom"/>
          </w:tcPr>
          <w:p w14:paraId="27E08399" w14:textId="77777777" w:rsidR="00A85061" w:rsidRDefault="00A85061">
            <w:pPr>
              <w:jc w:val="right"/>
              <w:rPr>
                <w:rFonts w:ascii="宋体"/>
              </w:rPr>
            </w:pPr>
          </w:p>
        </w:tc>
      </w:tr>
      <w:tr w:rsidR="00A85061" w14:paraId="27E083A3" w14:textId="77777777">
        <w:tc>
          <w:tcPr>
            <w:tcW w:w="0" w:type="auto"/>
            <w:gridSpan w:val="3"/>
            <w:shd w:val="clear" w:color="auto" w:fill="FFFFFF"/>
            <w:tcMar>
              <w:top w:w="40" w:type="dxa"/>
              <w:left w:w="20" w:type="dxa"/>
              <w:bottom w:w="40" w:type="dxa"/>
              <w:right w:w="20" w:type="dxa"/>
            </w:tcMar>
            <w:vAlign w:val="bottom"/>
          </w:tcPr>
          <w:p w14:paraId="27E0839B" w14:textId="77777777" w:rsidR="00A85061" w:rsidRDefault="00F04891">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39C"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39D" w14:textId="77777777" w:rsidR="00A85061" w:rsidRDefault="00F04891">
            <w:pPr>
              <w:jc w:val="right"/>
              <w:textAlignment w:val="bottom"/>
            </w:pPr>
            <w:r>
              <w:rPr>
                <w:rFonts w:ascii="sans-serif" w:eastAsia="sans-serif" w:hAnsi="sans-serif" w:cs="sans-serif"/>
                <w:color w:val="000000"/>
                <w:sz w:val="20"/>
                <w:szCs w:val="20"/>
              </w:rPr>
              <w:t>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39E"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9F"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3A0"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3A1" w14:textId="77777777" w:rsidR="00A85061" w:rsidRDefault="00F04891">
            <w:pPr>
              <w:jc w:val="right"/>
              <w:textAlignment w:val="bottom"/>
            </w:pPr>
            <w:r>
              <w:rPr>
                <w:rFonts w:ascii="sans-serif" w:eastAsia="sans-serif" w:hAnsi="sans-serif" w:cs="sans-serif"/>
                <w:color w:val="000000"/>
                <w:sz w:val="20"/>
                <w:szCs w:val="20"/>
              </w:rPr>
              <w:t>241 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3A2" w14:textId="77777777" w:rsidR="00A85061" w:rsidRDefault="00A85061">
            <w:pPr>
              <w:jc w:val="right"/>
              <w:rPr>
                <w:rFonts w:ascii="宋体"/>
              </w:rPr>
            </w:pPr>
          </w:p>
        </w:tc>
      </w:tr>
    </w:tbl>
    <w:p w14:paraId="27E083A4" w14:textId="77777777" w:rsidR="00A85061" w:rsidRDefault="00F04891">
      <w:pPr>
        <w:spacing w:after="60"/>
        <w:jc w:val="both"/>
      </w:pPr>
      <w:r>
        <w:rPr>
          <w:rFonts w:ascii="sans-serif" w:eastAsia="sans-serif" w:hAnsi="sans-serif" w:cs="sans-serif"/>
          <w:color w:val="000000"/>
          <w:sz w:val="20"/>
          <w:szCs w:val="20"/>
        </w:rPr>
        <w:t xml:space="preserve">Revenue related to remaining performance obligations represents the remaining contracted license, development arrangements and PCS </w:t>
      </w:r>
      <w:r>
        <w:rPr>
          <w:rFonts w:ascii="sans-serif" w:eastAsia="sans-serif" w:hAnsi="sans-serif" w:cs="sans-serif"/>
          <w:color w:val="000000"/>
          <w:sz w:val="20"/>
          <w:szCs w:val="20"/>
        </w:rPr>
        <w:t xml:space="preserve">that has not been recognized. This includes related deferred revenue currently recorded and amounts that will be invoiced in future periods. As of May 2, 2021, the amount of our remaining performance obligations that has not been recognized as revenue was </w:t>
      </w:r>
      <w:r>
        <w:rPr>
          <w:rFonts w:ascii="sans-serif" w:eastAsia="sans-serif" w:hAnsi="sans-serif" w:cs="sans-serif"/>
          <w:color w:val="000000"/>
          <w:sz w:val="20"/>
          <w:szCs w:val="20"/>
        </w:rPr>
        <w:t xml:space="preserve">$680 million, of which we expect to recognize approximately 48% as revenue over the next 12 months and the remainder thereafter. This amount excludes the value of remaining performance obligations for contracts with an original expected length of one year </w:t>
      </w:r>
      <w:r>
        <w:rPr>
          <w:rFonts w:ascii="sans-serif" w:eastAsia="sans-serif" w:hAnsi="sans-serif" w:cs="sans-serif"/>
          <w:color w:val="000000"/>
          <w:sz w:val="20"/>
          <w:szCs w:val="20"/>
        </w:rPr>
        <w:t>or less.</w:t>
      </w:r>
    </w:p>
    <w:p w14:paraId="27E083A5" w14:textId="77777777" w:rsidR="00A85061" w:rsidRDefault="00F04891">
      <w:pPr>
        <w:spacing w:before="240" w:after="120"/>
        <w:jc w:val="both"/>
      </w:pPr>
      <w:r>
        <w:rPr>
          <w:rFonts w:ascii="sans-serif" w:eastAsia="sans-serif" w:hAnsi="sans-serif" w:cs="sans-serif"/>
          <w:b/>
          <w:bCs/>
          <w:color w:val="76B900"/>
          <w:sz w:val="22"/>
          <w:szCs w:val="22"/>
        </w:rPr>
        <w:t>Note 11 - Derivative Financial Instruments</w:t>
      </w:r>
    </w:p>
    <w:p w14:paraId="27E083A6" w14:textId="77777777" w:rsidR="00A85061" w:rsidRDefault="00F04891">
      <w:pPr>
        <w:spacing w:after="180"/>
        <w:jc w:val="both"/>
      </w:pPr>
      <w:r>
        <w:rPr>
          <w:rFonts w:ascii="sans-serif" w:eastAsia="sans-serif" w:hAnsi="sans-serif" w:cs="sans-serif"/>
          <w:color w:val="000000"/>
          <w:sz w:val="20"/>
          <w:szCs w:val="20"/>
        </w:rPr>
        <w:t xml:space="preserve">We enter into foreign currency forward contracts to mitigate the impact of foreign currency exchange rate movements on our operating expenses. These contracts are designated as cash flow hedges for </w:t>
      </w:r>
      <w:r>
        <w:rPr>
          <w:rFonts w:ascii="sans-serif" w:eastAsia="sans-serif" w:hAnsi="sans-serif" w:cs="sans-serif"/>
          <w:color w:val="000000"/>
          <w:sz w:val="20"/>
          <w:szCs w:val="20"/>
        </w:rPr>
        <w:t>hedge accounting treatment. Gains or losses on the contracts are recorded in accumulated other comprehensive income or loss and reclassified to operating expense when the related operating expenses are recognized in earnings or ineffectiveness should occur</w:t>
      </w:r>
      <w:r>
        <w:rPr>
          <w:rFonts w:ascii="sans-serif" w:eastAsia="sans-serif" w:hAnsi="sans-serif" w:cs="sans-serif"/>
          <w:color w:val="000000"/>
          <w:sz w:val="20"/>
          <w:szCs w:val="20"/>
        </w:rPr>
        <w:t>. The fair value of the contracts was not significant as of May 2, 2021 and January 31, 2021.</w:t>
      </w:r>
    </w:p>
    <w:p w14:paraId="27E083A7" w14:textId="77777777" w:rsidR="00A85061" w:rsidRDefault="00F04891">
      <w:pPr>
        <w:jc w:val="both"/>
      </w:pPr>
      <w:r>
        <w:rPr>
          <w:rFonts w:ascii="sans-serif" w:eastAsia="sans-serif" w:hAnsi="sans-serif" w:cs="sans-serif"/>
          <w:color w:val="000000"/>
          <w:sz w:val="20"/>
          <w:szCs w:val="20"/>
        </w:rPr>
        <w:t>We also enter into foreign currency forward contracts to mitigate the impact of foreign currency movements on monetary assets and liabilities that are denominated</w:t>
      </w:r>
      <w:r>
        <w:rPr>
          <w:rFonts w:ascii="sans-serif" w:eastAsia="sans-serif" w:hAnsi="sans-serif" w:cs="sans-serif"/>
          <w:color w:val="000000"/>
          <w:sz w:val="20"/>
          <w:szCs w:val="20"/>
        </w:rPr>
        <w:t xml:space="preserve"> in currencies other than the U.S. dollar. These forward contracts were not designated for hedge accounting treatment. Therefore, the change in fair value of these contracts is recorded in other income or expense and offsets the change in fair value of the</w:t>
      </w:r>
      <w:r>
        <w:rPr>
          <w:rFonts w:ascii="sans-serif" w:eastAsia="sans-serif" w:hAnsi="sans-serif" w:cs="sans-serif"/>
          <w:color w:val="000000"/>
          <w:sz w:val="20"/>
          <w:szCs w:val="20"/>
        </w:rPr>
        <w:t xml:space="preserve"> hedged foreign currency denominated monetary assets and liabilities, which is also recorded in other income or expense. </w:t>
      </w:r>
    </w:p>
    <w:p w14:paraId="27E083A8" w14:textId="77777777" w:rsidR="00A85061" w:rsidRDefault="00A85061"/>
    <w:p w14:paraId="27E083A9" w14:textId="77777777" w:rsidR="00A85061" w:rsidRDefault="00F04891">
      <w:pPr>
        <w:spacing w:after="180"/>
        <w:jc w:val="both"/>
      </w:pPr>
      <w:r>
        <w:rPr>
          <w:rFonts w:ascii="sans-serif" w:eastAsia="sans-serif" w:hAnsi="sans-serif" w:cs="sans-serif"/>
          <w:color w:val="000000"/>
          <w:sz w:val="20"/>
          <w:szCs w:val="20"/>
        </w:rPr>
        <w:t>The table below presents the notional value of our foreign currency forward contracts outstanding as of May 2, 2021 and January 31, 2</w:t>
      </w:r>
      <w:r>
        <w:rPr>
          <w:rFonts w:ascii="sans-serif" w:eastAsia="sans-serif" w:hAnsi="sans-serif" w:cs="sans-serif"/>
          <w:color w:val="000000"/>
          <w:sz w:val="20"/>
          <w:szCs w:val="20"/>
        </w:rPr>
        <w:t>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2"/>
        <w:gridCol w:w="1082"/>
        <w:gridCol w:w="36"/>
        <w:gridCol w:w="36"/>
        <w:gridCol w:w="49"/>
        <w:gridCol w:w="36"/>
        <w:gridCol w:w="123"/>
        <w:gridCol w:w="1085"/>
        <w:gridCol w:w="36"/>
      </w:tblGrid>
      <w:tr w:rsidR="00A85061" w14:paraId="27E083B6" w14:textId="77777777">
        <w:tc>
          <w:tcPr>
            <w:tcW w:w="50" w:type="pct"/>
            <w:shd w:val="clear" w:color="auto" w:fill="auto"/>
            <w:vAlign w:val="bottom"/>
          </w:tcPr>
          <w:p w14:paraId="27E083AA" w14:textId="77777777" w:rsidR="00A85061" w:rsidRDefault="00A85061">
            <w:pPr>
              <w:rPr>
                <w:rFonts w:ascii="宋体"/>
              </w:rPr>
            </w:pPr>
          </w:p>
        </w:tc>
        <w:tc>
          <w:tcPr>
            <w:tcW w:w="3417" w:type="pct"/>
            <w:shd w:val="clear" w:color="auto" w:fill="auto"/>
            <w:vAlign w:val="bottom"/>
          </w:tcPr>
          <w:p w14:paraId="27E083AB" w14:textId="77777777" w:rsidR="00A85061" w:rsidRDefault="00A85061">
            <w:pPr>
              <w:rPr>
                <w:rFonts w:ascii="宋体"/>
              </w:rPr>
            </w:pPr>
          </w:p>
        </w:tc>
        <w:tc>
          <w:tcPr>
            <w:tcW w:w="5" w:type="pct"/>
            <w:shd w:val="clear" w:color="auto" w:fill="auto"/>
            <w:vAlign w:val="bottom"/>
          </w:tcPr>
          <w:p w14:paraId="27E083AC" w14:textId="77777777" w:rsidR="00A85061" w:rsidRDefault="00A85061">
            <w:pPr>
              <w:rPr>
                <w:rFonts w:ascii="宋体"/>
              </w:rPr>
            </w:pPr>
          </w:p>
        </w:tc>
        <w:tc>
          <w:tcPr>
            <w:tcW w:w="50" w:type="pct"/>
            <w:shd w:val="clear" w:color="auto" w:fill="auto"/>
            <w:vAlign w:val="bottom"/>
          </w:tcPr>
          <w:p w14:paraId="27E083AD" w14:textId="77777777" w:rsidR="00A85061" w:rsidRDefault="00A85061">
            <w:pPr>
              <w:rPr>
                <w:rFonts w:ascii="宋体"/>
              </w:rPr>
            </w:pPr>
          </w:p>
        </w:tc>
        <w:tc>
          <w:tcPr>
            <w:tcW w:w="675" w:type="pct"/>
            <w:shd w:val="clear" w:color="auto" w:fill="auto"/>
            <w:vAlign w:val="bottom"/>
          </w:tcPr>
          <w:p w14:paraId="27E083AE" w14:textId="77777777" w:rsidR="00A85061" w:rsidRDefault="00A85061">
            <w:pPr>
              <w:rPr>
                <w:rFonts w:ascii="宋体"/>
              </w:rPr>
            </w:pPr>
          </w:p>
        </w:tc>
        <w:tc>
          <w:tcPr>
            <w:tcW w:w="5" w:type="pct"/>
            <w:shd w:val="clear" w:color="auto" w:fill="auto"/>
            <w:vAlign w:val="bottom"/>
          </w:tcPr>
          <w:p w14:paraId="27E083AF" w14:textId="77777777" w:rsidR="00A85061" w:rsidRDefault="00A85061">
            <w:pPr>
              <w:rPr>
                <w:rFonts w:ascii="宋体"/>
              </w:rPr>
            </w:pPr>
          </w:p>
        </w:tc>
        <w:tc>
          <w:tcPr>
            <w:tcW w:w="5" w:type="pct"/>
            <w:shd w:val="clear" w:color="auto" w:fill="auto"/>
            <w:vAlign w:val="bottom"/>
          </w:tcPr>
          <w:p w14:paraId="27E083B0" w14:textId="77777777" w:rsidR="00A85061" w:rsidRDefault="00A85061">
            <w:pPr>
              <w:rPr>
                <w:rFonts w:ascii="宋体"/>
              </w:rPr>
            </w:pPr>
          </w:p>
        </w:tc>
        <w:tc>
          <w:tcPr>
            <w:tcW w:w="55" w:type="pct"/>
            <w:shd w:val="clear" w:color="auto" w:fill="auto"/>
            <w:vAlign w:val="bottom"/>
          </w:tcPr>
          <w:p w14:paraId="27E083B1" w14:textId="77777777" w:rsidR="00A85061" w:rsidRDefault="00A85061">
            <w:pPr>
              <w:rPr>
                <w:rFonts w:ascii="宋体"/>
              </w:rPr>
            </w:pPr>
          </w:p>
        </w:tc>
        <w:tc>
          <w:tcPr>
            <w:tcW w:w="5" w:type="pct"/>
            <w:shd w:val="clear" w:color="auto" w:fill="auto"/>
            <w:vAlign w:val="bottom"/>
          </w:tcPr>
          <w:p w14:paraId="27E083B2" w14:textId="77777777" w:rsidR="00A85061" w:rsidRDefault="00A85061">
            <w:pPr>
              <w:rPr>
                <w:rFonts w:ascii="宋体"/>
              </w:rPr>
            </w:pPr>
          </w:p>
        </w:tc>
        <w:tc>
          <w:tcPr>
            <w:tcW w:w="50" w:type="pct"/>
            <w:shd w:val="clear" w:color="auto" w:fill="auto"/>
            <w:vAlign w:val="bottom"/>
          </w:tcPr>
          <w:p w14:paraId="27E083B3" w14:textId="77777777" w:rsidR="00A85061" w:rsidRDefault="00A85061">
            <w:pPr>
              <w:rPr>
                <w:rFonts w:ascii="宋体"/>
              </w:rPr>
            </w:pPr>
          </w:p>
        </w:tc>
        <w:tc>
          <w:tcPr>
            <w:tcW w:w="676" w:type="pct"/>
            <w:shd w:val="clear" w:color="auto" w:fill="auto"/>
            <w:vAlign w:val="bottom"/>
          </w:tcPr>
          <w:p w14:paraId="27E083B4" w14:textId="77777777" w:rsidR="00A85061" w:rsidRDefault="00A85061">
            <w:pPr>
              <w:rPr>
                <w:rFonts w:ascii="宋体"/>
              </w:rPr>
            </w:pPr>
          </w:p>
        </w:tc>
        <w:tc>
          <w:tcPr>
            <w:tcW w:w="5" w:type="pct"/>
            <w:shd w:val="clear" w:color="auto" w:fill="auto"/>
            <w:vAlign w:val="bottom"/>
          </w:tcPr>
          <w:p w14:paraId="27E083B5" w14:textId="77777777" w:rsidR="00A85061" w:rsidRDefault="00A85061">
            <w:pPr>
              <w:rPr>
                <w:rFonts w:ascii="宋体"/>
              </w:rPr>
            </w:pPr>
          </w:p>
        </w:tc>
      </w:tr>
      <w:tr w:rsidR="00A85061" w14:paraId="27E083BB" w14:textId="77777777">
        <w:tc>
          <w:tcPr>
            <w:tcW w:w="0" w:type="auto"/>
            <w:gridSpan w:val="3"/>
            <w:shd w:val="clear" w:color="auto" w:fill="auto"/>
            <w:tcMar>
              <w:top w:w="40" w:type="dxa"/>
              <w:left w:w="20" w:type="dxa"/>
              <w:bottom w:w="40" w:type="dxa"/>
              <w:right w:w="20" w:type="dxa"/>
            </w:tcMar>
            <w:vAlign w:val="bottom"/>
          </w:tcPr>
          <w:p w14:paraId="27E083B7"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3B8" w14:textId="77777777" w:rsidR="00A85061" w:rsidRDefault="00F04891">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27E083B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3BA" w14:textId="77777777" w:rsidR="00A85061" w:rsidRDefault="00F04891">
            <w:pPr>
              <w:jc w:val="center"/>
              <w:textAlignment w:val="bottom"/>
            </w:pPr>
            <w:r>
              <w:rPr>
                <w:rFonts w:ascii="sans-serif" w:eastAsia="sans-serif" w:hAnsi="sans-serif" w:cs="sans-serif"/>
                <w:b/>
                <w:bCs/>
                <w:color w:val="000000"/>
                <w:sz w:val="20"/>
                <w:szCs w:val="20"/>
              </w:rPr>
              <w:t>January 31,</w:t>
            </w:r>
            <w:r>
              <w:rPr>
                <w:rFonts w:ascii="sans-serif" w:eastAsia="sans-serif" w:hAnsi="sans-serif" w:cs="sans-serif"/>
                <w:b/>
                <w:bCs/>
                <w:color w:val="000000"/>
                <w:sz w:val="20"/>
                <w:szCs w:val="20"/>
              </w:rPr>
              <w:br/>
              <w:t>2021</w:t>
            </w:r>
          </w:p>
        </w:tc>
      </w:tr>
      <w:tr w:rsidR="00A85061" w14:paraId="27E083C0" w14:textId="77777777">
        <w:trPr>
          <w:trHeight w:val="60"/>
        </w:trPr>
        <w:tc>
          <w:tcPr>
            <w:tcW w:w="0" w:type="auto"/>
            <w:gridSpan w:val="3"/>
            <w:shd w:val="clear" w:color="auto" w:fill="auto"/>
            <w:tcMar>
              <w:top w:w="0" w:type="dxa"/>
              <w:left w:w="20" w:type="dxa"/>
              <w:bottom w:w="0" w:type="dxa"/>
              <w:right w:w="20" w:type="dxa"/>
            </w:tcMar>
            <w:vAlign w:val="bottom"/>
          </w:tcPr>
          <w:p w14:paraId="27E083BC"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B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3B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3BF" w14:textId="77777777" w:rsidR="00A85061" w:rsidRDefault="00A85061">
            <w:pPr>
              <w:rPr>
                <w:rFonts w:ascii="宋体"/>
              </w:rPr>
            </w:pPr>
          </w:p>
        </w:tc>
      </w:tr>
      <w:tr w:rsidR="00A85061" w14:paraId="27E083C3" w14:textId="77777777">
        <w:tc>
          <w:tcPr>
            <w:tcW w:w="0" w:type="auto"/>
            <w:gridSpan w:val="3"/>
            <w:shd w:val="clear" w:color="auto" w:fill="auto"/>
            <w:tcMar>
              <w:top w:w="0" w:type="dxa"/>
              <w:left w:w="20" w:type="dxa"/>
              <w:bottom w:w="0" w:type="dxa"/>
              <w:right w:w="20" w:type="dxa"/>
            </w:tcMar>
            <w:vAlign w:val="bottom"/>
          </w:tcPr>
          <w:p w14:paraId="27E083C1"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83C2"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3CC" w14:textId="77777777">
        <w:tc>
          <w:tcPr>
            <w:tcW w:w="0" w:type="auto"/>
            <w:gridSpan w:val="3"/>
            <w:shd w:val="clear" w:color="auto" w:fill="E2EFD9"/>
            <w:tcMar>
              <w:top w:w="40" w:type="dxa"/>
              <w:left w:w="20" w:type="dxa"/>
              <w:bottom w:w="40" w:type="dxa"/>
              <w:right w:w="20" w:type="dxa"/>
            </w:tcMar>
            <w:vAlign w:val="bottom"/>
          </w:tcPr>
          <w:p w14:paraId="27E083C4" w14:textId="77777777" w:rsidR="00A85061" w:rsidRDefault="00F04891">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27E083C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C6" w14:textId="77777777" w:rsidR="00A85061" w:rsidRDefault="00F04891">
            <w:pPr>
              <w:jc w:val="right"/>
              <w:textAlignment w:val="bottom"/>
            </w:pPr>
            <w:r>
              <w:rPr>
                <w:rFonts w:ascii="sans-serif" w:eastAsia="sans-serif" w:hAnsi="sans-serif" w:cs="sans-serif"/>
                <w:color w:val="000000"/>
                <w:sz w:val="20"/>
                <w:szCs w:val="20"/>
              </w:rPr>
              <w:t>888 </w:t>
            </w:r>
          </w:p>
        </w:tc>
        <w:tc>
          <w:tcPr>
            <w:tcW w:w="0" w:type="auto"/>
            <w:shd w:val="clear" w:color="auto" w:fill="E2EFD9"/>
            <w:tcMar>
              <w:top w:w="40" w:type="dxa"/>
              <w:left w:w="0" w:type="dxa"/>
              <w:bottom w:w="40" w:type="dxa"/>
              <w:right w:w="20" w:type="dxa"/>
            </w:tcMar>
            <w:vAlign w:val="bottom"/>
          </w:tcPr>
          <w:p w14:paraId="27E083C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3C8"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3C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3CA" w14:textId="77777777" w:rsidR="00A85061" w:rsidRDefault="00F04891">
            <w:pPr>
              <w:jc w:val="right"/>
              <w:textAlignment w:val="bottom"/>
            </w:pPr>
            <w:r>
              <w:rPr>
                <w:rFonts w:ascii="sans-serif" w:eastAsia="sans-serif" w:hAnsi="sans-serif" w:cs="sans-serif"/>
                <w:color w:val="000000"/>
                <w:sz w:val="20"/>
                <w:szCs w:val="20"/>
              </w:rPr>
              <w:t>840 </w:t>
            </w:r>
          </w:p>
        </w:tc>
        <w:tc>
          <w:tcPr>
            <w:tcW w:w="0" w:type="auto"/>
            <w:shd w:val="clear" w:color="auto" w:fill="E2EFD9"/>
            <w:tcMar>
              <w:top w:w="40" w:type="dxa"/>
              <w:left w:w="0" w:type="dxa"/>
              <w:bottom w:w="40" w:type="dxa"/>
              <w:right w:w="20" w:type="dxa"/>
            </w:tcMar>
            <w:vAlign w:val="bottom"/>
          </w:tcPr>
          <w:p w14:paraId="27E083CB" w14:textId="77777777" w:rsidR="00A85061" w:rsidRDefault="00A85061">
            <w:pPr>
              <w:jc w:val="right"/>
              <w:rPr>
                <w:rFonts w:ascii="宋体"/>
              </w:rPr>
            </w:pPr>
          </w:p>
        </w:tc>
      </w:tr>
      <w:tr w:rsidR="00A85061" w14:paraId="27E083D5" w14:textId="77777777">
        <w:tc>
          <w:tcPr>
            <w:tcW w:w="0" w:type="auto"/>
            <w:gridSpan w:val="3"/>
            <w:shd w:val="clear" w:color="auto" w:fill="FFFFFF"/>
            <w:tcMar>
              <w:top w:w="40" w:type="dxa"/>
              <w:left w:w="20" w:type="dxa"/>
              <w:bottom w:w="40" w:type="dxa"/>
              <w:right w:w="20" w:type="dxa"/>
            </w:tcMar>
            <w:vAlign w:val="bottom"/>
          </w:tcPr>
          <w:p w14:paraId="27E083CD" w14:textId="77777777" w:rsidR="00A85061" w:rsidRDefault="00F04891">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27E083C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3CF" w14:textId="77777777" w:rsidR="00A85061" w:rsidRDefault="00F04891">
            <w:pPr>
              <w:jc w:val="right"/>
              <w:textAlignment w:val="bottom"/>
            </w:pPr>
            <w:r>
              <w:rPr>
                <w:rFonts w:ascii="sans-serif" w:eastAsia="sans-serif" w:hAnsi="sans-serif" w:cs="sans-serif"/>
                <w:color w:val="000000"/>
                <w:sz w:val="20"/>
                <w:szCs w:val="20"/>
              </w:rPr>
              <w:t>402 </w:t>
            </w:r>
          </w:p>
        </w:tc>
        <w:tc>
          <w:tcPr>
            <w:tcW w:w="0" w:type="auto"/>
            <w:shd w:val="clear" w:color="auto" w:fill="FFFFFF"/>
            <w:tcMar>
              <w:top w:w="40" w:type="dxa"/>
              <w:left w:w="0" w:type="dxa"/>
              <w:bottom w:w="40" w:type="dxa"/>
              <w:right w:w="20" w:type="dxa"/>
            </w:tcMar>
            <w:vAlign w:val="bottom"/>
          </w:tcPr>
          <w:p w14:paraId="27E083D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3D1"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3D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3D3" w14:textId="77777777" w:rsidR="00A85061" w:rsidRDefault="00F04891">
            <w:pPr>
              <w:jc w:val="right"/>
              <w:textAlignment w:val="bottom"/>
            </w:pPr>
            <w:r>
              <w:rPr>
                <w:rFonts w:ascii="sans-serif" w:eastAsia="sans-serif" w:hAnsi="sans-serif" w:cs="sans-serif"/>
                <w:color w:val="000000"/>
                <w:sz w:val="20"/>
                <w:szCs w:val="20"/>
              </w:rPr>
              <w:t>441 </w:t>
            </w:r>
          </w:p>
        </w:tc>
        <w:tc>
          <w:tcPr>
            <w:tcW w:w="0" w:type="auto"/>
            <w:shd w:val="clear" w:color="auto" w:fill="FFFFFF"/>
            <w:tcMar>
              <w:top w:w="40" w:type="dxa"/>
              <w:left w:w="0" w:type="dxa"/>
              <w:bottom w:w="40" w:type="dxa"/>
              <w:right w:w="20" w:type="dxa"/>
            </w:tcMar>
            <w:vAlign w:val="bottom"/>
          </w:tcPr>
          <w:p w14:paraId="27E083D4" w14:textId="77777777" w:rsidR="00A85061" w:rsidRDefault="00A85061">
            <w:pPr>
              <w:jc w:val="right"/>
              <w:rPr>
                <w:rFonts w:ascii="宋体"/>
              </w:rPr>
            </w:pPr>
          </w:p>
        </w:tc>
      </w:tr>
    </w:tbl>
    <w:p w14:paraId="27E083D6" w14:textId="77777777" w:rsidR="00A85061" w:rsidRDefault="00F04891">
      <w:pPr>
        <w:spacing w:before="180" w:after="180"/>
        <w:jc w:val="both"/>
      </w:pPr>
      <w:r>
        <w:rPr>
          <w:rFonts w:ascii="sans-serif" w:eastAsia="sans-serif" w:hAnsi="sans-serif" w:cs="sans-serif"/>
          <w:color w:val="000000"/>
          <w:sz w:val="20"/>
          <w:szCs w:val="20"/>
        </w:rPr>
        <w:t xml:space="preserve">As of May 2, 2021, all designated foreign currency forward contracts mature </w:t>
      </w:r>
      <w:r>
        <w:rPr>
          <w:rFonts w:ascii="sans-serif" w:eastAsia="sans-serif" w:hAnsi="sans-serif" w:cs="sans-serif"/>
          <w:color w:val="000000"/>
          <w:sz w:val="20"/>
          <w:szCs w:val="20"/>
        </w:rPr>
        <w:t>within 18 months. The expected realized gains and losses deferred into accumulated other comprehensive income or loss related to foreign currency forward contracts within the next 12 months was not significant.</w:t>
      </w:r>
    </w:p>
    <w:p w14:paraId="27E083D7" w14:textId="77777777" w:rsidR="00A85061" w:rsidRDefault="00F04891">
      <w:pPr>
        <w:spacing w:after="180"/>
        <w:jc w:val="both"/>
      </w:pPr>
      <w:r>
        <w:rPr>
          <w:rFonts w:ascii="sans-serif" w:eastAsia="sans-serif" w:hAnsi="sans-serif" w:cs="sans-serif"/>
          <w:color w:val="000000"/>
          <w:sz w:val="20"/>
          <w:szCs w:val="20"/>
        </w:rPr>
        <w:t>During the first quarter of fiscal years 2022</w:t>
      </w:r>
      <w:r>
        <w:rPr>
          <w:rFonts w:ascii="sans-serif" w:eastAsia="sans-serif" w:hAnsi="sans-serif" w:cs="sans-serif"/>
          <w:color w:val="000000"/>
          <w:sz w:val="20"/>
          <w:szCs w:val="20"/>
        </w:rPr>
        <w:t xml:space="preserve"> and 2021, the impact of derivative financial instruments designated for hedge accounting treatment on other comprehensive income or loss was not significant and all such instruments were determined to be highly effective. Therefore, there were no gains or</w:t>
      </w:r>
      <w:r>
        <w:rPr>
          <w:rFonts w:ascii="sans-serif" w:eastAsia="sans-serif" w:hAnsi="sans-serif" w:cs="sans-serif"/>
          <w:color w:val="000000"/>
          <w:sz w:val="20"/>
          <w:szCs w:val="20"/>
        </w:rPr>
        <w:t xml:space="preserve"> losses associated with ineffectiveness.</w:t>
      </w:r>
    </w:p>
    <w:p w14:paraId="27E083D8" w14:textId="77777777" w:rsidR="00A85061" w:rsidRDefault="00A85061">
      <w:pPr>
        <w:spacing w:before="240" w:after="120"/>
        <w:jc w:val="both"/>
      </w:pPr>
    </w:p>
    <w:p w14:paraId="27E083D9" w14:textId="77777777" w:rsidR="00A85061" w:rsidRDefault="00F04891">
      <w:pPr>
        <w:spacing w:after="180"/>
        <w:jc w:val="center"/>
      </w:pPr>
      <w:r>
        <w:rPr>
          <w:rFonts w:ascii="sans-serif" w:eastAsia="sans-serif" w:hAnsi="sans-serif" w:cs="sans-serif"/>
          <w:color w:val="000000"/>
          <w:sz w:val="20"/>
          <w:szCs w:val="20"/>
        </w:rPr>
        <w:t>17</w:t>
      </w:r>
    </w:p>
    <w:p w14:paraId="27E083DA" w14:textId="77777777" w:rsidR="00A85061" w:rsidRDefault="00F04891">
      <w:r>
        <w:pict w14:anchorId="27E08F02">
          <v:rect id="_x0000_i1041" style="width:415.3pt;height:1.5pt" o:hralign="center" o:hrstd="t" o:hr="t" fillcolor="#a0a0a0" stroked="f"/>
        </w:pict>
      </w:r>
    </w:p>
    <w:p w14:paraId="27E083DB" w14:textId="77777777" w:rsidR="00A85061" w:rsidRDefault="00F04891">
      <w:pPr>
        <w:jc w:val="center"/>
      </w:pPr>
      <w:r>
        <w:rPr>
          <w:rFonts w:ascii="sans-serif" w:eastAsia="sans-serif" w:hAnsi="sans-serif" w:cs="sans-serif"/>
          <w:b/>
          <w:bCs/>
          <w:color w:val="000000"/>
          <w:sz w:val="20"/>
          <w:szCs w:val="20"/>
        </w:rPr>
        <w:t>NVIDIA CORPORATION AND SUBSIDIARIES</w:t>
      </w:r>
    </w:p>
    <w:p w14:paraId="27E083DC"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83DD" w14:textId="77777777" w:rsidR="00A85061" w:rsidRDefault="00F04891">
      <w:pPr>
        <w:jc w:val="center"/>
      </w:pPr>
      <w:r>
        <w:rPr>
          <w:rFonts w:ascii="sans-serif" w:eastAsia="sans-serif" w:hAnsi="sans-serif" w:cs="sans-serif"/>
          <w:b/>
          <w:bCs/>
          <w:color w:val="000000"/>
          <w:sz w:val="20"/>
          <w:szCs w:val="20"/>
        </w:rPr>
        <w:t>(Unaudited)</w:t>
      </w:r>
    </w:p>
    <w:p w14:paraId="27E083DE" w14:textId="77777777" w:rsidR="00A85061" w:rsidRDefault="00A85061">
      <w:pPr>
        <w:spacing w:after="180"/>
        <w:jc w:val="both"/>
      </w:pPr>
    </w:p>
    <w:p w14:paraId="27E083DF" w14:textId="77777777" w:rsidR="00A85061" w:rsidRDefault="00A85061">
      <w:pPr>
        <w:spacing w:after="180"/>
        <w:jc w:val="both"/>
      </w:pPr>
    </w:p>
    <w:p w14:paraId="27E083E0" w14:textId="77777777" w:rsidR="00A85061" w:rsidRDefault="00F04891">
      <w:pPr>
        <w:spacing w:before="240" w:after="120"/>
        <w:jc w:val="both"/>
      </w:pPr>
      <w:r>
        <w:rPr>
          <w:rFonts w:ascii="sans-serif" w:eastAsia="sans-serif" w:hAnsi="sans-serif" w:cs="sans-serif"/>
          <w:b/>
          <w:bCs/>
          <w:color w:val="76B900"/>
          <w:sz w:val="22"/>
          <w:szCs w:val="22"/>
        </w:rPr>
        <w:t>Note 12 - Debt</w:t>
      </w:r>
    </w:p>
    <w:p w14:paraId="27E083E1" w14:textId="77777777" w:rsidR="00A85061" w:rsidRDefault="00F04891">
      <w:pPr>
        <w:spacing w:before="240" w:after="60"/>
        <w:jc w:val="both"/>
      </w:pPr>
      <w:r>
        <w:rPr>
          <w:rFonts w:ascii="sans-serif" w:eastAsia="sans-serif" w:hAnsi="sans-serif" w:cs="sans-serif"/>
          <w:b/>
          <w:bCs/>
          <w:color w:val="76B900"/>
          <w:sz w:val="20"/>
          <w:szCs w:val="20"/>
        </w:rPr>
        <w:t>Long-Term Debt</w:t>
      </w:r>
    </w:p>
    <w:p w14:paraId="27E083E2" w14:textId="77777777" w:rsidR="00A85061" w:rsidRDefault="00F04891">
      <w:pPr>
        <w:spacing w:before="120" w:after="120"/>
        <w:jc w:val="both"/>
      </w:pPr>
      <w:r>
        <w:rPr>
          <w:rFonts w:ascii="sans-serif" w:eastAsia="sans-serif" w:hAnsi="sans-serif" w:cs="sans-serif"/>
          <w:color w:val="000000"/>
          <w:sz w:val="20"/>
          <w:szCs w:val="20"/>
        </w:rPr>
        <w:t xml:space="preserve">In March 2020, we issued $1.50 billion of the 2.85% Notes Due </w:t>
      </w:r>
      <w:r>
        <w:rPr>
          <w:rFonts w:ascii="sans-serif" w:eastAsia="sans-serif" w:hAnsi="sans-serif" w:cs="sans-serif"/>
          <w:color w:val="000000"/>
          <w:sz w:val="20"/>
          <w:szCs w:val="20"/>
        </w:rPr>
        <w:t>2030, $1.00 billion of the 3.50% Notes Due 2040, $2.00 billion of the 3.50% Notes Due 2050, and $500 million of the 3.70% Notes Due 2060, or collectively, the March 2020 Notes. Interest on the March 2020 Notes is payable on April 1 and October 1 of each ye</w:t>
      </w:r>
      <w:r>
        <w:rPr>
          <w:rFonts w:ascii="sans-serif" w:eastAsia="sans-serif" w:hAnsi="sans-serif" w:cs="sans-serif"/>
          <w:color w:val="000000"/>
          <w:sz w:val="20"/>
          <w:szCs w:val="20"/>
        </w:rPr>
        <w:t>ar.</w:t>
      </w:r>
    </w:p>
    <w:p w14:paraId="27E083E3" w14:textId="77777777" w:rsidR="00A85061" w:rsidRDefault="00F04891">
      <w:pPr>
        <w:spacing w:before="120" w:after="120"/>
        <w:jc w:val="both"/>
      </w:pPr>
      <w:r>
        <w:rPr>
          <w:rFonts w:ascii="sans-serif" w:eastAsia="sans-serif" w:hAnsi="sans-serif" w:cs="sans-serif"/>
          <w:color w:val="000000"/>
          <w:sz w:val="20"/>
          <w:szCs w:val="20"/>
        </w:rPr>
        <w:t xml:space="preserve">In September 2016, we issued $1.00 billion of the 2.20% Notes Due 2021 and $1.00 billion of the 3.20% Notes Due 2026, or collectively, the September 2016 Notes. Interest on the September 2016 Notes is payable on March 16 and September 16 of each year. </w:t>
      </w:r>
    </w:p>
    <w:p w14:paraId="27E083E4" w14:textId="77777777" w:rsidR="00A85061" w:rsidRDefault="00F04891">
      <w:pPr>
        <w:spacing w:before="120" w:after="120"/>
        <w:jc w:val="both"/>
      </w:pPr>
      <w:r>
        <w:rPr>
          <w:rFonts w:ascii="sans-serif" w:eastAsia="sans-serif" w:hAnsi="sans-serif" w:cs="sans-serif"/>
          <w:color w:val="000000"/>
          <w:sz w:val="20"/>
          <w:szCs w:val="20"/>
        </w:rPr>
        <w:t>Both the September 2016 Notes and the March 2020 Notes, or collectively, the Notes, are our unsecured senior obligations and rank equally in right of payment with all existing and future unsecured and unsubordinated indebtedness. The Notes are structurall</w:t>
      </w:r>
      <w:r>
        <w:rPr>
          <w:rFonts w:ascii="sans-serif" w:eastAsia="sans-serif" w:hAnsi="sans-serif" w:cs="sans-serif"/>
          <w:color w:val="000000"/>
          <w:sz w:val="20"/>
          <w:szCs w:val="20"/>
        </w:rPr>
        <w:t>y subordinated to the liabilities of our subsidiaries and are effectively subordinated to any secured indebtedness to the extent of the value of the assets securing such indebtedness. All existing and future liabilities of our subsidiaries will be effectiv</w:t>
      </w:r>
      <w:r>
        <w:rPr>
          <w:rFonts w:ascii="sans-serif" w:eastAsia="sans-serif" w:hAnsi="sans-serif" w:cs="sans-serif"/>
          <w:color w:val="000000"/>
          <w:sz w:val="20"/>
          <w:szCs w:val="20"/>
        </w:rPr>
        <w:t>ely senior to the Notes.</w:t>
      </w:r>
    </w:p>
    <w:p w14:paraId="27E083E5" w14:textId="77777777" w:rsidR="00A85061" w:rsidRDefault="00F04891">
      <w:pPr>
        <w:spacing w:after="180"/>
        <w:jc w:val="both"/>
      </w:pPr>
      <w:r>
        <w:rPr>
          <w:rFonts w:ascii="sans-serif" w:eastAsia="sans-serif" w:hAnsi="sans-serif" w:cs="sans-serif"/>
          <w:color w:val="000000"/>
          <w:sz w:val="20"/>
          <w:szCs w:val="20"/>
        </w:rPr>
        <w:t>The carrying value of the Notes and the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3712"/>
        <w:gridCol w:w="37"/>
        <w:gridCol w:w="36"/>
        <w:gridCol w:w="36"/>
        <w:gridCol w:w="36"/>
        <w:gridCol w:w="66"/>
        <w:gridCol w:w="993"/>
        <w:gridCol w:w="36"/>
        <w:gridCol w:w="36"/>
        <w:gridCol w:w="36"/>
        <w:gridCol w:w="36"/>
        <w:gridCol w:w="62"/>
        <w:gridCol w:w="889"/>
        <w:gridCol w:w="36"/>
        <w:gridCol w:w="36"/>
        <w:gridCol w:w="36"/>
        <w:gridCol w:w="36"/>
        <w:gridCol w:w="122"/>
        <w:gridCol w:w="855"/>
        <w:gridCol w:w="36"/>
        <w:gridCol w:w="36"/>
        <w:gridCol w:w="36"/>
        <w:gridCol w:w="36"/>
        <w:gridCol w:w="123"/>
        <w:gridCol w:w="855"/>
        <w:gridCol w:w="36"/>
      </w:tblGrid>
      <w:tr w:rsidR="00A85061" w14:paraId="27E08401" w14:textId="77777777">
        <w:tc>
          <w:tcPr>
            <w:tcW w:w="50" w:type="pct"/>
            <w:shd w:val="clear" w:color="auto" w:fill="auto"/>
            <w:vAlign w:val="bottom"/>
          </w:tcPr>
          <w:p w14:paraId="27E083E6" w14:textId="77777777" w:rsidR="00A85061" w:rsidRDefault="00A85061">
            <w:pPr>
              <w:rPr>
                <w:rFonts w:ascii="宋体"/>
              </w:rPr>
            </w:pPr>
          </w:p>
        </w:tc>
        <w:tc>
          <w:tcPr>
            <w:tcW w:w="2247" w:type="pct"/>
            <w:shd w:val="clear" w:color="auto" w:fill="auto"/>
            <w:vAlign w:val="bottom"/>
          </w:tcPr>
          <w:p w14:paraId="27E083E7" w14:textId="77777777" w:rsidR="00A85061" w:rsidRDefault="00A85061">
            <w:pPr>
              <w:rPr>
                <w:rFonts w:ascii="宋体"/>
              </w:rPr>
            </w:pPr>
          </w:p>
        </w:tc>
        <w:tc>
          <w:tcPr>
            <w:tcW w:w="5" w:type="pct"/>
            <w:shd w:val="clear" w:color="auto" w:fill="auto"/>
            <w:vAlign w:val="bottom"/>
          </w:tcPr>
          <w:p w14:paraId="27E083E8" w14:textId="77777777" w:rsidR="00A85061" w:rsidRDefault="00A85061">
            <w:pPr>
              <w:rPr>
                <w:rFonts w:ascii="宋体"/>
              </w:rPr>
            </w:pPr>
          </w:p>
        </w:tc>
        <w:tc>
          <w:tcPr>
            <w:tcW w:w="5" w:type="pct"/>
            <w:shd w:val="clear" w:color="auto" w:fill="auto"/>
            <w:vAlign w:val="bottom"/>
          </w:tcPr>
          <w:p w14:paraId="27E083E9" w14:textId="77777777" w:rsidR="00A85061" w:rsidRDefault="00A85061">
            <w:pPr>
              <w:rPr>
                <w:rFonts w:ascii="宋体"/>
              </w:rPr>
            </w:pPr>
          </w:p>
        </w:tc>
        <w:tc>
          <w:tcPr>
            <w:tcW w:w="26" w:type="pct"/>
            <w:shd w:val="clear" w:color="auto" w:fill="auto"/>
            <w:vAlign w:val="bottom"/>
          </w:tcPr>
          <w:p w14:paraId="27E083EA" w14:textId="77777777" w:rsidR="00A85061" w:rsidRDefault="00A85061">
            <w:pPr>
              <w:rPr>
                <w:rFonts w:ascii="宋体"/>
              </w:rPr>
            </w:pPr>
          </w:p>
        </w:tc>
        <w:tc>
          <w:tcPr>
            <w:tcW w:w="5" w:type="pct"/>
            <w:shd w:val="clear" w:color="auto" w:fill="auto"/>
            <w:vAlign w:val="bottom"/>
          </w:tcPr>
          <w:p w14:paraId="27E083EB" w14:textId="77777777" w:rsidR="00A85061" w:rsidRDefault="00A85061">
            <w:pPr>
              <w:rPr>
                <w:rFonts w:ascii="宋体"/>
              </w:rPr>
            </w:pPr>
          </w:p>
        </w:tc>
        <w:tc>
          <w:tcPr>
            <w:tcW w:w="50" w:type="pct"/>
            <w:shd w:val="clear" w:color="auto" w:fill="auto"/>
            <w:vAlign w:val="bottom"/>
          </w:tcPr>
          <w:p w14:paraId="27E083EC" w14:textId="77777777" w:rsidR="00A85061" w:rsidRDefault="00A85061">
            <w:pPr>
              <w:rPr>
                <w:rFonts w:ascii="宋体"/>
              </w:rPr>
            </w:pPr>
          </w:p>
        </w:tc>
        <w:tc>
          <w:tcPr>
            <w:tcW w:w="646" w:type="pct"/>
            <w:shd w:val="clear" w:color="auto" w:fill="auto"/>
            <w:vAlign w:val="bottom"/>
          </w:tcPr>
          <w:p w14:paraId="27E083ED" w14:textId="77777777" w:rsidR="00A85061" w:rsidRDefault="00A85061">
            <w:pPr>
              <w:rPr>
                <w:rFonts w:ascii="宋体"/>
              </w:rPr>
            </w:pPr>
          </w:p>
        </w:tc>
        <w:tc>
          <w:tcPr>
            <w:tcW w:w="5" w:type="pct"/>
            <w:shd w:val="clear" w:color="auto" w:fill="auto"/>
            <w:vAlign w:val="bottom"/>
          </w:tcPr>
          <w:p w14:paraId="27E083EE" w14:textId="77777777" w:rsidR="00A85061" w:rsidRDefault="00A85061">
            <w:pPr>
              <w:rPr>
                <w:rFonts w:ascii="宋体"/>
              </w:rPr>
            </w:pPr>
          </w:p>
        </w:tc>
        <w:tc>
          <w:tcPr>
            <w:tcW w:w="5" w:type="pct"/>
            <w:shd w:val="clear" w:color="auto" w:fill="auto"/>
            <w:vAlign w:val="bottom"/>
          </w:tcPr>
          <w:p w14:paraId="27E083EF" w14:textId="77777777" w:rsidR="00A85061" w:rsidRDefault="00A85061">
            <w:pPr>
              <w:rPr>
                <w:rFonts w:ascii="宋体"/>
              </w:rPr>
            </w:pPr>
          </w:p>
        </w:tc>
        <w:tc>
          <w:tcPr>
            <w:tcW w:w="41" w:type="pct"/>
            <w:shd w:val="clear" w:color="auto" w:fill="auto"/>
            <w:vAlign w:val="bottom"/>
          </w:tcPr>
          <w:p w14:paraId="27E083F0" w14:textId="77777777" w:rsidR="00A85061" w:rsidRDefault="00A85061">
            <w:pPr>
              <w:rPr>
                <w:rFonts w:ascii="宋体"/>
              </w:rPr>
            </w:pPr>
          </w:p>
        </w:tc>
        <w:tc>
          <w:tcPr>
            <w:tcW w:w="5" w:type="pct"/>
            <w:shd w:val="clear" w:color="auto" w:fill="auto"/>
            <w:vAlign w:val="bottom"/>
          </w:tcPr>
          <w:p w14:paraId="27E083F1" w14:textId="77777777" w:rsidR="00A85061" w:rsidRDefault="00A85061">
            <w:pPr>
              <w:rPr>
                <w:rFonts w:ascii="宋体"/>
              </w:rPr>
            </w:pPr>
          </w:p>
        </w:tc>
        <w:tc>
          <w:tcPr>
            <w:tcW w:w="50" w:type="pct"/>
            <w:shd w:val="clear" w:color="auto" w:fill="auto"/>
            <w:vAlign w:val="bottom"/>
          </w:tcPr>
          <w:p w14:paraId="27E083F2" w14:textId="77777777" w:rsidR="00A85061" w:rsidRDefault="00A85061">
            <w:pPr>
              <w:rPr>
                <w:rFonts w:ascii="宋体"/>
              </w:rPr>
            </w:pPr>
          </w:p>
        </w:tc>
        <w:tc>
          <w:tcPr>
            <w:tcW w:w="566" w:type="pct"/>
            <w:shd w:val="clear" w:color="auto" w:fill="auto"/>
            <w:vAlign w:val="bottom"/>
          </w:tcPr>
          <w:p w14:paraId="27E083F3" w14:textId="77777777" w:rsidR="00A85061" w:rsidRDefault="00A85061">
            <w:pPr>
              <w:rPr>
                <w:rFonts w:ascii="宋体"/>
              </w:rPr>
            </w:pPr>
          </w:p>
        </w:tc>
        <w:tc>
          <w:tcPr>
            <w:tcW w:w="5" w:type="pct"/>
            <w:shd w:val="clear" w:color="auto" w:fill="auto"/>
            <w:vAlign w:val="bottom"/>
          </w:tcPr>
          <w:p w14:paraId="27E083F4" w14:textId="77777777" w:rsidR="00A85061" w:rsidRDefault="00A85061">
            <w:pPr>
              <w:rPr>
                <w:rFonts w:ascii="宋体"/>
              </w:rPr>
            </w:pPr>
          </w:p>
        </w:tc>
        <w:tc>
          <w:tcPr>
            <w:tcW w:w="5" w:type="pct"/>
            <w:shd w:val="clear" w:color="auto" w:fill="auto"/>
            <w:vAlign w:val="bottom"/>
          </w:tcPr>
          <w:p w14:paraId="27E083F5" w14:textId="77777777" w:rsidR="00A85061" w:rsidRDefault="00A85061">
            <w:pPr>
              <w:rPr>
                <w:rFonts w:ascii="宋体"/>
              </w:rPr>
            </w:pPr>
          </w:p>
        </w:tc>
        <w:tc>
          <w:tcPr>
            <w:tcW w:w="41" w:type="pct"/>
            <w:shd w:val="clear" w:color="auto" w:fill="auto"/>
            <w:vAlign w:val="bottom"/>
          </w:tcPr>
          <w:p w14:paraId="27E083F6" w14:textId="77777777" w:rsidR="00A85061" w:rsidRDefault="00A85061">
            <w:pPr>
              <w:rPr>
                <w:rFonts w:ascii="宋体"/>
              </w:rPr>
            </w:pPr>
          </w:p>
        </w:tc>
        <w:tc>
          <w:tcPr>
            <w:tcW w:w="5" w:type="pct"/>
            <w:shd w:val="clear" w:color="auto" w:fill="auto"/>
            <w:vAlign w:val="bottom"/>
          </w:tcPr>
          <w:p w14:paraId="27E083F7" w14:textId="77777777" w:rsidR="00A85061" w:rsidRDefault="00A85061">
            <w:pPr>
              <w:rPr>
                <w:rFonts w:ascii="宋体"/>
              </w:rPr>
            </w:pPr>
          </w:p>
        </w:tc>
        <w:tc>
          <w:tcPr>
            <w:tcW w:w="50" w:type="pct"/>
            <w:shd w:val="clear" w:color="auto" w:fill="auto"/>
            <w:vAlign w:val="bottom"/>
          </w:tcPr>
          <w:p w14:paraId="27E083F8" w14:textId="77777777" w:rsidR="00A85061" w:rsidRDefault="00A85061">
            <w:pPr>
              <w:rPr>
                <w:rFonts w:ascii="宋体"/>
              </w:rPr>
            </w:pPr>
          </w:p>
        </w:tc>
        <w:tc>
          <w:tcPr>
            <w:tcW w:w="537" w:type="pct"/>
            <w:shd w:val="clear" w:color="auto" w:fill="auto"/>
            <w:vAlign w:val="bottom"/>
          </w:tcPr>
          <w:p w14:paraId="27E083F9" w14:textId="77777777" w:rsidR="00A85061" w:rsidRDefault="00A85061">
            <w:pPr>
              <w:rPr>
                <w:rFonts w:ascii="宋体"/>
              </w:rPr>
            </w:pPr>
          </w:p>
        </w:tc>
        <w:tc>
          <w:tcPr>
            <w:tcW w:w="5" w:type="pct"/>
            <w:shd w:val="clear" w:color="auto" w:fill="auto"/>
            <w:vAlign w:val="bottom"/>
          </w:tcPr>
          <w:p w14:paraId="27E083FA" w14:textId="77777777" w:rsidR="00A85061" w:rsidRDefault="00A85061">
            <w:pPr>
              <w:rPr>
                <w:rFonts w:ascii="宋体"/>
              </w:rPr>
            </w:pPr>
          </w:p>
        </w:tc>
        <w:tc>
          <w:tcPr>
            <w:tcW w:w="5" w:type="pct"/>
            <w:shd w:val="clear" w:color="auto" w:fill="auto"/>
            <w:vAlign w:val="bottom"/>
          </w:tcPr>
          <w:p w14:paraId="27E083FB" w14:textId="77777777" w:rsidR="00A85061" w:rsidRDefault="00A85061">
            <w:pPr>
              <w:rPr>
                <w:rFonts w:ascii="宋体"/>
              </w:rPr>
            </w:pPr>
          </w:p>
        </w:tc>
        <w:tc>
          <w:tcPr>
            <w:tcW w:w="41" w:type="pct"/>
            <w:shd w:val="clear" w:color="auto" w:fill="auto"/>
            <w:vAlign w:val="bottom"/>
          </w:tcPr>
          <w:p w14:paraId="27E083FC" w14:textId="77777777" w:rsidR="00A85061" w:rsidRDefault="00A85061">
            <w:pPr>
              <w:rPr>
                <w:rFonts w:ascii="宋体"/>
              </w:rPr>
            </w:pPr>
          </w:p>
        </w:tc>
        <w:tc>
          <w:tcPr>
            <w:tcW w:w="5" w:type="pct"/>
            <w:shd w:val="clear" w:color="auto" w:fill="auto"/>
            <w:vAlign w:val="bottom"/>
          </w:tcPr>
          <w:p w14:paraId="27E083FD" w14:textId="77777777" w:rsidR="00A85061" w:rsidRDefault="00A85061">
            <w:pPr>
              <w:rPr>
                <w:rFonts w:ascii="宋体"/>
              </w:rPr>
            </w:pPr>
          </w:p>
        </w:tc>
        <w:tc>
          <w:tcPr>
            <w:tcW w:w="50" w:type="pct"/>
            <w:shd w:val="clear" w:color="auto" w:fill="auto"/>
            <w:vAlign w:val="bottom"/>
          </w:tcPr>
          <w:p w14:paraId="27E083FE" w14:textId="77777777" w:rsidR="00A85061" w:rsidRDefault="00A85061">
            <w:pPr>
              <w:rPr>
                <w:rFonts w:ascii="宋体"/>
              </w:rPr>
            </w:pPr>
          </w:p>
        </w:tc>
        <w:tc>
          <w:tcPr>
            <w:tcW w:w="537" w:type="pct"/>
            <w:shd w:val="clear" w:color="auto" w:fill="auto"/>
            <w:vAlign w:val="bottom"/>
          </w:tcPr>
          <w:p w14:paraId="27E083FF" w14:textId="77777777" w:rsidR="00A85061" w:rsidRDefault="00A85061">
            <w:pPr>
              <w:rPr>
                <w:rFonts w:ascii="宋体"/>
              </w:rPr>
            </w:pPr>
          </w:p>
        </w:tc>
        <w:tc>
          <w:tcPr>
            <w:tcW w:w="5" w:type="pct"/>
            <w:shd w:val="clear" w:color="auto" w:fill="auto"/>
            <w:vAlign w:val="bottom"/>
          </w:tcPr>
          <w:p w14:paraId="27E08400" w14:textId="77777777" w:rsidR="00A85061" w:rsidRDefault="00A85061">
            <w:pPr>
              <w:rPr>
                <w:rFonts w:ascii="宋体"/>
              </w:rPr>
            </w:pPr>
          </w:p>
        </w:tc>
      </w:tr>
      <w:tr w:rsidR="00A85061" w14:paraId="27E0840C" w14:textId="77777777">
        <w:tc>
          <w:tcPr>
            <w:tcW w:w="0" w:type="auto"/>
            <w:gridSpan w:val="3"/>
            <w:shd w:val="clear" w:color="auto" w:fill="auto"/>
            <w:tcMar>
              <w:top w:w="0" w:type="dxa"/>
              <w:left w:w="20" w:type="dxa"/>
              <w:bottom w:w="0" w:type="dxa"/>
              <w:right w:w="20" w:type="dxa"/>
            </w:tcMar>
            <w:vAlign w:val="bottom"/>
          </w:tcPr>
          <w:p w14:paraId="27E0840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03"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04" w14:textId="77777777" w:rsidR="00A85061" w:rsidRDefault="00F04891">
            <w:pPr>
              <w:jc w:val="center"/>
              <w:textAlignment w:val="bottom"/>
            </w:pPr>
            <w:r>
              <w:rPr>
                <w:rFonts w:ascii="sans-serif" w:eastAsia="sans-serif" w:hAnsi="sans-serif" w:cs="sans-serif"/>
                <w:b/>
                <w:bCs/>
                <w:color w:val="000000"/>
                <w:sz w:val="20"/>
                <w:szCs w:val="20"/>
              </w:rPr>
              <w:t>Expected</w:t>
            </w:r>
          </w:p>
          <w:p w14:paraId="27E08405" w14:textId="77777777" w:rsidR="00A85061" w:rsidRDefault="00F04891">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27E08406"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07" w14:textId="77777777" w:rsidR="00A85061" w:rsidRDefault="00F04891">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27E08408"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09"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shd w:val="clear" w:color="auto" w:fill="auto"/>
            <w:tcMar>
              <w:top w:w="0" w:type="dxa"/>
              <w:left w:w="20" w:type="dxa"/>
              <w:bottom w:w="0" w:type="dxa"/>
              <w:right w:w="20" w:type="dxa"/>
            </w:tcMar>
            <w:vAlign w:val="bottom"/>
          </w:tcPr>
          <w:p w14:paraId="27E0840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0B"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8416" w14:textId="77777777">
        <w:trPr>
          <w:trHeight w:val="60"/>
        </w:trPr>
        <w:tc>
          <w:tcPr>
            <w:tcW w:w="0" w:type="auto"/>
            <w:gridSpan w:val="3"/>
            <w:shd w:val="clear" w:color="auto" w:fill="auto"/>
            <w:tcMar>
              <w:top w:w="0" w:type="dxa"/>
              <w:left w:w="20" w:type="dxa"/>
              <w:bottom w:w="0" w:type="dxa"/>
              <w:right w:w="20" w:type="dxa"/>
            </w:tcMar>
            <w:vAlign w:val="bottom"/>
          </w:tcPr>
          <w:p w14:paraId="27E0840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0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0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1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1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15" w14:textId="77777777" w:rsidR="00A85061" w:rsidRDefault="00A85061">
            <w:pPr>
              <w:rPr>
                <w:rFonts w:ascii="宋体"/>
              </w:rPr>
            </w:pPr>
          </w:p>
        </w:tc>
      </w:tr>
      <w:tr w:rsidR="00A85061" w14:paraId="27E0841E" w14:textId="77777777">
        <w:tc>
          <w:tcPr>
            <w:tcW w:w="0" w:type="auto"/>
            <w:gridSpan w:val="3"/>
            <w:shd w:val="clear" w:color="auto" w:fill="auto"/>
            <w:tcMar>
              <w:top w:w="0" w:type="dxa"/>
              <w:left w:w="20" w:type="dxa"/>
              <w:bottom w:w="0" w:type="dxa"/>
              <w:right w:w="20" w:type="dxa"/>
            </w:tcMar>
            <w:vAlign w:val="bottom"/>
          </w:tcPr>
          <w:p w14:paraId="27E0841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1C"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841D"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42C" w14:textId="77777777">
        <w:tc>
          <w:tcPr>
            <w:tcW w:w="0" w:type="auto"/>
            <w:gridSpan w:val="3"/>
            <w:shd w:val="clear" w:color="auto" w:fill="E2EFD9"/>
            <w:tcMar>
              <w:top w:w="40" w:type="dxa"/>
              <w:left w:w="20" w:type="dxa"/>
              <w:bottom w:w="40" w:type="dxa"/>
              <w:right w:w="20" w:type="dxa"/>
            </w:tcMar>
            <w:vAlign w:val="center"/>
          </w:tcPr>
          <w:p w14:paraId="27E0841F" w14:textId="77777777" w:rsidR="00A85061" w:rsidRDefault="00F04891">
            <w:pPr>
              <w:textAlignment w:val="center"/>
            </w:pPr>
            <w:r>
              <w:rPr>
                <w:rFonts w:ascii="sans-serif" w:eastAsia="sans-serif" w:hAnsi="sans-serif" w:cs="sans-serif"/>
                <w:color w:val="000000"/>
                <w:sz w:val="20"/>
                <w:szCs w:val="20"/>
              </w:rPr>
              <w:t>2.20% Notes Due 2021</w:t>
            </w:r>
          </w:p>
        </w:tc>
        <w:tc>
          <w:tcPr>
            <w:tcW w:w="0" w:type="auto"/>
            <w:gridSpan w:val="3"/>
            <w:shd w:val="clear" w:color="auto" w:fill="E2EFD9"/>
            <w:tcMar>
              <w:top w:w="0" w:type="dxa"/>
              <w:left w:w="20" w:type="dxa"/>
              <w:bottom w:w="0" w:type="dxa"/>
              <w:right w:w="20" w:type="dxa"/>
            </w:tcMar>
            <w:vAlign w:val="bottom"/>
          </w:tcPr>
          <w:p w14:paraId="27E08420"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21" w14:textId="77777777" w:rsidR="00A85061" w:rsidRDefault="00F04891">
            <w:pPr>
              <w:jc w:val="center"/>
              <w:textAlignment w:val="bottom"/>
            </w:pPr>
            <w:r>
              <w:rPr>
                <w:rFonts w:ascii="sans-serif" w:eastAsia="sans-serif" w:hAnsi="sans-serif" w:cs="sans-serif"/>
                <w:color w:val="000000"/>
                <w:sz w:val="20"/>
                <w:szCs w:val="20"/>
              </w:rPr>
              <w:t>0.4</w:t>
            </w:r>
          </w:p>
        </w:tc>
        <w:tc>
          <w:tcPr>
            <w:tcW w:w="0" w:type="auto"/>
            <w:gridSpan w:val="3"/>
            <w:shd w:val="clear" w:color="auto" w:fill="E2EFD9"/>
            <w:tcMar>
              <w:top w:w="0" w:type="dxa"/>
              <w:left w:w="20" w:type="dxa"/>
              <w:bottom w:w="0" w:type="dxa"/>
              <w:right w:w="20" w:type="dxa"/>
            </w:tcMar>
            <w:vAlign w:val="bottom"/>
          </w:tcPr>
          <w:p w14:paraId="27E08422"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23" w14:textId="77777777" w:rsidR="00A85061" w:rsidRDefault="00F04891">
            <w:pPr>
              <w:jc w:val="center"/>
              <w:textAlignment w:val="bottom"/>
            </w:pPr>
            <w:r>
              <w:rPr>
                <w:rFonts w:ascii="sans-serif" w:eastAsia="sans-serif" w:hAnsi="sans-serif" w:cs="sans-serif"/>
                <w:color w:val="000000"/>
                <w:sz w:val="20"/>
                <w:szCs w:val="20"/>
              </w:rPr>
              <w:t>2.38%</w:t>
            </w:r>
          </w:p>
        </w:tc>
        <w:tc>
          <w:tcPr>
            <w:tcW w:w="0" w:type="auto"/>
            <w:gridSpan w:val="3"/>
            <w:shd w:val="clear" w:color="auto" w:fill="E2EFD9"/>
            <w:tcMar>
              <w:top w:w="0" w:type="dxa"/>
              <w:left w:w="20" w:type="dxa"/>
              <w:bottom w:w="0" w:type="dxa"/>
              <w:right w:w="20" w:type="dxa"/>
            </w:tcMar>
            <w:vAlign w:val="bottom"/>
          </w:tcPr>
          <w:p w14:paraId="27E08424"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42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426"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27E0842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428"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42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42A"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27E0842B" w14:textId="77777777" w:rsidR="00A85061" w:rsidRDefault="00A85061">
            <w:pPr>
              <w:jc w:val="right"/>
              <w:rPr>
                <w:rFonts w:ascii="宋体"/>
              </w:rPr>
            </w:pPr>
          </w:p>
        </w:tc>
      </w:tr>
      <w:tr w:rsidR="00A85061" w14:paraId="27E08438" w14:textId="77777777">
        <w:tc>
          <w:tcPr>
            <w:tcW w:w="0" w:type="auto"/>
            <w:gridSpan w:val="3"/>
            <w:shd w:val="clear" w:color="auto" w:fill="FFFFFF"/>
            <w:tcMar>
              <w:top w:w="40" w:type="dxa"/>
              <w:left w:w="20" w:type="dxa"/>
              <w:bottom w:w="40" w:type="dxa"/>
              <w:right w:w="20" w:type="dxa"/>
            </w:tcMar>
            <w:vAlign w:val="center"/>
          </w:tcPr>
          <w:p w14:paraId="27E0842D" w14:textId="77777777" w:rsidR="00A85061" w:rsidRDefault="00F04891">
            <w:pPr>
              <w:textAlignment w:val="center"/>
            </w:pPr>
            <w:r>
              <w:rPr>
                <w:rFonts w:ascii="sans-serif" w:eastAsia="sans-serif" w:hAnsi="sans-serif" w:cs="sans-serif"/>
                <w:color w:val="000000"/>
                <w:sz w:val="20"/>
                <w:szCs w:val="20"/>
              </w:rPr>
              <w:t>3.20% Notes Due 2026</w:t>
            </w:r>
          </w:p>
        </w:tc>
        <w:tc>
          <w:tcPr>
            <w:tcW w:w="0" w:type="auto"/>
            <w:gridSpan w:val="3"/>
            <w:shd w:val="clear" w:color="auto" w:fill="FFFFFF"/>
            <w:tcMar>
              <w:top w:w="0" w:type="dxa"/>
              <w:left w:w="20" w:type="dxa"/>
              <w:bottom w:w="0" w:type="dxa"/>
              <w:right w:w="20" w:type="dxa"/>
            </w:tcMar>
            <w:vAlign w:val="bottom"/>
          </w:tcPr>
          <w:p w14:paraId="27E0842E"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2F" w14:textId="77777777" w:rsidR="00A85061" w:rsidRDefault="00F04891">
            <w:pPr>
              <w:jc w:val="center"/>
              <w:textAlignment w:val="bottom"/>
            </w:pPr>
            <w:r>
              <w:rPr>
                <w:rFonts w:ascii="sans-serif" w:eastAsia="sans-serif" w:hAnsi="sans-serif" w:cs="sans-serif"/>
                <w:color w:val="000000"/>
                <w:sz w:val="20"/>
                <w:szCs w:val="20"/>
              </w:rPr>
              <w:t>5.4</w:t>
            </w:r>
          </w:p>
        </w:tc>
        <w:tc>
          <w:tcPr>
            <w:tcW w:w="0" w:type="auto"/>
            <w:gridSpan w:val="3"/>
            <w:shd w:val="clear" w:color="auto" w:fill="FFFFFF"/>
            <w:tcMar>
              <w:top w:w="0" w:type="dxa"/>
              <w:left w:w="20" w:type="dxa"/>
              <w:bottom w:w="0" w:type="dxa"/>
              <w:right w:w="20" w:type="dxa"/>
            </w:tcMar>
            <w:vAlign w:val="bottom"/>
          </w:tcPr>
          <w:p w14:paraId="27E08430"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31" w14:textId="77777777" w:rsidR="00A85061" w:rsidRDefault="00F04891">
            <w:pPr>
              <w:jc w:val="center"/>
              <w:textAlignment w:val="bottom"/>
            </w:pPr>
            <w:r>
              <w:rPr>
                <w:rFonts w:ascii="sans-serif" w:eastAsia="sans-serif" w:hAnsi="sans-serif" w:cs="sans-serif"/>
                <w:color w:val="000000"/>
                <w:sz w:val="20"/>
                <w:szCs w:val="20"/>
              </w:rPr>
              <w:t>3.31%</w:t>
            </w:r>
          </w:p>
        </w:tc>
        <w:tc>
          <w:tcPr>
            <w:tcW w:w="0" w:type="auto"/>
            <w:gridSpan w:val="3"/>
            <w:shd w:val="clear" w:color="auto" w:fill="FFFFFF"/>
            <w:tcMar>
              <w:top w:w="0" w:type="dxa"/>
              <w:left w:w="20" w:type="dxa"/>
              <w:bottom w:w="0" w:type="dxa"/>
              <w:right w:w="20" w:type="dxa"/>
            </w:tcMar>
            <w:vAlign w:val="bottom"/>
          </w:tcPr>
          <w:p w14:paraId="27E0843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33"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27E0843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43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36"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27E08437" w14:textId="77777777" w:rsidR="00A85061" w:rsidRDefault="00A85061">
            <w:pPr>
              <w:jc w:val="right"/>
              <w:rPr>
                <w:rFonts w:ascii="宋体"/>
              </w:rPr>
            </w:pPr>
          </w:p>
        </w:tc>
      </w:tr>
      <w:tr w:rsidR="00A85061" w14:paraId="27E08444" w14:textId="77777777">
        <w:tc>
          <w:tcPr>
            <w:tcW w:w="0" w:type="auto"/>
            <w:gridSpan w:val="3"/>
            <w:shd w:val="clear" w:color="auto" w:fill="E2EFD9"/>
            <w:tcMar>
              <w:top w:w="40" w:type="dxa"/>
              <w:left w:w="20" w:type="dxa"/>
              <w:bottom w:w="40" w:type="dxa"/>
              <w:right w:w="20" w:type="dxa"/>
            </w:tcMar>
            <w:vAlign w:val="center"/>
          </w:tcPr>
          <w:p w14:paraId="27E08439" w14:textId="77777777" w:rsidR="00A85061" w:rsidRDefault="00F04891">
            <w:pPr>
              <w:textAlignment w:val="center"/>
            </w:pPr>
            <w:r>
              <w:rPr>
                <w:rFonts w:ascii="sans-serif" w:eastAsia="sans-serif" w:hAnsi="sans-serif" w:cs="sans-serif"/>
                <w:color w:val="000000"/>
                <w:sz w:val="20"/>
                <w:szCs w:val="20"/>
              </w:rPr>
              <w:t>2.85% Notes Due 2030</w:t>
            </w:r>
          </w:p>
        </w:tc>
        <w:tc>
          <w:tcPr>
            <w:tcW w:w="0" w:type="auto"/>
            <w:gridSpan w:val="3"/>
            <w:shd w:val="clear" w:color="auto" w:fill="E2EFD9"/>
            <w:tcMar>
              <w:top w:w="0" w:type="dxa"/>
              <w:left w:w="20" w:type="dxa"/>
              <w:bottom w:w="0" w:type="dxa"/>
              <w:right w:w="20" w:type="dxa"/>
            </w:tcMar>
            <w:vAlign w:val="bottom"/>
          </w:tcPr>
          <w:p w14:paraId="27E0843A"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3B" w14:textId="77777777" w:rsidR="00A85061" w:rsidRDefault="00F04891">
            <w:pPr>
              <w:jc w:val="center"/>
              <w:textAlignment w:val="bottom"/>
            </w:pPr>
            <w:r>
              <w:rPr>
                <w:rFonts w:ascii="sans-serif" w:eastAsia="sans-serif" w:hAnsi="sans-serif" w:cs="sans-serif"/>
                <w:color w:val="000000"/>
                <w:sz w:val="20"/>
                <w:szCs w:val="20"/>
              </w:rPr>
              <w:t>8.9</w:t>
            </w:r>
          </w:p>
        </w:tc>
        <w:tc>
          <w:tcPr>
            <w:tcW w:w="0" w:type="auto"/>
            <w:gridSpan w:val="3"/>
            <w:shd w:val="clear" w:color="auto" w:fill="E2EFD9"/>
            <w:tcMar>
              <w:top w:w="0" w:type="dxa"/>
              <w:left w:w="20" w:type="dxa"/>
              <w:bottom w:w="0" w:type="dxa"/>
              <w:right w:w="20" w:type="dxa"/>
            </w:tcMar>
            <w:vAlign w:val="bottom"/>
          </w:tcPr>
          <w:p w14:paraId="27E0843C"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3D" w14:textId="77777777" w:rsidR="00A85061" w:rsidRDefault="00F04891">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vAlign w:val="bottom"/>
          </w:tcPr>
          <w:p w14:paraId="27E0843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3F" w14:textId="77777777" w:rsidR="00A85061" w:rsidRDefault="00F04891">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27E0844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44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42" w14:textId="77777777" w:rsidR="00A85061" w:rsidRDefault="00F04891">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27E08443" w14:textId="77777777" w:rsidR="00A85061" w:rsidRDefault="00A85061">
            <w:pPr>
              <w:jc w:val="right"/>
              <w:rPr>
                <w:rFonts w:ascii="宋体"/>
              </w:rPr>
            </w:pPr>
          </w:p>
        </w:tc>
      </w:tr>
      <w:tr w:rsidR="00A85061" w14:paraId="27E08450" w14:textId="77777777">
        <w:tc>
          <w:tcPr>
            <w:tcW w:w="0" w:type="auto"/>
            <w:gridSpan w:val="3"/>
            <w:shd w:val="clear" w:color="auto" w:fill="FFFFFF"/>
            <w:tcMar>
              <w:top w:w="40" w:type="dxa"/>
              <w:left w:w="20" w:type="dxa"/>
              <w:bottom w:w="40" w:type="dxa"/>
              <w:right w:w="20" w:type="dxa"/>
            </w:tcMar>
            <w:vAlign w:val="center"/>
          </w:tcPr>
          <w:p w14:paraId="27E08445" w14:textId="77777777" w:rsidR="00A85061" w:rsidRDefault="00F04891">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2040</w:t>
            </w:r>
          </w:p>
        </w:tc>
        <w:tc>
          <w:tcPr>
            <w:tcW w:w="0" w:type="auto"/>
            <w:gridSpan w:val="3"/>
            <w:shd w:val="clear" w:color="auto" w:fill="FFFFFF"/>
            <w:tcMar>
              <w:top w:w="0" w:type="dxa"/>
              <w:left w:w="20" w:type="dxa"/>
              <w:bottom w:w="0" w:type="dxa"/>
              <w:right w:w="20" w:type="dxa"/>
            </w:tcMar>
            <w:vAlign w:val="bottom"/>
          </w:tcPr>
          <w:p w14:paraId="27E08446"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47" w14:textId="77777777" w:rsidR="00A85061" w:rsidRDefault="00F04891">
            <w:pPr>
              <w:jc w:val="center"/>
              <w:textAlignment w:val="bottom"/>
            </w:pPr>
            <w:r>
              <w:rPr>
                <w:rFonts w:ascii="sans-serif" w:eastAsia="sans-serif" w:hAnsi="sans-serif" w:cs="sans-serif"/>
                <w:color w:val="000000"/>
                <w:sz w:val="20"/>
                <w:szCs w:val="20"/>
              </w:rPr>
              <w:t>18.9</w:t>
            </w:r>
          </w:p>
        </w:tc>
        <w:tc>
          <w:tcPr>
            <w:tcW w:w="0" w:type="auto"/>
            <w:gridSpan w:val="3"/>
            <w:shd w:val="clear" w:color="auto" w:fill="FFFFFF"/>
            <w:tcMar>
              <w:top w:w="0" w:type="dxa"/>
              <w:left w:w="20" w:type="dxa"/>
              <w:bottom w:w="0" w:type="dxa"/>
              <w:right w:w="20" w:type="dxa"/>
            </w:tcMar>
            <w:vAlign w:val="bottom"/>
          </w:tcPr>
          <w:p w14:paraId="27E08448"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49" w14:textId="77777777" w:rsidR="00A85061" w:rsidRDefault="00F04891">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27E0844A"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4B"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27E0844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44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4E"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shd w:val="clear" w:color="auto" w:fill="FFFFFF"/>
            <w:tcMar>
              <w:top w:w="40" w:type="dxa"/>
              <w:left w:w="0" w:type="dxa"/>
              <w:bottom w:w="40" w:type="dxa"/>
              <w:right w:w="20" w:type="dxa"/>
            </w:tcMar>
            <w:vAlign w:val="bottom"/>
          </w:tcPr>
          <w:p w14:paraId="27E0844F" w14:textId="77777777" w:rsidR="00A85061" w:rsidRDefault="00A85061">
            <w:pPr>
              <w:jc w:val="right"/>
              <w:rPr>
                <w:rFonts w:ascii="宋体"/>
              </w:rPr>
            </w:pPr>
          </w:p>
        </w:tc>
      </w:tr>
      <w:tr w:rsidR="00A85061" w14:paraId="27E0845C" w14:textId="77777777">
        <w:tc>
          <w:tcPr>
            <w:tcW w:w="0" w:type="auto"/>
            <w:gridSpan w:val="3"/>
            <w:shd w:val="clear" w:color="auto" w:fill="E2EFD9"/>
            <w:tcMar>
              <w:top w:w="40" w:type="dxa"/>
              <w:left w:w="20" w:type="dxa"/>
              <w:bottom w:w="40" w:type="dxa"/>
              <w:right w:w="20" w:type="dxa"/>
            </w:tcMar>
            <w:vAlign w:val="center"/>
          </w:tcPr>
          <w:p w14:paraId="27E08451" w14:textId="77777777" w:rsidR="00A85061" w:rsidRDefault="00F04891">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2050</w:t>
            </w:r>
          </w:p>
        </w:tc>
        <w:tc>
          <w:tcPr>
            <w:tcW w:w="0" w:type="auto"/>
            <w:gridSpan w:val="3"/>
            <w:shd w:val="clear" w:color="auto" w:fill="E2EFD9"/>
            <w:tcMar>
              <w:top w:w="0" w:type="dxa"/>
              <w:left w:w="20" w:type="dxa"/>
              <w:bottom w:w="0" w:type="dxa"/>
              <w:right w:w="20" w:type="dxa"/>
            </w:tcMar>
            <w:vAlign w:val="bottom"/>
          </w:tcPr>
          <w:p w14:paraId="27E08452"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53" w14:textId="77777777" w:rsidR="00A85061" w:rsidRDefault="00F04891">
            <w:pPr>
              <w:jc w:val="center"/>
              <w:textAlignment w:val="bottom"/>
            </w:pPr>
            <w:r>
              <w:rPr>
                <w:rFonts w:ascii="sans-serif" w:eastAsia="sans-serif" w:hAnsi="sans-serif" w:cs="sans-serif"/>
                <w:color w:val="000000"/>
                <w:sz w:val="20"/>
                <w:szCs w:val="20"/>
              </w:rPr>
              <w:t>28.9</w:t>
            </w:r>
          </w:p>
        </w:tc>
        <w:tc>
          <w:tcPr>
            <w:tcW w:w="0" w:type="auto"/>
            <w:gridSpan w:val="3"/>
            <w:shd w:val="clear" w:color="auto" w:fill="E2EFD9"/>
            <w:tcMar>
              <w:top w:w="0" w:type="dxa"/>
              <w:left w:w="20" w:type="dxa"/>
              <w:bottom w:w="0" w:type="dxa"/>
              <w:right w:w="20" w:type="dxa"/>
            </w:tcMar>
            <w:vAlign w:val="bottom"/>
          </w:tcPr>
          <w:p w14:paraId="27E08454"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55" w14:textId="77777777" w:rsidR="00A85061" w:rsidRDefault="00F04891">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27E0845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57" w14:textId="77777777" w:rsidR="00A85061" w:rsidRDefault="00F04891">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27E0845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45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5A" w14:textId="77777777" w:rsidR="00A85061" w:rsidRDefault="00F04891">
            <w:pPr>
              <w:jc w:val="right"/>
              <w:textAlignment w:val="bottom"/>
            </w:pPr>
            <w:r>
              <w:rPr>
                <w:rFonts w:ascii="sans-serif" w:eastAsia="sans-serif" w:hAnsi="sans-serif" w:cs="sans-serif"/>
                <w:color w:val="000000"/>
                <w:sz w:val="20"/>
                <w:szCs w:val="20"/>
              </w:rPr>
              <w:t>2,000 </w:t>
            </w:r>
          </w:p>
        </w:tc>
        <w:tc>
          <w:tcPr>
            <w:tcW w:w="0" w:type="auto"/>
            <w:shd w:val="clear" w:color="auto" w:fill="E2EFD9"/>
            <w:tcMar>
              <w:top w:w="40" w:type="dxa"/>
              <w:left w:w="0" w:type="dxa"/>
              <w:bottom w:w="40" w:type="dxa"/>
              <w:right w:w="20" w:type="dxa"/>
            </w:tcMar>
            <w:vAlign w:val="bottom"/>
          </w:tcPr>
          <w:p w14:paraId="27E0845B" w14:textId="77777777" w:rsidR="00A85061" w:rsidRDefault="00A85061">
            <w:pPr>
              <w:jc w:val="right"/>
              <w:rPr>
                <w:rFonts w:ascii="宋体"/>
              </w:rPr>
            </w:pPr>
          </w:p>
        </w:tc>
      </w:tr>
      <w:tr w:rsidR="00A85061" w14:paraId="27E08468" w14:textId="77777777">
        <w:tc>
          <w:tcPr>
            <w:tcW w:w="0" w:type="auto"/>
            <w:gridSpan w:val="3"/>
            <w:shd w:val="clear" w:color="auto" w:fill="FFFFFF"/>
            <w:tcMar>
              <w:top w:w="40" w:type="dxa"/>
              <w:left w:w="20" w:type="dxa"/>
              <w:bottom w:w="40" w:type="dxa"/>
              <w:right w:w="20" w:type="dxa"/>
            </w:tcMar>
            <w:vAlign w:val="center"/>
          </w:tcPr>
          <w:p w14:paraId="27E0845D" w14:textId="77777777" w:rsidR="00A85061" w:rsidRDefault="00F04891">
            <w:pPr>
              <w:textAlignment w:val="center"/>
            </w:pPr>
            <w:r>
              <w:rPr>
                <w:rFonts w:ascii="sans-serif" w:eastAsia="sans-serif" w:hAnsi="sans-serif" w:cs="sans-serif"/>
                <w:color w:val="000000"/>
                <w:sz w:val="20"/>
                <w:szCs w:val="20"/>
              </w:rPr>
              <w:t>3.70% Notes Due 2060</w:t>
            </w:r>
          </w:p>
        </w:tc>
        <w:tc>
          <w:tcPr>
            <w:tcW w:w="0" w:type="auto"/>
            <w:gridSpan w:val="3"/>
            <w:shd w:val="clear" w:color="auto" w:fill="FFFFFF"/>
            <w:tcMar>
              <w:top w:w="0" w:type="dxa"/>
              <w:left w:w="20" w:type="dxa"/>
              <w:bottom w:w="0" w:type="dxa"/>
              <w:right w:w="20" w:type="dxa"/>
            </w:tcMar>
            <w:vAlign w:val="bottom"/>
          </w:tcPr>
          <w:p w14:paraId="27E0845E"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5F" w14:textId="77777777" w:rsidR="00A85061" w:rsidRDefault="00F04891">
            <w:pPr>
              <w:jc w:val="center"/>
              <w:textAlignment w:val="bottom"/>
            </w:pPr>
            <w:r>
              <w:rPr>
                <w:rFonts w:ascii="sans-serif" w:eastAsia="sans-serif" w:hAnsi="sans-serif" w:cs="sans-serif"/>
                <w:color w:val="000000"/>
                <w:sz w:val="20"/>
                <w:szCs w:val="20"/>
              </w:rPr>
              <w:t>38.9</w:t>
            </w:r>
          </w:p>
        </w:tc>
        <w:tc>
          <w:tcPr>
            <w:tcW w:w="0" w:type="auto"/>
            <w:gridSpan w:val="3"/>
            <w:shd w:val="clear" w:color="auto" w:fill="FFFFFF"/>
            <w:tcMar>
              <w:top w:w="0" w:type="dxa"/>
              <w:left w:w="20" w:type="dxa"/>
              <w:bottom w:w="0" w:type="dxa"/>
              <w:right w:w="20" w:type="dxa"/>
            </w:tcMar>
            <w:vAlign w:val="bottom"/>
          </w:tcPr>
          <w:p w14:paraId="27E08460"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461" w14:textId="77777777" w:rsidR="00A85061" w:rsidRDefault="00F04891">
            <w:pPr>
              <w:jc w:val="center"/>
              <w:textAlignment w:val="bottom"/>
            </w:pPr>
            <w:r>
              <w:rPr>
                <w:rFonts w:ascii="sans-serif" w:eastAsia="sans-serif" w:hAnsi="sans-serif" w:cs="sans-serif"/>
                <w:color w:val="000000"/>
                <w:sz w:val="20"/>
                <w:szCs w:val="20"/>
              </w:rPr>
              <w:t>3.73%</w:t>
            </w:r>
          </w:p>
        </w:tc>
        <w:tc>
          <w:tcPr>
            <w:tcW w:w="0" w:type="auto"/>
            <w:gridSpan w:val="3"/>
            <w:shd w:val="clear" w:color="auto" w:fill="FFFFFF"/>
            <w:tcMar>
              <w:top w:w="0" w:type="dxa"/>
              <w:left w:w="20" w:type="dxa"/>
              <w:bottom w:w="0" w:type="dxa"/>
              <w:right w:w="20" w:type="dxa"/>
            </w:tcMar>
            <w:vAlign w:val="bottom"/>
          </w:tcPr>
          <w:p w14:paraId="27E0846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63" w14:textId="77777777" w:rsidR="00A85061" w:rsidRDefault="00F04891">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27E0846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46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466" w14:textId="77777777" w:rsidR="00A85061" w:rsidRDefault="00F04891">
            <w:pPr>
              <w:jc w:val="right"/>
              <w:textAlignment w:val="bottom"/>
            </w:pPr>
            <w:r>
              <w:rPr>
                <w:rFonts w:ascii="sans-serif" w:eastAsia="sans-serif" w:hAnsi="sans-serif" w:cs="sans-serif"/>
                <w:color w:val="000000"/>
                <w:sz w:val="20"/>
                <w:szCs w:val="20"/>
              </w:rPr>
              <w:t>500 </w:t>
            </w:r>
          </w:p>
        </w:tc>
        <w:tc>
          <w:tcPr>
            <w:tcW w:w="0" w:type="auto"/>
            <w:shd w:val="clear" w:color="auto" w:fill="FFFFFF"/>
            <w:tcMar>
              <w:top w:w="40" w:type="dxa"/>
              <w:left w:w="0" w:type="dxa"/>
              <w:bottom w:w="40" w:type="dxa"/>
              <w:right w:w="20" w:type="dxa"/>
            </w:tcMar>
            <w:vAlign w:val="bottom"/>
          </w:tcPr>
          <w:p w14:paraId="27E08467" w14:textId="77777777" w:rsidR="00A85061" w:rsidRDefault="00A85061">
            <w:pPr>
              <w:jc w:val="right"/>
              <w:rPr>
                <w:rFonts w:ascii="宋体"/>
              </w:rPr>
            </w:pPr>
          </w:p>
        </w:tc>
      </w:tr>
      <w:tr w:rsidR="00A85061" w14:paraId="27E08474" w14:textId="77777777">
        <w:tc>
          <w:tcPr>
            <w:tcW w:w="0" w:type="auto"/>
            <w:gridSpan w:val="3"/>
            <w:shd w:val="clear" w:color="auto" w:fill="E2EFD9"/>
            <w:tcMar>
              <w:top w:w="40" w:type="dxa"/>
              <w:left w:w="20" w:type="dxa"/>
              <w:bottom w:w="40" w:type="dxa"/>
              <w:right w:w="20" w:type="dxa"/>
            </w:tcMar>
            <w:vAlign w:val="center"/>
          </w:tcPr>
          <w:p w14:paraId="27E08469" w14:textId="77777777" w:rsidR="00A85061" w:rsidRDefault="00F04891">
            <w:pPr>
              <w:textAlignment w:val="center"/>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E2EFD9"/>
            <w:tcMar>
              <w:top w:w="0" w:type="dxa"/>
              <w:left w:w="20" w:type="dxa"/>
              <w:bottom w:w="0" w:type="dxa"/>
              <w:right w:w="20" w:type="dxa"/>
            </w:tcMar>
            <w:vAlign w:val="bottom"/>
          </w:tcPr>
          <w:p w14:paraId="27E0846A"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6B"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6C"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6D"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6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6F" w14:textId="77777777" w:rsidR="00A85061" w:rsidRDefault="00F04891">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27E0847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47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72" w14:textId="77777777" w:rsidR="00A85061" w:rsidRDefault="00F04891">
            <w:pPr>
              <w:jc w:val="right"/>
              <w:textAlignment w:val="bottom"/>
            </w:pPr>
            <w:r>
              <w:rPr>
                <w:rFonts w:ascii="sans-serif" w:eastAsia="sans-serif" w:hAnsi="sans-serif" w:cs="sans-serif"/>
                <w:color w:val="000000"/>
                <w:sz w:val="20"/>
                <w:szCs w:val="20"/>
              </w:rPr>
              <w:t>(37)</w:t>
            </w:r>
          </w:p>
        </w:tc>
        <w:tc>
          <w:tcPr>
            <w:tcW w:w="0" w:type="auto"/>
            <w:shd w:val="clear" w:color="auto" w:fill="E2EFD9"/>
            <w:tcMar>
              <w:top w:w="40" w:type="dxa"/>
              <w:left w:w="0" w:type="dxa"/>
              <w:bottom w:w="40" w:type="dxa"/>
              <w:right w:w="20" w:type="dxa"/>
            </w:tcMar>
            <w:vAlign w:val="bottom"/>
          </w:tcPr>
          <w:p w14:paraId="27E08473" w14:textId="77777777" w:rsidR="00A85061" w:rsidRDefault="00A85061">
            <w:pPr>
              <w:jc w:val="right"/>
              <w:rPr>
                <w:rFonts w:ascii="宋体"/>
              </w:rPr>
            </w:pPr>
          </w:p>
        </w:tc>
      </w:tr>
      <w:tr w:rsidR="00A85061" w14:paraId="27E08480" w14:textId="77777777">
        <w:tc>
          <w:tcPr>
            <w:tcW w:w="0" w:type="auto"/>
            <w:gridSpan w:val="3"/>
            <w:shd w:val="clear" w:color="auto" w:fill="FFFFFF"/>
            <w:tcMar>
              <w:top w:w="40" w:type="dxa"/>
              <w:left w:w="140" w:type="dxa"/>
              <w:bottom w:w="40" w:type="dxa"/>
              <w:right w:w="20" w:type="dxa"/>
            </w:tcMar>
            <w:vAlign w:val="center"/>
          </w:tcPr>
          <w:p w14:paraId="27E08475" w14:textId="77777777" w:rsidR="00A85061" w:rsidRDefault="00F04891">
            <w:pPr>
              <w:textAlignment w:val="center"/>
            </w:pPr>
            <w:r>
              <w:rPr>
                <w:rFonts w:ascii="sans-serif" w:eastAsia="sans-serif" w:hAnsi="sans-serif" w:cs="sans-serif"/>
                <w:color w:val="000000"/>
                <w:sz w:val="20"/>
                <w:szCs w:val="20"/>
              </w:rPr>
              <w:t>Net carrying amount</w:t>
            </w:r>
          </w:p>
        </w:tc>
        <w:tc>
          <w:tcPr>
            <w:tcW w:w="0" w:type="auto"/>
            <w:gridSpan w:val="3"/>
            <w:shd w:val="clear" w:color="auto" w:fill="FFFFFF"/>
            <w:tcMar>
              <w:top w:w="0" w:type="dxa"/>
              <w:left w:w="20" w:type="dxa"/>
              <w:bottom w:w="0" w:type="dxa"/>
              <w:right w:w="20" w:type="dxa"/>
            </w:tcMar>
            <w:vAlign w:val="bottom"/>
          </w:tcPr>
          <w:p w14:paraId="27E08476"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77"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78"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79"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7A"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47B" w14:textId="77777777" w:rsidR="00A85061" w:rsidRDefault="00F04891">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47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47D"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47E" w14:textId="77777777" w:rsidR="00A85061" w:rsidRDefault="00F04891">
            <w:pPr>
              <w:jc w:val="right"/>
              <w:textAlignment w:val="bottom"/>
            </w:pPr>
            <w:r>
              <w:rPr>
                <w:rFonts w:ascii="sans-serif" w:eastAsia="sans-serif" w:hAnsi="sans-serif" w:cs="sans-serif"/>
                <w:color w:val="000000"/>
                <w:sz w:val="20"/>
                <w:szCs w:val="20"/>
              </w:rPr>
              <w:t>6,963 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47F" w14:textId="77777777" w:rsidR="00A85061" w:rsidRDefault="00A85061">
            <w:pPr>
              <w:jc w:val="right"/>
              <w:rPr>
                <w:rFonts w:ascii="宋体"/>
              </w:rPr>
            </w:pPr>
          </w:p>
        </w:tc>
      </w:tr>
      <w:tr w:rsidR="00A85061" w14:paraId="27E0848C" w14:textId="77777777">
        <w:tc>
          <w:tcPr>
            <w:tcW w:w="0" w:type="auto"/>
            <w:gridSpan w:val="3"/>
            <w:shd w:val="clear" w:color="auto" w:fill="E2EFD9"/>
            <w:tcMar>
              <w:top w:w="40" w:type="dxa"/>
              <w:left w:w="20" w:type="dxa"/>
              <w:bottom w:w="40" w:type="dxa"/>
              <w:right w:w="20" w:type="dxa"/>
            </w:tcMar>
            <w:vAlign w:val="center"/>
          </w:tcPr>
          <w:p w14:paraId="27E08481" w14:textId="77777777" w:rsidR="00A85061" w:rsidRDefault="00F04891">
            <w:pPr>
              <w:textAlignment w:val="center"/>
            </w:pPr>
            <w:r>
              <w:rPr>
                <w:rFonts w:ascii="sans-serif" w:eastAsia="sans-serif" w:hAnsi="sans-serif" w:cs="sans-serif"/>
                <w:color w:val="000000"/>
                <w:sz w:val="20"/>
                <w:szCs w:val="20"/>
              </w:rPr>
              <w:t>Less short-term portion</w:t>
            </w:r>
          </w:p>
        </w:tc>
        <w:tc>
          <w:tcPr>
            <w:tcW w:w="0" w:type="auto"/>
            <w:gridSpan w:val="3"/>
            <w:shd w:val="clear" w:color="auto" w:fill="E2EFD9"/>
            <w:tcMar>
              <w:top w:w="0" w:type="dxa"/>
              <w:left w:w="20" w:type="dxa"/>
              <w:bottom w:w="0" w:type="dxa"/>
              <w:right w:w="20" w:type="dxa"/>
            </w:tcMar>
            <w:vAlign w:val="bottom"/>
          </w:tcPr>
          <w:p w14:paraId="27E08482"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83"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84"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85"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48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87" w14:textId="77777777" w:rsidR="00A85061" w:rsidRDefault="00F04891">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27E0848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48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48A" w14:textId="77777777" w:rsidR="00A85061" w:rsidRDefault="00F04891">
            <w:pPr>
              <w:jc w:val="right"/>
              <w:textAlignment w:val="bottom"/>
            </w:pPr>
            <w:r>
              <w:rPr>
                <w:rFonts w:ascii="sans-serif" w:eastAsia="sans-serif" w:hAnsi="sans-serif" w:cs="sans-serif"/>
                <w:color w:val="000000"/>
                <w:sz w:val="20"/>
                <w:szCs w:val="20"/>
              </w:rPr>
              <w:t>(999)</w:t>
            </w:r>
          </w:p>
        </w:tc>
        <w:tc>
          <w:tcPr>
            <w:tcW w:w="0" w:type="auto"/>
            <w:shd w:val="clear" w:color="auto" w:fill="E2EFD9"/>
            <w:tcMar>
              <w:top w:w="40" w:type="dxa"/>
              <w:left w:w="0" w:type="dxa"/>
              <w:bottom w:w="40" w:type="dxa"/>
              <w:right w:w="20" w:type="dxa"/>
            </w:tcMar>
            <w:vAlign w:val="bottom"/>
          </w:tcPr>
          <w:p w14:paraId="27E0848B" w14:textId="77777777" w:rsidR="00A85061" w:rsidRDefault="00A85061">
            <w:pPr>
              <w:jc w:val="right"/>
              <w:rPr>
                <w:rFonts w:ascii="宋体"/>
              </w:rPr>
            </w:pPr>
          </w:p>
        </w:tc>
      </w:tr>
      <w:tr w:rsidR="00A85061" w14:paraId="27E0849A" w14:textId="77777777">
        <w:tc>
          <w:tcPr>
            <w:tcW w:w="0" w:type="auto"/>
            <w:gridSpan w:val="3"/>
            <w:shd w:val="clear" w:color="auto" w:fill="FFFFFF"/>
            <w:tcMar>
              <w:top w:w="40" w:type="dxa"/>
              <w:left w:w="140" w:type="dxa"/>
              <w:bottom w:w="40" w:type="dxa"/>
              <w:right w:w="20" w:type="dxa"/>
            </w:tcMar>
            <w:vAlign w:val="center"/>
          </w:tcPr>
          <w:p w14:paraId="27E0848D" w14:textId="77777777" w:rsidR="00A85061" w:rsidRDefault="00F04891">
            <w:pPr>
              <w:textAlignment w:val="center"/>
            </w:pPr>
            <w:r>
              <w:rPr>
                <w:rFonts w:ascii="sans-serif" w:eastAsia="sans-serif" w:hAnsi="sans-serif" w:cs="sans-serif"/>
                <w:color w:val="000000"/>
                <w:sz w:val="20"/>
                <w:szCs w:val="20"/>
              </w:rPr>
              <w:t>Total long-term portion</w:t>
            </w:r>
          </w:p>
        </w:tc>
        <w:tc>
          <w:tcPr>
            <w:tcW w:w="0" w:type="auto"/>
            <w:gridSpan w:val="3"/>
            <w:shd w:val="clear" w:color="auto" w:fill="FFFFFF"/>
            <w:tcMar>
              <w:top w:w="0" w:type="dxa"/>
              <w:left w:w="20" w:type="dxa"/>
              <w:bottom w:w="0" w:type="dxa"/>
              <w:right w:w="20" w:type="dxa"/>
            </w:tcMar>
            <w:vAlign w:val="bottom"/>
          </w:tcPr>
          <w:p w14:paraId="27E0848E"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8F"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90"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91"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492"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493"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494" w14:textId="77777777" w:rsidR="00A85061" w:rsidRDefault="00F04891">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49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496"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497"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498" w14:textId="77777777" w:rsidR="00A85061" w:rsidRDefault="00F04891">
            <w:pPr>
              <w:jc w:val="right"/>
              <w:textAlignment w:val="bottom"/>
            </w:pPr>
            <w:r>
              <w:rPr>
                <w:rFonts w:ascii="sans-serif" w:eastAsia="sans-serif" w:hAnsi="sans-serif" w:cs="sans-serif"/>
                <w:color w:val="000000"/>
                <w:sz w:val="20"/>
                <w:szCs w:val="20"/>
              </w:rPr>
              <w:t>5,964 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499" w14:textId="77777777" w:rsidR="00A85061" w:rsidRDefault="00A85061">
            <w:pPr>
              <w:jc w:val="right"/>
              <w:rPr>
                <w:rFonts w:ascii="宋体"/>
              </w:rPr>
            </w:pPr>
          </w:p>
        </w:tc>
      </w:tr>
    </w:tbl>
    <w:p w14:paraId="27E0849B" w14:textId="77777777" w:rsidR="00A85061" w:rsidRDefault="00F04891">
      <w:r>
        <w:rPr>
          <w:rFonts w:ascii="sans-serif" w:eastAsia="sans-serif" w:hAnsi="sans-serif" w:cs="sans-serif"/>
          <w:color w:val="000000"/>
          <w:sz w:val="20"/>
          <w:szCs w:val="20"/>
        </w:rPr>
        <w:t xml:space="preserve">As of May 2, 2021, we were in compliance with the required covenants under the Notes. </w:t>
      </w:r>
    </w:p>
    <w:p w14:paraId="27E0849C" w14:textId="77777777" w:rsidR="00A85061" w:rsidRDefault="00F04891">
      <w:pPr>
        <w:spacing w:before="240" w:after="60"/>
        <w:jc w:val="both"/>
      </w:pPr>
      <w:r>
        <w:rPr>
          <w:rFonts w:ascii="sans-serif" w:eastAsia="sans-serif" w:hAnsi="sans-serif" w:cs="sans-serif"/>
          <w:b/>
          <w:bCs/>
          <w:color w:val="76B900"/>
          <w:sz w:val="20"/>
          <w:szCs w:val="20"/>
        </w:rPr>
        <w:t>Credit Facilities</w:t>
      </w:r>
    </w:p>
    <w:p w14:paraId="27E0849D" w14:textId="77777777" w:rsidR="00A85061" w:rsidRDefault="00F04891">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obtain revolving loa</w:t>
      </w:r>
      <w:r>
        <w:rPr>
          <w:rFonts w:ascii="sans-serif" w:eastAsia="sans-serif" w:hAnsi="sans-serif" w:cs="sans-serif"/>
          <w:color w:val="000000"/>
          <w:sz w:val="20"/>
          <w:szCs w:val="20"/>
        </w:rPr>
        <w:t>n commitments up to $425 million. As of May 2, 2021, we had not borrowed any amounts and were in compliance with the required covenants under this agreement. The Credit Agreement expires October 2021.</w:t>
      </w:r>
    </w:p>
    <w:p w14:paraId="27E0849E" w14:textId="77777777" w:rsidR="00A85061" w:rsidRDefault="00F04891">
      <w:pPr>
        <w:spacing w:after="180"/>
        <w:jc w:val="both"/>
      </w:pPr>
      <w:r>
        <w:rPr>
          <w:rFonts w:ascii="sans-serif" w:eastAsia="sans-serif" w:hAnsi="sans-serif" w:cs="sans-serif"/>
          <w:color w:val="000000"/>
          <w:sz w:val="20"/>
          <w:szCs w:val="20"/>
        </w:rPr>
        <w:t>We have a $575 million commercial paper program to supp</w:t>
      </w:r>
      <w:r>
        <w:rPr>
          <w:rFonts w:ascii="sans-serif" w:eastAsia="sans-serif" w:hAnsi="sans-serif" w:cs="sans-serif"/>
          <w:color w:val="000000"/>
          <w:sz w:val="20"/>
          <w:szCs w:val="20"/>
        </w:rPr>
        <w:t>ort general corporate purposes. As of May 2, 2021, we had not issued any commercial paper.</w:t>
      </w:r>
    </w:p>
    <w:p w14:paraId="27E0849F" w14:textId="77777777" w:rsidR="00A85061" w:rsidRDefault="00F04891">
      <w:pPr>
        <w:spacing w:before="240" w:after="120"/>
        <w:jc w:val="both"/>
      </w:pPr>
      <w:r>
        <w:rPr>
          <w:rFonts w:ascii="sans-serif" w:eastAsia="sans-serif" w:hAnsi="sans-serif" w:cs="sans-serif"/>
          <w:b/>
          <w:bCs/>
          <w:color w:val="76B900"/>
          <w:sz w:val="22"/>
          <w:szCs w:val="22"/>
        </w:rPr>
        <w:t>Note 13 - Commitments and Contingencies</w:t>
      </w:r>
    </w:p>
    <w:p w14:paraId="27E084A0" w14:textId="77777777" w:rsidR="00A85061" w:rsidRDefault="00F04891">
      <w:pPr>
        <w:spacing w:before="240" w:after="60"/>
        <w:jc w:val="both"/>
      </w:pPr>
      <w:r>
        <w:rPr>
          <w:rFonts w:ascii="sans-serif" w:eastAsia="sans-serif" w:hAnsi="sans-serif" w:cs="sans-serif"/>
          <w:b/>
          <w:bCs/>
          <w:color w:val="76B900"/>
          <w:sz w:val="20"/>
          <w:szCs w:val="20"/>
        </w:rPr>
        <w:t>Purchase Obligations</w:t>
      </w:r>
    </w:p>
    <w:p w14:paraId="27E084A1" w14:textId="77777777" w:rsidR="00A85061" w:rsidRDefault="00F04891">
      <w:pPr>
        <w:spacing w:after="120"/>
        <w:jc w:val="both"/>
      </w:pPr>
      <w:r>
        <w:rPr>
          <w:rFonts w:ascii="sans-serif" w:eastAsia="sans-serif" w:hAnsi="sans-serif" w:cs="sans-serif"/>
          <w:color w:val="000000"/>
          <w:sz w:val="20"/>
          <w:szCs w:val="20"/>
        </w:rPr>
        <w:t xml:space="preserve">As of May 2, 2021, we had outstanding inventory purchase obligations totaling $3.46 billion which are </w:t>
      </w:r>
      <w:r>
        <w:rPr>
          <w:rFonts w:ascii="sans-serif" w:eastAsia="sans-serif" w:hAnsi="sans-serif" w:cs="sans-serif"/>
          <w:color w:val="000000"/>
          <w:sz w:val="20"/>
          <w:szCs w:val="20"/>
        </w:rPr>
        <w:t>expected to occur over the next 12 months, and other purchase obligations totaling $396 million, which are primarily expected to occur over the next 18 months.</w:t>
      </w:r>
    </w:p>
    <w:p w14:paraId="27E084A2" w14:textId="77777777" w:rsidR="00A85061" w:rsidRDefault="00A85061">
      <w:pPr>
        <w:spacing w:after="180"/>
        <w:jc w:val="both"/>
      </w:pPr>
    </w:p>
    <w:p w14:paraId="27E084A3" w14:textId="77777777" w:rsidR="00A85061" w:rsidRDefault="00F04891">
      <w:pPr>
        <w:spacing w:after="180"/>
        <w:jc w:val="center"/>
      </w:pPr>
      <w:r>
        <w:rPr>
          <w:rFonts w:ascii="sans-serif" w:eastAsia="sans-serif" w:hAnsi="sans-serif" w:cs="sans-serif"/>
          <w:color w:val="000000"/>
          <w:sz w:val="20"/>
          <w:szCs w:val="20"/>
        </w:rPr>
        <w:t>18</w:t>
      </w:r>
    </w:p>
    <w:p w14:paraId="27E084A4" w14:textId="77777777" w:rsidR="00A85061" w:rsidRDefault="00F04891">
      <w:r>
        <w:pict w14:anchorId="27E08F03">
          <v:rect id="_x0000_i1042" style="width:415.3pt;height:1.5pt" o:hralign="center" o:hrstd="t" o:hr="t" fillcolor="#a0a0a0" stroked="f"/>
        </w:pict>
      </w:r>
    </w:p>
    <w:p w14:paraId="27E084A5" w14:textId="77777777" w:rsidR="00A85061" w:rsidRDefault="00F04891">
      <w:pPr>
        <w:jc w:val="center"/>
      </w:pPr>
      <w:r>
        <w:rPr>
          <w:rFonts w:ascii="sans-serif" w:eastAsia="sans-serif" w:hAnsi="sans-serif" w:cs="sans-serif"/>
          <w:b/>
          <w:bCs/>
          <w:color w:val="000000"/>
          <w:sz w:val="20"/>
          <w:szCs w:val="20"/>
        </w:rPr>
        <w:t>NVIDIA CORPORATION AND SUBSIDIARIES</w:t>
      </w:r>
    </w:p>
    <w:p w14:paraId="27E084A6" w14:textId="77777777" w:rsidR="00A85061" w:rsidRDefault="00F04891">
      <w:pPr>
        <w:jc w:val="center"/>
      </w:pPr>
      <w:r>
        <w:rPr>
          <w:rFonts w:ascii="sans-serif" w:eastAsia="sans-serif" w:hAnsi="sans-serif" w:cs="sans-serif"/>
          <w:b/>
          <w:bCs/>
          <w:color w:val="000000"/>
          <w:sz w:val="20"/>
          <w:szCs w:val="20"/>
        </w:rPr>
        <w:t xml:space="preserve">NOTES TO CONDENSED CONSOLIDATED FINANCIAL </w:t>
      </w:r>
      <w:r>
        <w:rPr>
          <w:rFonts w:ascii="sans-serif" w:eastAsia="sans-serif" w:hAnsi="sans-serif" w:cs="sans-serif"/>
          <w:b/>
          <w:bCs/>
          <w:color w:val="000000"/>
          <w:sz w:val="20"/>
          <w:szCs w:val="20"/>
        </w:rPr>
        <w:t>STATEMENTS (Continued)</w:t>
      </w:r>
    </w:p>
    <w:p w14:paraId="27E084A7" w14:textId="77777777" w:rsidR="00A85061" w:rsidRDefault="00F04891">
      <w:pPr>
        <w:jc w:val="center"/>
      </w:pPr>
      <w:r>
        <w:rPr>
          <w:rFonts w:ascii="sans-serif" w:eastAsia="sans-serif" w:hAnsi="sans-serif" w:cs="sans-serif"/>
          <w:b/>
          <w:bCs/>
          <w:color w:val="000000"/>
          <w:sz w:val="20"/>
          <w:szCs w:val="20"/>
        </w:rPr>
        <w:t>(Unaudited)</w:t>
      </w:r>
    </w:p>
    <w:p w14:paraId="27E084A8" w14:textId="77777777" w:rsidR="00A85061" w:rsidRDefault="00A85061">
      <w:pPr>
        <w:spacing w:after="180"/>
        <w:jc w:val="both"/>
      </w:pPr>
    </w:p>
    <w:p w14:paraId="27E084A9" w14:textId="77777777" w:rsidR="00A85061" w:rsidRDefault="00A85061">
      <w:pPr>
        <w:spacing w:after="180"/>
        <w:jc w:val="both"/>
      </w:pPr>
    </w:p>
    <w:p w14:paraId="27E084AA" w14:textId="77777777" w:rsidR="00A85061" w:rsidRDefault="00F04891">
      <w:pPr>
        <w:spacing w:before="240" w:after="60"/>
        <w:jc w:val="both"/>
      </w:pPr>
      <w:r>
        <w:rPr>
          <w:rFonts w:ascii="sans-serif" w:eastAsia="sans-serif" w:hAnsi="sans-serif" w:cs="sans-serif"/>
          <w:b/>
          <w:bCs/>
          <w:color w:val="76B900"/>
          <w:sz w:val="20"/>
          <w:szCs w:val="20"/>
        </w:rPr>
        <w:t>Accrual for Product Warranty Liabilities</w:t>
      </w:r>
    </w:p>
    <w:p w14:paraId="27E084AB" w14:textId="77777777" w:rsidR="00A85061" w:rsidRDefault="00F04891">
      <w:pPr>
        <w:spacing w:after="180"/>
        <w:jc w:val="both"/>
      </w:pPr>
      <w:r>
        <w:rPr>
          <w:rFonts w:ascii="sans-serif" w:eastAsia="sans-serif" w:hAnsi="sans-serif" w:cs="sans-serif"/>
          <w:color w:val="000000"/>
          <w:sz w:val="20"/>
          <w:szCs w:val="20"/>
        </w:rPr>
        <w:t>The estimated amount of product warranty liabilities was $30 million and $22 million as of May 2, 2021 and January 31, 2021, respectively, and the activities related to the warra</w:t>
      </w:r>
      <w:r>
        <w:rPr>
          <w:rFonts w:ascii="sans-serif" w:eastAsia="sans-serif" w:hAnsi="sans-serif" w:cs="sans-serif"/>
          <w:color w:val="000000"/>
          <w:sz w:val="20"/>
          <w:szCs w:val="20"/>
        </w:rPr>
        <w:t>nty liabilities were not significant.</w:t>
      </w:r>
    </w:p>
    <w:p w14:paraId="27E084AC" w14:textId="77777777" w:rsidR="00A85061" w:rsidRDefault="00F04891">
      <w:pPr>
        <w:jc w:val="both"/>
      </w:pPr>
      <w:r>
        <w:rPr>
          <w:rFonts w:ascii="sans-serif" w:eastAsia="sans-serif" w:hAnsi="sans-serif" w:cs="sans-serif"/>
          <w:color w:val="000000"/>
          <w:sz w:val="20"/>
          <w:szCs w:val="20"/>
        </w:rPr>
        <w:t>In connection with certain agreements that we have entered in the past, we have provided indemnities to cover the indemnified party for matters such as tax, product, and employee liabilities. We have included intellect</w:t>
      </w:r>
      <w:r>
        <w:rPr>
          <w:rFonts w:ascii="sans-serif" w:eastAsia="sans-serif" w:hAnsi="sans-serif" w:cs="sans-serif"/>
          <w:color w:val="000000"/>
          <w:sz w:val="20"/>
          <w:szCs w:val="20"/>
        </w:rPr>
        <w:t>ual property indemnification provisions in our technology related agreements with third parties. Maximum potential future payments cannot be estimated because many of these agreements do not have a maximum stated liability. We have not recorded any liabili</w:t>
      </w:r>
      <w:r>
        <w:rPr>
          <w:rFonts w:ascii="sans-serif" w:eastAsia="sans-serif" w:hAnsi="sans-serif" w:cs="sans-serif"/>
          <w:color w:val="000000"/>
          <w:sz w:val="20"/>
          <w:szCs w:val="20"/>
        </w:rPr>
        <w:t>ty in our Condensed Consolidated Financial Statements for such indemnifications.</w:t>
      </w:r>
    </w:p>
    <w:p w14:paraId="27E084AD" w14:textId="77777777" w:rsidR="00A85061" w:rsidRDefault="00F04891">
      <w:pPr>
        <w:spacing w:before="240" w:after="60"/>
        <w:jc w:val="both"/>
      </w:pPr>
      <w:r>
        <w:rPr>
          <w:rFonts w:ascii="sans-serif" w:eastAsia="sans-serif" w:hAnsi="sans-serif" w:cs="sans-serif"/>
          <w:b/>
          <w:bCs/>
          <w:color w:val="76B900"/>
          <w:sz w:val="20"/>
          <w:szCs w:val="20"/>
        </w:rPr>
        <w:t>Litigation</w:t>
      </w:r>
    </w:p>
    <w:p w14:paraId="27E084AE" w14:textId="77777777" w:rsidR="00A85061" w:rsidRDefault="00F04891">
      <w:pPr>
        <w:spacing w:before="120" w:after="120"/>
        <w:jc w:val="both"/>
      </w:pPr>
      <w:r>
        <w:rPr>
          <w:rFonts w:ascii="sans-serif" w:eastAsia="sans-serif" w:hAnsi="sans-serif" w:cs="sans-serif"/>
          <w:b/>
          <w:bCs/>
          <w:color w:val="000000"/>
          <w:sz w:val="20"/>
          <w:szCs w:val="20"/>
        </w:rPr>
        <w:t>Securities Class Action and Derivative Lawsuits</w:t>
      </w:r>
    </w:p>
    <w:p w14:paraId="27E084AF" w14:textId="77777777" w:rsidR="00A85061" w:rsidRDefault="00F04891">
      <w:pPr>
        <w:spacing w:after="180"/>
        <w:jc w:val="both"/>
      </w:pPr>
      <w:r>
        <w:rPr>
          <w:rFonts w:ascii="sans-serif" w:eastAsia="sans-serif" w:hAnsi="sans-serif" w:cs="sans-serif"/>
          <w:color w:val="000000"/>
          <w:sz w:val="20"/>
          <w:szCs w:val="20"/>
        </w:rPr>
        <w:t>The plaintiffs in the putative securities class action lawsuit, captioned 4:18-cv-07669-HSG, initially filed on Dece</w:t>
      </w:r>
      <w:r>
        <w:rPr>
          <w:rFonts w:ascii="sans-serif" w:eastAsia="sans-serif" w:hAnsi="sans-serif" w:cs="sans-serif"/>
          <w:color w:val="000000"/>
          <w:sz w:val="20"/>
          <w:szCs w:val="20"/>
        </w:rPr>
        <w:t xml:space="preserve">mber 21, 2018 in the United States District Court for the Northern District of California, and titled In Re NVIDIA Corporation Securities Litigation, filed an amended complaint on May 13, 2020. The amended complaint asserted that NVIDIA and certain NVIDIA </w:t>
      </w:r>
      <w:r>
        <w:rPr>
          <w:rFonts w:ascii="sans-serif" w:eastAsia="sans-serif" w:hAnsi="sans-serif" w:cs="sans-serif"/>
          <w:color w:val="000000"/>
          <w:sz w:val="20"/>
          <w:szCs w:val="20"/>
        </w:rPr>
        <w:t>executives violated Section 10(b) of the Securities Exchange Act of 1934, as amended, or the Exchange Act, and SEC Rule 10b-5, by making materially false or misleading statements related to channel inventory and the impact of cryptocurrency mining on GPU d</w:t>
      </w:r>
      <w:r>
        <w:rPr>
          <w:rFonts w:ascii="sans-serif" w:eastAsia="sans-serif" w:hAnsi="sans-serif" w:cs="sans-serif"/>
          <w:color w:val="000000"/>
          <w:sz w:val="20"/>
          <w:szCs w:val="20"/>
        </w:rPr>
        <w:t>emand between May 10, 2017 and November 14, 2018. Plaintiffs also alleged that the NVIDIA executives who they named as defendants violated Section 20(a) of the Exchange Act. Plaintiffs sought class certification, an award of unspecified compensatory damage</w:t>
      </w:r>
      <w:r>
        <w:rPr>
          <w:rFonts w:ascii="sans-serif" w:eastAsia="sans-serif" w:hAnsi="sans-serif" w:cs="sans-serif"/>
          <w:color w:val="000000"/>
          <w:sz w:val="20"/>
          <w:szCs w:val="20"/>
        </w:rPr>
        <w:t>s, an award of reasonable costs and expenses, including attorneys’ fees and expert fees, and further relief as the Court may deem just and proper. On March 2, 2021, the district court granted NVIDIA’s motion to dismiss the complaint without leave to amend,</w:t>
      </w:r>
      <w:r>
        <w:rPr>
          <w:rFonts w:ascii="sans-serif" w:eastAsia="sans-serif" w:hAnsi="sans-serif" w:cs="sans-serif"/>
          <w:color w:val="000000"/>
          <w:sz w:val="20"/>
          <w:szCs w:val="20"/>
        </w:rPr>
        <w:t xml:space="preserve"> entered judgment in favor of NVIDIA and closed the case. On March 30, 2021, plaintiffs filed a notice of appeal from judgment in the United States Court of Appeals for the Ninth Circuit, case number 21-15604.</w:t>
      </w:r>
    </w:p>
    <w:p w14:paraId="27E084B0" w14:textId="77777777" w:rsidR="00A85061" w:rsidRDefault="00F04891">
      <w:pPr>
        <w:spacing w:after="180"/>
        <w:jc w:val="both"/>
      </w:pPr>
      <w:r>
        <w:rPr>
          <w:rFonts w:ascii="sans-serif" w:eastAsia="sans-serif" w:hAnsi="sans-serif" w:cs="sans-serif"/>
          <w:color w:val="000000"/>
          <w:sz w:val="20"/>
          <w:szCs w:val="20"/>
        </w:rPr>
        <w:t>The putative derivative lawsuit pending in the</w:t>
      </w:r>
      <w:r>
        <w:rPr>
          <w:rFonts w:ascii="sans-serif" w:eastAsia="sans-serif" w:hAnsi="sans-serif" w:cs="sans-serif"/>
          <w:color w:val="000000"/>
          <w:sz w:val="20"/>
          <w:szCs w:val="20"/>
        </w:rPr>
        <w:t xml:space="preserve"> United States District Court for the Northern District of California, captioned 4:19-cv-00341-HSG, initially filed January 18, 2019 and titled In re NVIDIA Corporation Consolidated Derivative Litigation, remains stayed pending resolution of the plaintiffs</w:t>
      </w:r>
      <w:r>
        <w:rPr>
          <w:rFonts w:ascii="sans-serif" w:eastAsia="sans-serif" w:hAnsi="sans-serif" w:cs="sans-serif"/>
          <w:color w:val="000000"/>
          <w:sz w:val="20"/>
          <w:szCs w:val="20"/>
        </w:rPr>
        <w:t>’ appeal in the In Re NVIDIA Corporation Securities Litigation action. The lawsuit asserts claims for breach of fiduciary duty, unjust enrichment, waste of corporate assets, and violations of Sections 14(a), 10(b), and 20(a) of the Exchange Act based on th</w:t>
      </w:r>
      <w:r>
        <w:rPr>
          <w:rFonts w:ascii="sans-serif" w:eastAsia="sans-serif" w:hAnsi="sans-serif" w:cs="sans-serif"/>
          <w:color w:val="000000"/>
          <w:sz w:val="20"/>
          <w:szCs w:val="20"/>
        </w:rPr>
        <w:t>e dissemination of allegedly false and misleading statements related to channel inventory and the impact of cryptocurrency mining on GPU demand. The plaintiffs are seeking unspecified damages and other relief, including reforms and improvements to NVIDIA’s</w:t>
      </w:r>
      <w:r>
        <w:rPr>
          <w:rFonts w:ascii="sans-serif" w:eastAsia="sans-serif" w:hAnsi="sans-serif" w:cs="sans-serif"/>
          <w:color w:val="000000"/>
          <w:sz w:val="20"/>
          <w:szCs w:val="20"/>
        </w:rPr>
        <w:t xml:space="preserve"> corporate governance and internal procedures.</w:t>
      </w:r>
    </w:p>
    <w:p w14:paraId="27E084B1" w14:textId="77777777" w:rsidR="00A85061" w:rsidRDefault="00F04891">
      <w:pPr>
        <w:spacing w:after="180"/>
        <w:jc w:val="both"/>
      </w:pPr>
      <w:r>
        <w:rPr>
          <w:rFonts w:ascii="sans-serif" w:eastAsia="sans-serif" w:hAnsi="sans-serif" w:cs="sans-serif"/>
          <w:color w:val="000000"/>
          <w:sz w:val="20"/>
          <w:szCs w:val="20"/>
        </w:rPr>
        <w:t>The putative derivative actions initially filed September 24, 2019 and pending in the United States District Court for the District of Delaware, Lipchitz v. Huang, et al. (Case No. 1:19-cv-01795-UNA) and Nelso</w:t>
      </w:r>
      <w:r>
        <w:rPr>
          <w:rFonts w:ascii="sans-serif" w:eastAsia="sans-serif" w:hAnsi="sans-serif" w:cs="sans-serif"/>
          <w:color w:val="000000"/>
          <w:sz w:val="20"/>
          <w:szCs w:val="20"/>
        </w:rPr>
        <w:t xml:space="preserve">n v. Huang, et. al. (Case No. 1:19-cv-01798- UNA), remain stayed pending resolution of the plaintiffs’ appeal in the In Re NVIDIA Corporation Securities Litigation action. The lawsuits assert claims for breach of fiduciary duty, unjust enrichment, insider </w:t>
      </w:r>
      <w:r>
        <w:rPr>
          <w:rFonts w:ascii="sans-serif" w:eastAsia="sans-serif" w:hAnsi="sans-serif" w:cs="sans-serif"/>
          <w:color w:val="000000"/>
          <w:sz w:val="20"/>
          <w:szCs w:val="20"/>
        </w:rPr>
        <w:t>trading, misappropriation of information, corporate waste and violations of Sections 14(a), 10(b), and 20(a) of the Exchange Act based on the dissemination of allegedly false, and misleading statements related to channel inventory and the impact of cryptoc</w:t>
      </w:r>
      <w:r>
        <w:rPr>
          <w:rFonts w:ascii="sans-serif" w:eastAsia="sans-serif" w:hAnsi="sans-serif" w:cs="sans-serif"/>
          <w:color w:val="000000"/>
          <w:sz w:val="20"/>
          <w:szCs w:val="20"/>
        </w:rPr>
        <w:t>urrency mining on GPU demand. The plaintiffs seek unspecified damages and other relief, including disgorgement of profits from the sale of NVIDIA stock and unspecified corporate governance measures.</w:t>
      </w:r>
    </w:p>
    <w:p w14:paraId="27E084B2" w14:textId="77777777" w:rsidR="00A85061" w:rsidRDefault="00F04891">
      <w:pPr>
        <w:spacing w:after="180"/>
        <w:jc w:val="both"/>
      </w:pPr>
      <w:r>
        <w:rPr>
          <w:rFonts w:ascii="sans-serif" w:eastAsia="sans-serif" w:hAnsi="sans-serif" w:cs="sans-serif"/>
          <w:color w:val="000000"/>
          <w:sz w:val="20"/>
          <w:szCs w:val="20"/>
        </w:rPr>
        <w:t>It is possible that additional suits will be filed, or al</w:t>
      </w:r>
      <w:r>
        <w:rPr>
          <w:rFonts w:ascii="sans-serif" w:eastAsia="sans-serif" w:hAnsi="sans-serif" w:cs="sans-serif"/>
          <w:color w:val="000000"/>
          <w:sz w:val="20"/>
          <w:szCs w:val="20"/>
        </w:rPr>
        <w:t>legations received from shareholders, with respect to these same or other matters, naming NVIDIA and/or its officers and directors as defendants.</w:t>
      </w:r>
    </w:p>
    <w:p w14:paraId="27E084B3" w14:textId="77777777" w:rsidR="00A85061" w:rsidRDefault="00F04891">
      <w:pPr>
        <w:spacing w:before="120" w:after="120"/>
      </w:pPr>
      <w:r>
        <w:rPr>
          <w:rFonts w:ascii="sans-serif" w:eastAsia="sans-serif" w:hAnsi="sans-serif" w:cs="sans-serif"/>
          <w:b/>
          <w:bCs/>
          <w:color w:val="000000"/>
          <w:sz w:val="20"/>
          <w:szCs w:val="20"/>
        </w:rPr>
        <w:t>Accounting for Loss Contingencies</w:t>
      </w:r>
    </w:p>
    <w:p w14:paraId="27E084B4" w14:textId="77777777" w:rsidR="00A85061" w:rsidRDefault="00F04891">
      <w:pPr>
        <w:spacing w:after="180"/>
        <w:jc w:val="both"/>
      </w:pPr>
      <w:r>
        <w:rPr>
          <w:rFonts w:ascii="sans-serif" w:eastAsia="sans-serif" w:hAnsi="sans-serif" w:cs="sans-serif"/>
          <w:color w:val="000000"/>
          <w:sz w:val="20"/>
          <w:szCs w:val="20"/>
        </w:rPr>
        <w:t>As of May 2, 2021, we have not recorded any accrual for contingent liabiliti</w:t>
      </w:r>
      <w:r>
        <w:rPr>
          <w:rFonts w:ascii="sans-serif" w:eastAsia="sans-serif" w:hAnsi="sans-serif" w:cs="sans-serif"/>
          <w:color w:val="000000"/>
          <w:sz w:val="20"/>
          <w:szCs w:val="20"/>
        </w:rPr>
        <w:t>es associated with the legal proceedings described above based on our belief that liabilities, while possible, are not probable. Further, except as specifically described above, any possible loss or range of loss in these matters cannot be reasonably estim</w:t>
      </w:r>
      <w:r>
        <w:rPr>
          <w:rFonts w:ascii="sans-serif" w:eastAsia="sans-serif" w:hAnsi="sans-serif" w:cs="sans-serif"/>
          <w:color w:val="000000"/>
          <w:sz w:val="20"/>
          <w:szCs w:val="20"/>
        </w:rPr>
        <w:t>ated at this time. We are engaged in legal actions not described above arising in the ordinary course of business and, while there can be no assurance of favorable outcomes, we believe that the ultimate outcome of these actions will not have a material adv</w:t>
      </w:r>
      <w:r>
        <w:rPr>
          <w:rFonts w:ascii="sans-serif" w:eastAsia="sans-serif" w:hAnsi="sans-serif" w:cs="sans-serif"/>
          <w:color w:val="000000"/>
          <w:sz w:val="20"/>
          <w:szCs w:val="20"/>
        </w:rPr>
        <w:t>erse effect on our operating results, liquidity or financial position.</w:t>
      </w:r>
    </w:p>
    <w:p w14:paraId="27E084B5" w14:textId="77777777" w:rsidR="00A85061" w:rsidRDefault="00A85061">
      <w:pPr>
        <w:spacing w:before="240" w:after="120"/>
        <w:jc w:val="both"/>
      </w:pPr>
    </w:p>
    <w:p w14:paraId="27E084B6" w14:textId="77777777" w:rsidR="00A85061" w:rsidRDefault="00F04891">
      <w:pPr>
        <w:spacing w:after="180"/>
        <w:jc w:val="center"/>
      </w:pPr>
      <w:r>
        <w:rPr>
          <w:rFonts w:ascii="sans-serif" w:eastAsia="sans-serif" w:hAnsi="sans-serif" w:cs="sans-serif"/>
          <w:color w:val="000000"/>
          <w:sz w:val="20"/>
          <w:szCs w:val="20"/>
        </w:rPr>
        <w:t>19</w:t>
      </w:r>
    </w:p>
    <w:p w14:paraId="27E084B7" w14:textId="77777777" w:rsidR="00A85061" w:rsidRDefault="00F04891">
      <w:r>
        <w:pict w14:anchorId="27E08F04">
          <v:rect id="_x0000_i1043" style="width:415.3pt;height:1.5pt" o:hralign="center" o:hrstd="t" o:hr="t" fillcolor="#a0a0a0" stroked="f"/>
        </w:pict>
      </w:r>
    </w:p>
    <w:p w14:paraId="27E084B8" w14:textId="77777777" w:rsidR="00A85061" w:rsidRDefault="00F04891">
      <w:pPr>
        <w:jc w:val="center"/>
      </w:pPr>
      <w:r>
        <w:rPr>
          <w:rFonts w:ascii="sans-serif" w:eastAsia="sans-serif" w:hAnsi="sans-serif" w:cs="sans-serif"/>
          <w:b/>
          <w:bCs/>
          <w:color w:val="000000"/>
          <w:sz w:val="20"/>
          <w:szCs w:val="20"/>
        </w:rPr>
        <w:t>NVIDIA CORPORATION AND SUBSIDIARIES</w:t>
      </w:r>
    </w:p>
    <w:p w14:paraId="27E084B9"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84BA" w14:textId="77777777" w:rsidR="00A85061" w:rsidRDefault="00F04891">
      <w:pPr>
        <w:jc w:val="center"/>
      </w:pPr>
      <w:r>
        <w:rPr>
          <w:rFonts w:ascii="sans-serif" w:eastAsia="sans-serif" w:hAnsi="sans-serif" w:cs="sans-serif"/>
          <w:b/>
          <w:bCs/>
          <w:color w:val="000000"/>
          <w:sz w:val="20"/>
          <w:szCs w:val="20"/>
        </w:rPr>
        <w:t>(Unaudited)</w:t>
      </w:r>
    </w:p>
    <w:p w14:paraId="27E084BB" w14:textId="77777777" w:rsidR="00A85061" w:rsidRDefault="00A85061">
      <w:pPr>
        <w:spacing w:after="180"/>
        <w:jc w:val="both"/>
      </w:pPr>
    </w:p>
    <w:p w14:paraId="27E084BC" w14:textId="77777777" w:rsidR="00A85061" w:rsidRDefault="00A85061">
      <w:pPr>
        <w:spacing w:after="180"/>
        <w:jc w:val="both"/>
      </w:pPr>
    </w:p>
    <w:p w14:paraId="27E084BD" w14:textId="77777777" w:rsidR="00A85061" w:rsidRDefault="00F04891">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27E084BE" w14:textId="77777777" w:rsidR="00A85061" w:rsidRDefault="00F04891">
      <w:pPr>
        <w:spacing w:before="240" w:after="60"/>
        <w:jc w:val="both"/>
      </w:pPr>
      <w:r>
        <w:rPr>
          <w:rFonts w:ascii="sans-serif" w:eastAsia="sans-serif" w:hAnsi="sans-serif" w:cs="sans-serif"/>
          <w:b/>
          <w:bCs/>
          <w:color w:val="76B900"/>
          <w:sz w:val="20"/>
          <w:szCs w:val="20"/>
        </w:rPr>
        <w:t>Capital Return Program </w:t>
      </w:r>
    </w:p>
    <w:p w14:paraId="27E084BF" w14:textId="77777777" w:rsidR="00A85061" w:rsidRDefault="00F04891">
      <w:pPr>
        <w:spacing w:after="180"/>
        <w:jc w:val="both"/>
      </w:pPr>
      <w:r>
        <w:rPr>
          <w:rFonts w:ascii="sans-serif" w:eastAsia="sans-serif" w:hAnsi="sans-serif" w:cs="sans-serif"/>
          <w:color w:val="000000"/>
          <w:sz w:val="20"/>
          <w:szCs w:val="20"/>
        </w:rPr>
        <w:t>Beginning August 2004, our Board of Directors authorized us to repurchase our stock.</w:t>
      </w:r>
    </w:p>
    <w:p w14:paraId="27E084C0" w14:textId="77777777" w:rsidR="00A85061" w:rsidRDefault="00F04891">
      <w:pPr>
        <w:spacing w:after="180"/>
        <w:jc w:val="both"/>
      </w:pPr>
      <w:r>
        <w:rPr>
          <w:rFonts w:ascii="sans-serif" w:eastAsia="sans-serif" w:hAnsi="sans-serif" w:cs="sans-serif"/>
          <w:color w:val="000000"/>
          <w:sz w:val="20"/>
          <w:szCs w:val="20"/>
        </w:rPr>
        <w:t>Through May 2, 2021, we have repurchased an aggregate of 260 million shares under our share repurchase program for a total cost of $7.08 billion. All shares delivered from</w:t>
      </w:r>
      <w:r>
        <w:rPr>
          <w:rFonts w:ascii="sans-serif" w:eastAsia="sans-serif" w:hAnsi="sans-serif" w:cs="sans-serif"/>
          <w:color w:val="000000"/>
          <w:sz w:val="20"/>
          <w:szCs w:val="20"/>
        </w:rPr>
        <w:t xml:space="preserve"> these repurchases have been placed into treasury stock. As of May 2, 2021, we were authorized, subject to certain specifications, to repurchase additional shares of our common stock up to $7.24 billion through December 2022.</w:t>
      </w:r>
    </w:p>
    <w:p w14:paraId="27E084C1" w14:textId="77777777" w:rsidR="00A85061" w:rsidRDefault="00F04891">
      <w:pPr>
        <w:spacing w:after="180"/>
        <w:jc w:val="both"/>
      </w:pPr>
      <w:r>
        <w:rPr>
          <w:rFonts w:ascii="sans-serif" w:eastAsia="sans-serif" w:hAnsi="sans-serif" w:cs="sans-serif"/>
          <w:color w:val="000000"/>
          <w:sz w:val="20"/>
          <w:szCs w:val="20"/>
        </w:rPr>
        <w:t>During the first quarter of fi</w:t>
      </w:r>
      <w:r>
        <w:rPr>
          <w:rFonts w:ascii="sans-serif" w:eastAsia="sans-serif" w:hAnsi="sans-serif" w:cs="sans-serif"/>
          <w:color w:val="000000"/>
          <w:sz w:val="20"/>
          <w:szCs w:val="20"/>
        </w:rPr>
        <w:t>scal year 2022, we paid $99 million in cash dividends to our shareholders.</w:t>
      </w:r>
    </w:p>
    <w:p w14:paraId="27E084C2" w14:textId="77777777" w:rsidR="00A85061" w:rsidRDefault="00F04891">
      <w:pPr>
        <w:spacing w:before="240" w:after="120"/>
        <w:jc w:val="both"/>
      </w:pPr>
      <w:r>
        <w:rPr>
          <w:rFonts w:ascii="sans-serif" w:eastAsia="sans-serif" w:hAnsi="sans-serif" w:cs="sans-serif"/>
          <w:b/>
          <w:bCs/>
          <w:color w:val="76B900"/>
          <w:sz w:val="22"/>
          <w:szCs w:val="22"/>
        </w:rPr>
        <w:t>Note 15 - Segment Information</w:t>
      </w:r>
    </w:p>
    <w:p w14:paraId="27E084C3" w14:textId="77777777" w:rsidR="00A85061" w:rsidRDefault="00F04891">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w:t>
      </w:r>
      <w:r>
        <w:rPr>
          <w:rFonts w:ascii="sans-serif" w:eastAsia="sans-serif" w:hAnsi="sans-serif" w:cs="sans-serif"/>
          <w:color w:val="000000"/>
          <w:sz w:val="20"/>
          <w:szCs w:val="20"/>
        </w:rPr>
        <w:t xml:space="preserve">ng segment basis for purposes of making decisions and assessing financial performance. Our two operating segments are "Graphics" and "Compute &amp; Networking." Our operating segments are equivalent to our reportable segments. </w:t>
      </w:r>
    </w:p>
    <w:p w14:paraId="27E084C4" w14:textId="77777777" w:rsidR="00A85061" w:rsidRDefault="00F04891">
      <w:pPr>
        <w:spacing w:after="180"/>
        <w:jc w:val="both"/>
      </w:pPr>
      <w:r>
        <w:rPr>
          <w:rFonts w:ascii="sans-serif" w:eastAsia="sans-serif" w:hAnsi="sans-serif" w:cs="sans-serif"/>
          <w:color w:val="000000"/>
          <w:sz w:val="20"/>
          <w:szCs w:val="20"/>
        </w:rPr>
        <w:t>Our Graphics segment includes Ge</w:t>
      </w:r>
      <w:r>
        <w:rPr>
          <w:rFonts w:ascii="sans-serif" w:eastAsia="sans-serif" w:hAnsi="sans-serif" w:cs="sans-serif"/>
          <w:color w:val="000000"/>
          <w:sz w:val="20"/>
          <w:szCs w:val="20"/>
        </w:rPr>
        <w:t>Force GPUs for gaming and PCs, the GeForce NOW game streaming service and related infrastructure, and solutions for gaming platforms; Quadro/NVIDIA RTX GPUs for enterprise design; GRID software for cloud-based visual and virtual computing; and automotive p</w:t>
      </w:r>
      <w:r>
        <w:rPr>
          <w:rFonts w:ascii="sans-serif" w:eastAsia="sans-serif" w:hAnsi="sans-serif" w:cs="sans-serif"/>
          <w:color w:val="000000"/>
          <w:sz w:val="20"/>
          <w:szCs w:val="20"/>
        </w:rPr>
        <w:t xml:space="preserve">latforms for infotainment systems. </w:t>
      </w:r>
    </w:p>
    <w:p w14:paraId="27E084C5" w14:textId="77777777" w:rsidR="00A85061" w:rsidRDefault="00F04891">
      <w:pPr>
        <w:spacing w:after="180"/>
        <w:jc w:val="both"/>
      </w:pPr>
      <w:r>
        <w:rPr>
          <w:rFonts w:ascii="sans-serif" w:eastAsia="sans-serif" w:hAnsi="sans-serif" w:cs="sans-serif"/>
          <w:color w:val="000000"/>
          <w:sz w:val="20"/>
          <w:szCs w:val="20"/>
        </w:rPr>
        <w:t>Our Compute &amp; Networking segment includes Data Center platforms and systems for artificial intelligence, or AI, high performance computing, or HPC, and accelerated computing; Mellanox networking and interconnect solution</w:t>
      </w:r>
      <w:r>
        <w:rPr>
          <w:rFonts w:ascii="sans-serif" w:eastAsia="sans-serif" w:hAnsi="sans-serif" w:cs="sans-serif"/>
          <w:color w:val="000000"/>
          <w:sz w:val="20"/>
          <w:szCs w:val="20"/>
        </w:rPr>
        <w:t>s; automotive AI Cockpit, autonomous driving development agreements, and autonomous vehicle solutions; cryptocurrency mining processors, or CMP; and Jetson for robotics and other embedded platforms.</w:t>
      </w:r>
    </w:p>
    <w:p w14:paraId="27E084C6" w14:textId="77777777" w:rsidR="00A85061" w:rsidRDefault="00F04891">
      <w:pPr>
        <w:spacing w:after="180"/>
        <w:jc w:val="both"/>
      </w:pPr>
      <w:r>
        <w:rPr>
          <w:rFonts w:ascii="sans-serif" w:eastAsia="sans-serif" w:hAnsi="sans-serif" w:cs="sans-serif"/>
          <w:color w:val="000000"/>
          <w:sz w:val="20"/>
          <w:szCs w:val="20"/>
        </w:rPr>
        <w:t>Operating results by segment include costs or expenses th</w:t>
      </w:r>
      <w:r>
        <w:rPr>
          <w:rFonts w:ascii="sans-serif" w:eastAsia="sans-serif" w:hAnsi="sans-serif" w:cs="sans-serif"/>
          <w:color w:val="000000"/>
          <w:sz w:val="20"/>
          <w:szCs w:val="20"/>
        </w:rPr>
        <w:t>at are directly attributable to each segment, and costs or expenses that are leveraged across our unified architecture and therefore allocated between our two segments.</w:t>
      </w:r>
    </w:p>
    <w:p w14:paraId="27E084C7" w14:textId="77777777" w:rsidR="00A85061" w:rsidRDefault="00F04891">
      <w:pPr>
        <w:spacing w:after="180"/>
        <w:jc w:val="both"/>
      </w:pPr>
      <w:r>
        <w:rPr>
          <w:rFonts w:ascii="sans-serif" w:eastAsia="sans-serif" w:hAnsi="sans-serif" w:cs="sans-serif"/>
          <w:color w:val="000000"/>
          <w:sz w:val="20"/>
          <w:szCs w:val="20"/>
        </w:rPr>
        <w:t xml:space="preserve">The “All Other” category includes the expenses that our CODM does not assign to either </w:t>
      </w:r>
      <w:r>
        <w:rPr>
          <w:rFonts w:ascii="sans-serif" w:eastAsia="sans-serif" w:hAnsi="sans-serif" w:cs="sans-serif"/>
          <w:color w:val="000000"/>
          <w:sz w:val="20"/>
          <w:szCs w:val="20"/>
        </w:rPr>
        <w:t xml:space="preserve">Graphics or Compute &amp; Networking for purposes of making operating decisions or assessing financial performance. The expenses include stock-based compensation expense, corporate infrastructure and support costs, acquisition-related costs, IP-related costs, </w:t>
      </w:r>
      <w:r>
        <w:rPr>
          <w:rFonts w:ascii="sans-serif" w:eastAsia="sans-serif" w:hAnsi="sans-serif" w:cs="sans-serif"/>
          <w:color w:val="000000"/>
          <w:sz w:val="20"/>
          <w:szCs w:val="20"/>
        </w:rPr>
        <w:t xml:space="preserve">and other non-recurring charges and benefits that our CODM deems to be enterprise in nature. </w:t>
      </w:r>
    </w:p>
    <w:p w14:paraId="27E084C8" w14:textId="77777777" w:rsidR="00A85061" w:rsidRDefault="00F04891">
      <w:pPr>
        <w:spacing w:after="180"/>
        <w:jc w:val="both"/>
      </w:pPr>
      <w:r>
        <w:rPr>
          <w:rFonts w:ascii="sans-serif" w:eastAsia="sans-serif" w:hAnsi="sans-serif" w:cs="sans-serif"/>
          <w:color w:val="000000"/>
          <w:sz w:val="20"/>
          <w:szCs w:val="20"/>
        </w:rPr>
        <w:t xml:space="preserve">Our CODM does not review any information regarding total assets on a reportable segment basis. Depreciation and amortization expense directly </w:t>
      </w:r>
      <w:r>
        <w:rPr>
          <w:rFonts w:ascii="sans-serif" w:eastAsia="sans-serif" w:hAnsi="sans-serif" w:cs="sans-serif"/>
          <w:color w:val="000000"/>
          <w:sz w:val="20"/>
          <w:szCs w:val="20"/>
        </w:rPr>
        <w:t>attributable to each reportable segment is included in operating results for each segment. However, the CODM does not evaluate depreciation and amortization expense by operating segment and, therefore, it is not separately presented. There is no intersegme</w:t>
      </w:r>
      <w:r>
        <w:rPr>
          <w:rFonts w:ascii="sans-serif" w:eastAsia="sans-serif" w:hAnsi="sans-serif" w:cs="sans-serif"/>
          <w:color w:val="000000"/>
          <w:sz w:val="20"/>
          <w:szCs w:val="20"/>
        </w:rPr>
        <w:t>nt revenue. The accounting policies for segment reporting are the same as for our consolidated financial statements. The table below presents details of our reportable segments and the “All Other” category.</w:t>
      </w:r>
    </w:p>
    <w:tbl>
      <w:tblPr>
        <w:tblW w:w="4993" w:type="pct"/>
        <w:tblCellMar>
          <w:top w:w="15" w:type="dxa"/>
          <w:left w:w="15" w:type="dxa"/>
          <w:bottom w:w="15" w:type="dxa"/>
          <w:right w:w="15" w:type="dxa"/>
        </w:tblCellMar>
        <w:tblLook w:val="04A0" w:firstRow="1" w:lastRow="0" w:firstColumn="1" w:lastColumn="0" w:noHBand="0" w:noVBand="1"/>
      </w:tblPr>
      <w:tblGrid>
        <w:gridCol w:w="39"/>
        <w:gridCol w:w="3703"/>
        <w:gridCol w:w="38"/>
        <w:gridCol w:w="123"/>
        <w:gridCol w:w="883"/>
        <w:gridCol w:w="36"/>
        <w:gridCol w:w="36"/>
        <w:gridCol w:w="36"/>
        <w:gridCol w:w="36"/>
        <w:gridCol w:w="123"/>
        <w:gridCol w:w="930"/>
        <w:gridCol w:w="36"/>
        <w:gridCol w:w="36"/>
        <w:gridCol w:w="36"/>
        <w:gridCol w:w="36"/>
        <w:gridCol w:w="122"/>
        <w:gridCol w:w="739"/>
        <w:gridCol w:w="36"/>
        <w:gridCol w:w="36"/>
        <w:gridCol w:w="36"/>
        <w:gridCol w:w="36"/>
        <w:gridCol w:w="123"/>
        <w:gridCol w:w="1033"/>
        <w:gridCol w:w="36"/>
      </w:tblGrid>
      <w:tr w:rsidR="00A85061" w14:paraId="27E084E1" w14:textId="77777777">
        <w:tc>
          <w:tcPr>
            <w:tcW w:w="50" w:type="pct"/>
            <w:shd w:val="clear" w:color="auto" w:fill="auto"/>
            <w:vAlign w:val="bottom"/>
          </w:tcPr>
          <w:p w14:paraId="27E084C9" w14:textId="77777777" w:rsidR="00A85061" w:rsidRDefault="00A85061">
            <w:pPr>
              <w:rPr>
                <w:rFonts w:ascii="宋体"/>
              </w:rPr>
            </w:pPr>
          </w:p>
        </w:tc>
        <w:tc>
          <w:tcPr>
            <w:tcW w:w="2287" w:type="pct"/>
            <w:shd w:val="clear" w:color="auto" w:fill="auto"/>
            <w:vAlign w:val="bottom"/>
          </w:tcPr>
          <w:p w14:paraId="27E084CA" w14:textId="77777777" w:rsidR="00A85061" w:rsidRDefault="00A85061">
            <w:pPr>
              <w:rPr>
                <w:rFonts w:ascii="宋体"/>
              </w:rPr>
            </w:pPr>
          </w:p>
        </w:tc>
        <w:tc>
          <w:tcPr>
            <w:tcW w:w="5" w:type="pct"/>
            <w:shd w:val="clear" w:color="auto" w:fill="auto"/>
            <w:vAlign w:val="bottom"/>
          </w:tcPr>
          <w:p w14:paraId="27E084CB" w14:textId="77777777" w:rsidR="00A85061" w:rsidRDefault="00A85061">
            <w:pPr>
              <w:rPr>
                <w:rFonts w:ascii="宋体"/>
              </w:rPr>
            </w:pPr>
          </w:p>
        </w:tc>
        <w:tc>
          <w:tcPr>
            <w:tcW w:w="50" w:type="pct"/>
            <w:shd w:val="clear" w:color="auto" w:fill="auto"/>
            <w:vAlign w:val="bottom"/>
          </w:tcPr>
          <w:p w14:paraId="27E084CC" w14:textId="77777777" w:rsidR="00A85061" w:rsidRDefault="00A85061">
            <w:pPr>
              <w:rPr>
                <w:rFonts w:ascii="宋体"/>
              </w:rPr>
            </w:pPr>
          </w:p>
        </w:tc>
        <w:tc>
          <w:tcPr>
            <w:tcW w:w="581" w:type="pct"/>
            <w:shd w:val="clear" w:color="auto" w:fill="auto"/>
            <w:vAlign w:val="bottom"/>
          </w:tcPr>
          <w:p w14:paraId="27E084CD" w14:textId="77777777" w:rsidR="00A85061" w:rsidRDefault="00A85061">
            <w:pPr>
              <w:rPr>
                <w:rFonts w:ascii="宋体"/>
              </w:rPr>
            </w:pPr>
          </w:p>
        </w:tc>
        <w:tc>
          <w:tcPr>
            <w:tcW w:w="5" w:type="pct"/>
            <w:shd w:val="clear" w:color="auto" w:fill="auto"/>
            <w:vAlign w:val="bottom"/>
          </w:tcPr>
          <w:p w14:paraId="27E084CE" w14:textId="77777777" w:rsidR="00A85061" w:rsidRDefault="00A85061">
            <w:pPr>
              <w:rPr>
                <w:rFonts w:ascii="宋体"/>
              </w:rPr>
            </w:pPr>
          </w:p>
        </w:tc>
        <w:tc>
          <w:tcPr>
            <w:tcW w:w="5" w:type="pct"/>
            <w:shd w:val="clear" w:color="auto" w:fill="auto"/>
            <w:vAlign w:val="bottom"/>
          </w:tcPr>
          <w:p w14:paraId="27E084CF" w14:textId="77777777" w:rsidR="00A85061" w:rsidRDefault="00A85061">
            <w:pPr>
              <w:rPr>
                <w:rFonts w:ascii="宋体"/>
              </w:rPr>
            </w:pPr>
          </w:p>
        </w:tc>
        <w:tc>
          <w:tcPr>
            <w:tcW w:w="26" w:type="pct"/>
            <w:shd w:val="clear" w:color="auto" w:fill="auto"/>
            <w:vAlign w:val="bottom"/>
          </w:tcPr>
          <w:p w14:paraId="27E084D0" w14:textId="77777777" w:rsidR="00A85061" w:rsidRDefault="00A85061">
            <w:pPr>
              <w:rPr>
                <w:rFonts w:ascii="宋体"/>
              </w:rPr>
            </w:pPr>
          </w:p>
        </w:tc>
        <w:tc>
          <w:tcPr>
            <w:tcW w:w="5" w:type="pct"/>
            <w:shd w:val="clear" w:color="auto" w:fill="auto"/>
            <w:vAlign w:val="bottom"/>
          </w:tcPr>
          <w:p w14:paraId="27E084D1" w14:textId="77777777" w:rsidR="00A85061" w:rsidRDefault="00A85061">
            <w:pPr>
              <w:rPr>
                <w:rFonts w:ascii="宋体"/>
              </w:rPr>
            </w:pPr>
          </w:p>
        </w:tc>
        <w:tc>
          <w:tcPr>
            <w:tcW w:w="50" w:type="pct"/>
            <w:shd w:val="clear" w:color="auto" w:fill="auto"/>
            <w:vAlign w:val="bottom"/>
          </w:tcPr>
          <w:p w14:paraId="27E084D2" w14:textId="77777777" w:rsidR="00A85061" w:rsidRDefault="00A85061">
            <w:pPr>
              <w:rPr>
                <w:rFonts w:ascii="宋体"/>
              </w:rPr>
            </w:pPr>
          </w:p>
        </w:tc>
        <w:tc>
          <w:tcPr>
            <w:tcW w:w="581" w:type="pct"/>
            <w:shd w:val="clear" w:color="auto" w:fill="auto"/>
            <w:vAlign w:val="bottom"/>
          </w:tcPr>
          <w:p w14:paraId="27E084D3" w14:textId="77777777" w:rsidR="00A85061" w:rsidRDefault="00A85061">
            <w:pPr>
              <w:rPr>
                <w:rFonts w:ascii="宋体"/>
              </w:rPr>
            </w:pPr>
          </w:p>
        </w:tc>
        <w:tc>
          <w:tcPr>
            <w:tcW w:w="5" w:type="pct"/>
            <w:shd w:val="clear" w:color="auto" w:fill="auto"/>
            <w:vAlign w:val="bottom"/>
          </w:tcPr>
          <w:p w14:paraId="27E084D4" w14:textId="77777777" w:rsidR="00A85061" w:rsidRDefault="00A85061">
            <w:pPr>
              <w:rPr>
                <w:rFonts w:ascii="宋体"/>
              </w:rPr>
            </w:pPr>
          </w:p>
        </w:tc>
        <w:tc>
          <w:tcPr>
            <w:tcW w:w="5" w:type="pct"/>
            <w:shd w:val="clear" w:color="auto" w:fill="auto"/>
            <w:vAlign w:val="bottom"/>
          </w:tcPr>
          <w:p w14:paraId="27E084D5" w14:textId="77777777" w:rsidR="00A85061" w:rsidRDefault="00A85061">
            <w:pPr>
              <w:rPr>
                <w:rFonts w:ascii="宋体"/>
              </w:rPr>
            </w:pPr>
          </w:p>
        </w:tc>
        <w:tc>
          <w:tcPr>
            <w:tcW w:w="26" w:type="pct"/>
            <w:shd w:val="clear" w:color="auto" w:fill="auto"/>
            <w:vAlign w:val="bottom"/>
          </w:tcPr>
          <w:p w14:paraId="27E084D6" w14:textId="77777777" w:rsidR="00A85061" w:rsidRDefault="00A85061">
            <w:pPr>
              <w:rPr>
                <w:rFonts w:ascii="宋体"/>
              </w:rPr>
            </w:pPr>
          </w:p>
        </w:tc>
        <w:tc>
          <w:tcPr>
            <w:tcW w:w="5" w:type="pct"/>
            <w:shd w:val="clear" w:color="auto" w:fill="auto"/>
            <w:vAlign w:val="bottom"/>
          </w:tcPr>
          <w:p w14:paraId="27E084D7" w14:textId="77777777" w:rsidR="00A85061" w:rsidRDefault="00A85061">
            <w:pPr>
              <w:rPr>
                <w:rFonts w:ascii="宋体"/>
              </w:rPr>
            </w:pPr>
          </w:p>
        </w:tc>
        <w:tc>
          <w:tcPr>
            <w:tcW w:w="50" w:type="pct"/>
            <w:shd w:val="clear" w:color="auto" w:fill="auto"/>
            <w:vAlign w:val="bottom"/>
          </w:tcPr>
          <w:p w14:paraId="27E084D8" w14:textId="77777777" w:rsidR="00A85061" w:rsidRDefault="00A85061">
            <w:pPr>
              <w:rPr>
                <w:rFonts w:ascii="宋体"/>
              </w:rPr>
            </w:pPr>
          </w:p>
        </w:tc>
        <w:tc>
          <w:tcPr>
            <w:tcW w:w="581" w:type="pct"/>
            <w:shd w:val="clear" w:color="auto" w:fill="auto"/>
            <w:vAlign w:val="bottom"/>
          </w:tcPr>
          <w:p w14:paraId="27E084D9" w14:textId="77777777" w:rsidR="00A85061" w:rsidRDefault="00A85061">
            <w:pPr>
              <w:rPr>
                <w:rFonts w:ascii="宋体"/>
              </w:rPr>
            </w:pPr>
          </w:p>
        </w:tc>
        <w:tc>
          <w:tcPr>
            <w:tcW w:w="5" w:type="pct"/>
            <w:shd w:val="clear" w:color="auto" w:fill="auto"/>
            <w:vAlign w:val="bottom"/>
          </w:tcPr>
          <w:p w14:paraId="27E084DA" w14:textId="77777777" w:rsidR="00A85061" w:rsidRDefault="00A85061">
            <w:pPr>
              <w:rPr>
                <w:rFonts w:ascii="宋体"/>
              </w:rPr>
            </w:pPr>
          </w:p>
        </w:tc>
        <w:tc>
          <w:tcPr>
            <w:tcW w:w="5" w:type="pct"/>
            <w:shd w:val="clear" w:color="auto" w:fill="auto"/>
            <w:vAlign w:val="bottom"/>
          </w:tcPr>
          <w:p w14:paraId="27E084DB" w14:textId="77777777" w:rsidR="00A85061" w:rsidRDefault="00A85061">
            <w:pPr>
              <w:rPr>
                <w:rFonts w:ascii="宋体"/>
              </w:rPr>
            </w:pPr>
          </w:p>
        </w:tc>
        <w:tc>
          <w:tcPr>
            <w:tcW w:w="26" w:type="pct"/>
            <w:shd w:val="clear" w:color="auto" w:fill="auto"/>
            <w:vAlign w:val="bottom"/>
          </w:tcPr>
          <w:p w14:paraId="27E084DC" w14:textId="77777777" w:rsidR="00A85061" w:rsidRDefault="00A85061">
            <w:pPr>
              <w:rPr>
                <w:rFonts w:ascii="宋体"/>
              </w:rPr>
            </w:pPr>
          </w:p>
        </w:tc>
        <w:tc>
          <w:tcPr>
            <w:tcW w:w="5" w:type="pct"/>
            <w:shd w:val="clear" w:color="auto" w:fill="auto"/>
            <w:vAlign w:val="bottom"/>
          </w:tcPr>
          <w:p w14:paraId="27E084DD" w14:textId="77777777" w:rsidR="00A85061" w:rsidRDefault="00A85061">
            <w:pPr>
              <w:rPr>
                <w:rFonts w:ascii="宋体"/>
              </w:rPr>
            </w:pPr>
          </w:p>
        </w:tc>
        <w:tc>
          <w:tcPr>
            <w:tcW w:w="50" w:type="pct"/>
            <w:shd w:val="clear" w:color="auto" w:fill="auto"/>
            <w:vAlign w:val="bottom"/>
          </w:tcPr>
          <w:p w14:paraId="27E084DE" w14:textId="77777777" w:rsidR="00A85061" w:rsidRDefault="00A85061">
            <w:pPr>
              <w:rPr>
                <w:rFonts w:ascii="宋体"/>
              </w:rPr>
            </w:pPr>
          </w:p>
        </w:tc>
        <w:tc>
          <w:tcPr>
            <w:tcW w:w="582" w:type="pct"/>
            <w:shd w:val="clear" w:color="auto" w:fill="auto"/>
            <w:vAlign w:val="bottom"/>
          </w:tcPr>
          <w:p w14:paraId="27E084DF" w14:textId="77777777" w:rsidR="00A85061" w:rsidRDefault="00A85061">
            <w:pPr>
              <w:rPr>
                <w:rFonts w:ascii="宋体"/>
              </w:rPr>
            </w:pPr>
          </w:p>
        </w:tc>
        <w:tc>
          <w:tcPr>
            <w:tcW w:w="5" w:type="pct"/>
            <w:shd w:val="clear" w:color="auto" w:fill="auto"/>
            <w:vAlign w:val="bottom"/>
          </w:tcPr>
          <w:p w14:paraId="27E084E0" w14:textId="77777777" w:rsidR="00A85061" w:rsidRDefault="00A85061">
            <w:pPr>
              <w:rPr>
                <w:rFonts w:ascii="宋体"/>
              </w:rPr>
            </w:pPr>
          </w:p>
        </w:tc>
      </w:tr>
      <w:tr w:rsidR="00A85061" w14:paraId="27E084EA" w14:textId="77777777">
        <w:tc>
          <w:tcPr>
            <w:tcW w:w="0" w:type="auto"/>
            <w:gridSpan w:val="3"/>
            <w:shd w:val="clear" w:color="auto" w:fill="auto"/>
            <w:tcMar>
              <w:top w:w="40" w:type="dxa"/>
              <w:left w:w="20" w:type="dxa"/>
              <w:bottom w:w="40" w:type="dxa"/>
              <w:right w:w="20" w:type="dxa"/>
            </w:tcMar>
            <w:vAlign w:val="bottom"/>
          </w:tcPr>
          <w:p w14:paraId="27E084E2"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4E3" w14:textId="77777777" w:rsidR="00A85061" w:rsidRDefault="00F04891">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27E084E4"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E5" w14:textId="77777777" w:rsidR="00A85061" w:rsidRDefault="00F04891">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27E084E6"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E7" w14:textId="77777777" w:rsidR="00A85061" w:rsidRDefault="00F04891">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27E084E8"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4E9" w14:textId="77777777" w:rsidR="00A85061" w:rsidRDefault="00F04891">
            <w:pPr>
              <w:jc w:val="center"/>
              <w:textAlignment w:val="bottom"/>
            </w:pPr>
            <w:r>
              <w:rPr>
                <w:rFonts w:ascii="sans-serif" w:eastAsia="sans-serif" w:hAnsi="sans-serif" w:cs="sans-serif"/>
                <w:b/>
                <w:bCs/>
                <w:color w:val="000000"/>
                <w:sz w:val="20"/>
                <w:szCs w:val="20"/>
              </w:rPr>
              <w:t>Consolidated</w:t>
            </w:r>
          </w:p>
        </w:tc>
      </w:tr>
      <w:tr w:rsidR="00A85061" w14:paraId="27E084F3" w14:textId="77777777">
        <w:trPr>
          <w:trHeight w:val="60"/>
        </w:trPr>
        <w:tc>
          <w:tcPr>
            <w:tcW w:w="0" w:type="auto"/>
            <w:gridSpan w:val="3"/>
            <w:shd w:val="clear" w:color="auto" w:fill="auto"/>
            <w:tcMar>
              <w:top w:w="0" w:type="dxa"/>
              <w:left w:w="20" w:type="dxa"/>
              <w:bottom w:w="0" w:type="dxa"/>
              <w:right w:w="20" w:type="dxa"/>
            </w:tcMar>
            <w:vAlign w:val="bottom"/>
          </w:tcPr>
          <w:p w14:paraId="27E084EB"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E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ED"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E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EF"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F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4F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4F2" w14:textId="77777777" w:rsidR="00A85061" w:rsidRDefault="00A85061">
            <w:pPr>
              <w:rPr>
                <w:rFonts w:ascii="宋体"/>
              </w:rPr>
            </w:pPr>
          </w:p>
        </w:tc>
      </w:tr>
      <w:tr w:rsidR="00A85061" w14:paraId="27E084F6" w14:textId="77777777">
        <w:tc>
          <w:tcPr>
            <w:tcW w:w="0" w:type="auto"/>
            <w:gridSpan w:val="3"/>
            <w:shd w:val="clear" w:color="auto" w:fill="auto"/>
            <w:tcMar>
              <w:top w:w="40" w:type="dxa"/>
              <w:left w:w="20" w:type="dxa"/>
              <w:bottom w:w="40" w:type="dxa"/>
              <w:right w:w="20" w:type="dxa"/>
            </w:tcMar>
            <w:vAlign w:val="bottom"/>
          </w:tcPr>
          <w:p w14:paraId="27E084F4" w14:textId="77777777" w:rsidR="00A85061" w:rsidRDefault="00F04891">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27E084F5" w14:textId="77777777" w:rsidR="00A85061" w:rsidRDefault="00F04891">
            <w:pPr>
              <w:jc w:val="center"/>
              <w:textAlignment w:val="bottom"/>
            </w:pPr>
            <w:r>
              <w:rPr>
                <w:rFonts w:ascii="sans-serif" w:eastAsia="sans-serif" w:hAnsi="sans-serif" w:cs="sans-serif"/>
                <w:i/>
                <w:iCs/>
                <w:color w:val="000000"/>
                <w:sz w:val="20"/>
                <w:szCs w:val="20"/>
              </w:rPr>
              <w:t>(In millions)</w:t>
            </w:r>
          </w:p>
        </w:tc>
      </w:tr>
      <w:tr w:rsidR="00A85061" w14:paraId="27E084FF" w14:textId="77777777">
        <w:tc>
          <w:tcPr>
            <w:tcW w:w="0" w:type="auto"/>
            <w:gridSpan w:val="3"/>
            <w:shd w:val="clear" w:color="auto" w:fill="E2EFD9"/>
            <w:tcMar>
              <w:top w:w="40" w:type="dxa"/>
              <w:left w:w="20" w:type="dxa"/>
              <w:bottom w:w="40" w:type="dxa"/>
              <w:right w:w="20" w:type="dxa"/>
            </w:tcMar>
            <w:vAlign w:val="bottom"/>
          </w:tcPr>
          <w:p w14:paraId="27E084F7" w14:textId="77777777" w:rsidR="00A85061" w:rsidRDefault="00F04891">
            <w:pPr>
              <w:textAlignment w:val="bottom"/>
            </w:pPr>
            <w:r>
              <w:rPr>
                <w:rFonts w:ascii="sans-serif" w:eastAsia="sans-serif" w:hAnsi="sans-serif" w:cs="sans-serif"/>
                <w:b/>
                <w:bCs/>
                <w:color w:val="000000"/>
                <w:sz w:val="20"/>
                <w:szCs w:val="20"/>
              </w:rPr>
              <w:t>Three Months Ended May 2, 2021</w:t>
            </w:r>
          </w:p>
        </w:tc>
        <w:tc>
          <w:tcPr>
            <w:tcW w:w="0" w:type="auto"/>
            <w:gridSpan w:val="3"/>
            <w:shd w:val="clear" w:color="auto" w:fill="E2EFD9"/>
            <w:tcMar>
              <w:top w:w="40" w:type="dxa"/>
              <w:left w:w="20" w:type="dxa"/>
              <w:bottom w:w="40" w:type="dxa"/>
              <w:right w:w="20" w:type="dxa"/>
            </w:tcMar>
            <w:vAlign w:val="bottom"/>
          </w:tcPr>
          <w:p w14:paraId="27E084F8"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4F9"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FA"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4FB"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FC"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4FD"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4FE" w14:textId="77777777" w:rsidR="00A85061" w:rsidRDefault="00F04891">
            <w:pPr>
              <w:textAlignment w:val="bottom"/>
            </w:pPr>
            <w:r>
              <w:rPr>
                <w:rFonts w:ascii="sans-serif" w:eastAsia="sans-serif" w:hAnsi="sans-serif" w:cs="sans-serif"/>
                <w:color w:val="000000"/>
                <w:sz w:val="20"/>
                <w:szCs w:val="20"/>
              </w:rPr>
              <w:t> </w:t>
            </w:r>
          </w:p>
        </w:tc>
      </w:tr>
      <w:tr w:rsidR="00A85061" w14:paraId="27E08510" w14:textId="77777777">
        <w:tc>
          <w:tcPr>
            <w:tcW w:w="0" w:type="auto"/>
            <w:gridSpan w:val="3"/>
            <w:shd w:val="clear" w:color="auto" w:fill="FFFFFF"/>
            <w:tcMar>
              <w:top w:w="40" w:type="dxa"/>
              <w:left w:w="20" w:type="dxa"/>
              <w:bottom w:w="40" w:type="dxa"/>
              <w:right w:w="20" w:type="dxa"/>
            </w:tcMar>
            <w:vAlign w:val="bottom"/>
          </w:tcPr>
          <w:p w14:paraId="27E08500" w14:textId="77777777" w:rsidR="00A85061" w:rsidRDefault="00F04891">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27E0850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02" w14:textId="77777777" w:rsidR="00A85061" w:rsidRDefault="00F04891">
            <w:pPr>
              <w:jc w:val="right"/>
              <w:textAlignment w:val="bottom"/>
            </w:pPr>
            <w:r>
              <w:rPr>
                <w:rFonts w:ascii="sans-serif" w:eastAsia="sans-serif" w:hAnsi="sans-serif" w:cs="sans-serif"/>
                <w:color w:val="000000"/>
                <w:sz w:val="20"/>
                <w:szCs w:val="20"/>
              </w:rPr>
              <w:t>3,451 </w:t>
            </w:r>
          </w:p>
        </w:tc>
        <w:tc>
          <w:tcPr>
            <w:tcW w:w="0" w:type="auto"/>
            <w:shd w:val="clear" w:color="auto" w:fill="FFFFFF"/>
            <w:tcMar>
              <w:top w:w="40" w:type="dxa"/>
              <w:left w:w="0" w:type="dxa"/>
              <w:bottom w:w="40" w:type="dxa"/>
              <w:right w:w="20" w:type="dxa"/>
            </w:tcMar>
            <w:vAlign w:val="bottom"/>
          </w:tcPr>
          <w:p w14:paraId="27E0850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04"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0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06" w14:textId="77777777" w:rsidR="00A85061" w:rsidRDefault="00F04891">
            <w:pPr>
              <w:jc w:val="right"/>
              <w:textAlignment w:val="bottom"/>
            </w:pPr>
            <w:r>
              <w:rPr>
                <w:rFonts w:ascii="sans-serif" w:eastAsia="sans-serif" w:hAnsi="sans-serif" w:cs="sans-serif"/>
                <w:color w:val="000000"/>
                <w:sz w:val="20"/>
                <w:szCs w:val="20"/>
              </w:rPr>
              <w:t>2,210 </w:t>
            </w:r>
          </w:p>
        </w:tc>
        <w:tc>
          <w:tcPr>
            <w:tcW w:w="0" w:type="auto"/>
            <w:shd w:val="clear" w:color="auto" w:fill="FFFFFF"/>
            <w:tcMar>
              <w:top w:w="40" w:type="dxa"/>
              <w:left w:w="0" w:type="dxa"/>
              <w:bottom w:w="40" w:type="dxa"/>
              <w:right w:w="20" w:type="dxa"/>
            </w:tcMar>
            <w:vAlign w:val="bottom"/>
          </w:tcPr>
          <w:p w14:paraId="27E0850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08"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0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0A"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850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0C"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0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0E"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shd w:val="clear" w:color="auto" w:fill="FFFFFF"/>
            <w:tcMar>
              <w:top w:w="40" w:type="dxa"/>
              <w:left w:w="0" w:type="dxa"/>
              <w:bottom w:w="40" w:type="dxa"/>
              <w:right w:w="20" w:type="dxa"/>
            </w:tcMar>
            <w:vAlign w:val="bottom"/>
          </w:tcPr>
          <w:p w14:paraId="27E0850F" w14:textId="77777777" w:rsidR="00A85061" w:rsidRDefault="00A85061">
            <w:pPr>
              <w:jc w:val="right"/>
              <w:rPr>
                <w:rFonts w:ascii="宋体"/>
              </w:rPr>
            </w:pPr>
          </w:p>
        </w:tc>
      </w:tr>
      <w:tr w:rsidR="00A85061" w14:paraId="27E08519" w14:textId="77777777">
        <w:trPr>
          <w:hidden/>
        </w:trPr>
        <w:tc>
          <w:tcPr>
            <w:tcW w:w="0" w:type="auto"/>
            <w:gridSpan w:val="3"/>
            <w:shd w:val="clear" w:color="auto" w:fill="auto"/>
            <w:vAlign w:val="bottom"/>
          </w:tcPr>
          <w:p w14:paraId="27E08511" w14:textId="77777777" w:rsidR="00A85061" w:rsidRDefault="00A85061">
            <w:pPr>
              <w:rPr>
                <w:rFonts w:ascii="宋体"/>
                <w:vanish/>
              </w:rPr>
            </w:pPr>
          </w:p>
        </w:tc>
        <w:tc>
          <w:tcPr>
            <w:tcW w:w="0" w:type="auto"/>
            <w:gridSpan w:val="3"/>
            <w:shd w:val="clear" w:color="auto" w:fill="auto"/>
            <w:vAlign w:val="bottom"/>
          </w:tcPr>
          <w:p w14:paraId="27E08512" w14:textId="77777777" w:rsidR="00A85061" w:rsidRDefault="00A85061">
            <w:pPr>
              <w:rPr>
                <w:rFonts w:ascii="宋体"/>
                <w:vanish/>
              </w:rPr>
            </w:pPr>
          </w:p>
        </w:tc>
        <w:tc>
          <w:tcPr>
            <w:tcW w:w="0" w:type="auto"/>
            <w:gridSpan w:val="3"/>
            <w:shd w:val="clear" w:color="auto" w:fill="auto"/>
            <w:vAlign w:val="bottom"/>
          </w:tcPr>
          <w:p w14:paraId="27E08513" w14:textId="77777777" w:rsidR="00A85061" w:rsidRDefault="00A85061">
            <w:pPr>
              <w:rPr>
                <w:rFonts w:ascii="宋体"/>
                <w:vanish/>
              </w:rPr>
            </w:pPr>
          </w:p>
        </w:tc>
        <w:tc>
          <w:tcPr>
            <w:tcW w:w="0" w:type="auto"/>
            <w:gridSpan w:val="3"/>
            <w:shd w:val="clear" w:color="auto" w:fill="auto"/>
            <w:vAlign w:val="bottom"/>
          </w:tcPr>
          <w:p w14:paraId="27E08514" w14:textId="77777777" w:rsidR="00A85061" w:rsidRDefault="00A85061">
            <w:pPr>
              <w:rPr>
                <w:rFonts w:ascii="宋体"/>
                <w:vanish/>
              </w:rPr>
            </w:pPr>
          </w:p>
        </w:tc>
        <w:tc>
          <w:tcPr>
            <w:tcW w:w="0" w:type="auto"/>
            <w:gridSpan w:val="3"/>
            <w:shd w:val="clear" w:color="auto" w:fill="auto"/>
            <w:vAlign w:val="bottom"/>
          </w:tcPr>
          <w:p w14:paraId="27E08515" w14:textId="77777777" w:rsidR="00A85061" w:rsidRDefault="00A85061">
            <w:pPr>
              <w:rPr>
                <w:rFonts w:ascii="宋体"/>
                <w:vanish/>
              </w:rPr>
            </w:pPr>
          </w:p>
        </w:tc>
        <w:tc>
          <w:tcPr>
            <w:tcW w:w="0" w:type="auto"/>
            <w:gridSpan w:val="3"/>
            <w:shd w:val="clear" w:color="auto" w:fill="auto"/>
            <w:vAlign w:val="bottom"/>
          </w:tcPr>
          <w:p w14:paraId="27E08516" w14:textId="77777777" w:rsidR="00A85061" w:rsidRDefault="00A85061">
            <w:pPr>
              <w:rPr>
                <w:rFonts w:ascii="宋体"/>
                <w:vanish/>
              </w:rPr>
            </w:pPr>
          </w:p>
        </w:tc>
        <w:tc>
          <w:tcPr>
            <w:tcW w:w="0" w:type="auto"/>
            <w:gridSpan w:val="3"/>
            <w:shd w:val="clear" w:color="auto" w:fill="auto"/>
            <w:vAlign w:val="bottom"/>
          </w:tcPr>
          <w:p w14:paraId="27E08517" w14:textId="77777777" w:rsidR="00A85061" w:rsidRDefault="00A85061">
            <w:pPr>
              <w:rPr>
                <w:rFonts w:ascii="宋体"/>
                <w:vanish/>
              </w:rPr>
            </w:pPr>
          </w:p>
        </w:tc>
        <w:tc>
          <w:tcPr>
            <w:tcW w:w="0" w:type="auto"/>
            <w:gridSpan w:val="3"/>
            <w:shd w:val="clear" w:color="auto" w:fill="auto"/>
            <w:vAlign w:val="bottom"/>
          </w:tcPr>
          <w:p w14:paraId="27E08518" w14:textId="77777777" w:rsidR="00A85061" w:rsidRDefault="00A85061">
            <w:pPr>
              <w:rPr>
                <w:rFonts w:ascii="宋体"/>
                <w:vanish/>
              </w:rPr>
            </w:pPr>
          </w:p>
        </w:tc>
      </w:tr>
      <w:tr w:rsidR="00A85061" w14:paraId="27E0852A" w14:textId="77777777">
        <w:tc>
          <w:tcPr>
            <w:tcW w:w="0" w:type="auto"/>
            <w:gridSpan w:val="3"/>
            <w:shd w:val="clear" w:color="auto" w:fill="E2EFD9"/>
            <w:tcMar>
              <w:top w:w="40" w:type="dxa"/>
              <w:left w:w="20" w:type="dxa"/>
              <w:bottom w:w="40" w:type="dxa"/>
              <w:right w:w="20" w:type="dxa"/>
            </w:tcMar>
            <w:vAlign w:val="bottom"/>
          </w:tcPr>
          <w:p w14:paraId="27E0851A" w14:textId="77777777" w:rsidR="00A85061" w:rsidRDefault="00F04891">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27E0851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1C" w14:textId="77777777" w:rsidR="00A85061" w:rsidRDefault="00F04891">
            <w:pPr>
              <w:jc w:val="right"/>
              <w:textAlignment w:val="bottom"/>
            </w:pPr>
            <w:r>
              <w:rPr>
                <w:rFonts w:ascii="sans-serif" w:eastAsia="sans-serif" w:hAnsi="sans-serif" w:cs="sans-serif"/>
                <w:color w:val="000000"/>
                <w:sz w:val="20"/>
                <w:szCs w:val="20"/>
              </w:rPr>
              <w:t>1,786 </w:t>
            </w:r>
          </w:p>
        </w:tc>
        <w:tc>
          <w:tcPr>
            <w:tcW w:w="0" w:type="auto"/>
            <w:shd w:val="clear" w:color="auto" w:fill="E2EFD9"/>
            <w:tcMar>
              <w:top w:w="40" w:type="dxa"/>
              <w:left w:w="0" w:type="dxa"/>
              <w:bottom w:w="40" w:type="dxa"/>
              <w:right w:w="20" w:type="dxa"/>
            </w:tcMar>
            <w:vAlign w:val="bottom"/>
          </w:tcPr>
          <w:p w14:paraId="27E0851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1E"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1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20" w14:textId="77777777" w:rsidR="00A85061" w:rsidRDefault="00F04891">
            <w:pPr>
              <w:jc w:val="right"/>
              <w:textAlignment w:val="bottom"/>
            </w:pPr>
            <w:r>
              <w:rPr>
                <w:rFonts w:ascii="sans-serif" w:eastAsia="sans-serif" w:hAnsi="sans-serif" w:cs="sans-serif"/>
                <w:color w:val="000000"/>
                <w:sz w:val="20"/>
                <w:szCs w:val="20"/>
              </w:rPr>
              <w:t>861 </w:t>
            </w:r>
          </w:p>
        </w:tc>
        <w:tc>
          <w:tcPr>
            <w:tcW w:w="0" w:type="auto"/>
            <w:shd w:val="clear" w:color="auto" w:fill="E2EFD9"/>
            <w:tcMar>
              <w:top w:w="40" w:type="dxa"/>
              <w:left w:w="0" w:type="dxa"/>
              <w:bottom w:w="40" w:type="dxa"/>
              <w:right w:w="20" w:type="dxa"/>
            </w:tcMar>
            <w:vAlign w:val="bottom"/>
          </w:tcPr>
          <w:p w14:paraId="27E0852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2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2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24" w14:textId="77777777" w:rsidR="00A85061" w:rsidRDefault="00F04891">
            <w:pPr>
              <w:jc w:val="right"/>
              <w:textAlignment w:val="bottom"/>
            </w:pPr>
            <w:r>
              <w:rPr>
                <w:rFonts w:ascii="sans-serif" w:eastAsia="sans-serif" w:hAnsi="sans-serif" w:cs="sans-serif"/>
                <w:color w:val="000000"/>
                <w:sz w:val="20"/>
                <w:szCs w:val="20"/>
              </w:rPr>
              <w:t>(691)</w:t>
            </w:r>
          </w:p>
        </w:tc>
        <w:tc>
          <w:tcPr>
            <w:tcW w:w="0" w:type="auto"/>
            <w:shd w:val="clear" w:color="auto" w:fill="E2EFD9"/>
            <w:tcMar>
              <w:top w:w="40" w:type="dxa"/>
              <w:left w:w="0" w:type="dxa"/>
              <w:bottom w:w="40" w:type="dxa"/>
              <w:right w:w="20" w:type="dxa"/>
            </w:tcMar>
            <w:vAlign w:val="bottom"/>
          </w:tcPr>
          <w:p w14:paraId="27E0852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2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2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28" w14:textId="77777777" w:rsidR="00A85061" w:rsidRDefault="00F04891">
            <w:pPr>
              <w:jc w:val="right"/>
              <w:textAlignment w:val="bottom"/>
            </w:pPr>
            <w:r>
              <w:rPr>
                <w:rFonts w:ascii="sans-serif" w:eastAsia="sans-serif" w:hAnsi="sans-serif" w:cs="sans-serif"/>
                <w:color w:val="000000"/>
                <w:sz w:val="20"/>
                <w:szCs w:val="20"/>
              </w:rPr>
              <w:t>1,956 </w:t>
            </w:r>
          </w:p>
        </w:tc>
        <w:tc>
          <w:tcPr>
            <w:tcW w:w="0" w:type="auto"/>
            <w:shd w:val="clear" w:color="auto" w:fill="E2EFD9"/>
            <w:tcMar>
              <w:top w:w="40" w:type="dxa"/>
              <w:left w:w="0" w:type="dxa"/>
              <w:bottom w:w="40" w:type="dxa"/>
              <w:right w:w="20" w:type="dxa"/>
            </w:tcMar>
            <w:vAlign w:val="bottom"/>
          </w:tcPr>
          <w:p w14:paraId="27E08529" w14:textId="77777777" w:rsidR="00A85061" w:rsidRDefault="00A85061">
            <w:pPr>
              <w:jc w:val="right"/>
              <w:rPr>
                <w:rFonts w:ascii="宋体"/>
              </w:rPr>
            </w:pPr>
          </w:p>
        </w:tc>
      </w:tr>
      <w:tr w:rsidR="00A85061" w14:paraId="27E08533" w14:textId="77777777">
        <w:trPr>
          <w:trHeight w:val="300"/>
        </w:trPr>
        <w:tc>
          <w:tcPr>
            <w:tcW w:w="0" w:type="auto"/>
            <w:gridSpan w:val="3"/>
            <w:shd w:val="clear" w:color="auto" w:fill="FFFFFF"/>
            <w:tcMar>
              <w:top w:w="0" w:type="dxa"/>
              <w:left w:w="20" w:type="dxa"/>
              <w:bottom w:w="0" w:type="dxa"/>
              <w:right w:w="20" w:type="dxa"/>
            </w:tcMar>
            <w:vAlign w:val="bottom"/>
          </w:tcPr>
          <w:p w14:paraId="27E0852B"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2C"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2D"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2E"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2F"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30"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31"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532" w14:textId="77777777" w:rsidR="00A85061" w:rsidRDefault="00A85061">
            <w:pPr>
              <w:rPr>
                <w:rFonts w:ascii="宋体"/>
              </w:rPr>
            </w:pPr>
          </w:p>
        </w:tc>
      </w:tr>
      <w:tr w:rsidR="00A85061" w14:paraId="27E0853C" w14:textId="77777777">
        <w:tc>
          <w:tcPr>
            <w:tcW w:w="0" w:type="auto"/>
            <w:gridSpan w:val="3"/>
            <w:shd w:val="clear" w:color="auto" w:fill="E2EFD9"/>
            <w:tcMar>
              <w:top w:w="40" w:type="dxa"/>
              <w:left w:w="20" w:type="dxa"/>
              <w:bottom w:w="40" w:type="dxa"/>
              <w:right w:w="20" w:type="dxa"/>
            </w:tcMar>
            <w:vAlign w:val="bottom"/>
          </w:tcPr>
          <w:p w14:paraId="27E08534" w14:textId="77777777" w:rsidR="00A85061" w:rsidRDefault="00F04891">
            <w:pPr>
              <w:textAlignment w:val="bottom"/>
            </w:pPr>
            <w:r>
              <w:rPr>
                <w:rFonts w:ascii="sans-serif" w:eastAsia="sans-serif" w:hAnsi="sans-serif" w:cs="sans-serif"/>
                <w:b/>
                <w:bCs/>
                <w:color w:val="000000"/>
                <w:sz w:val="20"/>
                <w:szCs w:val="20"/>
              </w:rPr>
              <w:t>Three Months Ended April 26, 2020</w:t>
            </w:r>
          </w:p>
        </w:tc>
        <w:tc>
          <w:tcPr>
            <w:tcW w:w="0" w:type="auto"/>
            <w:gridSpan w:val="3"/>
            <w:shd w:val="clear" w:color="auto" w:fill="E2EFD9"/>
            <w:tcMar>
              <w:top w:w="40" w:type="dxa"/>
              <w:left w:w="20" w:type="dxa"/>
              <w:bottom w:w="40" w:type="dxa"/>
              <w:right w:w="20" w:type="dxa"/>
            </w:tcMar>
            <w:vAlign w:val="bottom"/>
          </w:tcPr>
          <w:p w14:paraId="27E08535" w14:textId="77777777" w:rsidR="00A85061" w:rsidRDefault="00F04891">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536"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537" w14:textId="77777777" w:rsidR="00A85061" w:rsidRDefault="00F04891">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538"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539" w14:textId="77777777" w:rsidR="00A85061" w:rsidRDefault="00F04891">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27E0853A" w14:textId="77777777" w:rsidR="00A85061" w:rsidRDefault="00A85061">
            <w:pPr>
              <w:rPr>
                <w:rFonts w:ascii="宋体"/>
              </w:rPr>
            </w:pPr>
          </w:p>
        </w:tc>
        <w:tc>
          <w:tcPr>
            <w:tcW w:w="0" w:type="auto"/>
            <w:gridSpan w:val="3"/>
            <w:shd w:val="clear" w:color="auto" w:fill="E2EFD9"/>
            <w:tcMar>
              <w:top w:w="40" w:type="dxa"/>
              <w:left w:w="20" w:type="dxa"/>
              <w:bottom w:w="40" w:type="dxa"/>
              <w:right w:w="20" w:type="dxa"/>
            </w:tcMar>
            <w:vAlign w:val="bottom"/>
          </w:tcPr>
          <w:p w14:paraId="27E0853B" w14:textId="77777777" w:rsidR="00A85061" w:rsidRDefault="00F04891">
            <w:pPr>
              <w:jc w:val="right"/>
              <w:textAlignment w:val="bottom"/>
            </w:pPr>
            <w:r>
              <w:rPr>
                <w:rFonts w:ascii="sans-serif" w:eastAsia="sans-serif" w:hAnsi="sans-serif" w:cs="sans-serif"/>
                <w:color w:val="000000"/>
                <w:sz w:val="20"/>
                <w:szCs w:val="20"/>
              </w:rPr>
              <w:t> </w:t>
            </w:r>
          </w:p>
        </w:tc>
      </w:tr>
      <w:tr w:rsidR="00A85061" w14:paraId="27E0854D" w14:textId="77777777">
        <w:tc>
          <w:tcPr>
            <w:tcW w:w="0" w:type="auto"/>
            <w:gridSpan w:val="3"/>
            <w:shd w:val="clear" w:color="auto" w:fill="FFFFFF"/>
            <w:tcMar>
              <w:top w:w="40" w:type="dxa"/>
              <w:left w:w="20" w:type="dxa"/>
              <w:bottom w:w="40" w:type="dxa"/>
              <w:right w:w="20" w:type="dxa"/>
            </w:tcMar>
            <w:vAlign w:val="bottom"/>
          </w:tcPr>
          <w:p w14:paraId="27E0853D" w14:textId="77777777" w:rsidR="00A85061" w:rsidRDefault="00F04891">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27E0853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3F" w14:textId="77777777" w:rsidR="00A85061" w:rsidRDefault="00F04891">
            <w:pPr>
              <w:jc w:val="right"/>
              <w:textAlignment w:val="bottom"/>
            </w:pPr>
            <w:r>
              <w:rPr>
                <w:rFonts w:ascii="sans-serif" w:eastAsia="sans-serif" w:hAnsi="sans-serif" w:cs="sans-serif"/>
                <w:color w:val="000000"/>
                <w:sz w:val="20"/>
                <w:szCs w:val="20"/>
              </w:rPr>
              <w:t>1,906 </w:t>
            </w:r>
          </w:p>
        </w:tc>
        <w:tc>
          <w:tcPr>
            <w:tcW w:w="0" w:type="auto"/>
            <w:shd w:val="clear" w:color="auto" w:fill="FFFFFF"/>
            <w:tcMar>
              <w:top w:w="40" w:type="dxa"/>
              <w:left w:w="0" w:type="dxa"/>
              <w:bottom w:w="40" w:type="dxa"/>
              <w:right w:w="20" w:type="dxa"/>
            </w:tcMar>
            <w:vAlign w:val="bottom"/>
          </w:tcPr>
          <w:p w14:paraId="27E0854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41"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4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43" w14:textId="77777777" w:rsidR="00A85061" w:rsidRDefault="00F04891">
            <w:pPr>
              <w:jc w:val="right"/>
              <w:textAlignment w:val="bottom"/>
            </w:pPr>
            <w:r>
              <w:rPr>
                <w:rFonts w:ascii="sans-serif" w:eastAsia="sans-serif" w:hAnsi="sans-serif" w:cs="sans-serif"/>
                <w:color w:val="000000"/>
                <w:sz w:val="20"/>
                <w:szCs w:val="20"/>
              </w:rPr>
              <w:t>1,174 </w:t>
            </w:r>
          </w:p>
        </w:tc>
        <w:tc>
          <w:tcPr>
            <w:tcW w:w="0" w:type="auto"/>
            <w:shd w:val="clear" w:color="auto" w:fill="FFFFFF"/>
            <w:tcMar>
              <w:top w:w="40" w:type="dxa"/>
              <w:left w:w="0" w:type="dxa"/>
              <w:bottom w:w="40" w:type="dxa"/>
              <w:right w:w="20" w:type="dxa"/>
            </w:tcMar>
            <w:vAlign w:val="bottom"/>
          </w:tcPr>
          <w:p w14:paraId="27E0854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45"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4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47"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854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549"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54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54B"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shd w:val="clear" w:color="auto" w:fill="FFFFFF"/>
            <w:tcMar>
              <w:top w:w="40" w:type="dxa"/>
              <w:left w:w="0" w:type="dxa"/>
              <w:bottom w:w="40" w:type="dxa"/>
              <w:right w:w="20" w:type="dxa"/>
            </w:tcMar>
            <w:vAlign w:val="bottom"/>
          </w:tcPr>
          <w:p w14:paraId="27E0854C" w14:textId="77777777" w:rsidR="00A85061" w:rsidRDefault="00A85061">
            <w:pPr>
              <w:jc w:val="right"/>
              <w:rPr>
                <w:rFonts w:ascii="宋体"/>
              </w:rPr>
            </w:pPr>
          </w:p>
        </w:tc>
      </w:tr>
      <w:tr w:rsidR="00A85061" w14:paraId="27E08556" w14:textId="77777777">
        <w:trPr>
          <w:hidden/>
        </w:trPr>
        <w:tc>
          <w:tcPr>
            <w:tcW w:w="0" w:type="auto"/>
            <w:gridSpan w:val="3"/>
            <w:shd w:val="clear" w:color="auto" w:fill="auto"/>
            <w:vAlign w:val="bottom"/>
          </w:tcPr>
          <w:p w14:paraId="27E0854E" w14:textId="77777777" w:rsidR="00A85061" w:rsidRDefault="00A85061">
            <w:pPr>
              <w:rPr>
                <w:rFonts w:ascii="宋体"/>
                <w:vanish/>
              </w:rPr>
            </w:pPr>
          </w:p>
        </w:tc>
        <w:tc>
          <w:tcPr>
            <w:tcW w:w="0" w:type="auto"/>
            <w:gridSpan w:val="3"/>
            <w:shd w:val="clear" w:color="auto" w:fill="auto"/>
            <w:vAlign w:val="bottom"/>
          </w:tcPr>
          <w:p w14:paraId="27E0854F" w14:textId="77777777" w:rsidR="00A85061" w:rsidRDefault="00A85061">
            <w:pPr>
              <w:rPr>
                <w:rFonts w:ascii="宋体"/>
                <w:vanish/>
              </w:rPr>
            </w:pPr>
          </w:p>
        </w:tc>
        <w:tc>
          <w:tcPr>
            <w:tcW w:w="0" w:type="auto"/>
            <w:gridSpan w:val="3"/>
            <w:shd w:val="clear" w:color="auto" w:fill="auto"/>
            <w:vAlign w:val="bottom"/>
          </w:tcPr>
          <w:p w14:paraId="27E08550" w14:textId="77777777" w:rsidR="00A85061" w:rsidRDefault="00A85061">
            <w:pPr>
              <w:rPr>
                <w:rFonts w:ascii="宋体"/>
                <w:vanish/>
              </w:rPr>
            </w:pPr>
          </w:p>
        </w:tc>
        <w:tc>
          <w:tcPr>
            <w:tcW w:w="0" w:type="auto"/>
            <w:gridSpan w:val="3"/>
            <w:shd w:val="clear" w:color="auto" w:fill="auto"/>
            <w:vAlign w:val="bottom"/>
          </w:tcPr>
          <w:p w14:paraId="27E08551" w14:textId="77777777" w:rsidR="00A85061" w:rsidRDefault="00A85061">
            <w:pPr>
              <w:rPr>
                <w:rFonts w:ascii="宋体"/>
                <w:vanish/>
              </w:rPr>
            </w:pPr>
          </w:p>
        </w:tc>
        <w:tc>
          <w:tcPr>
            <w:tcW w:w="0" w:type="auto"/>
            <w:gridSpan w:val="3"/>
            <w:shd w:val="clear" w:color="auto" w:fill="auto"/>
            <w:vAlign w:val="bottom"/>
          </w:tcPr>
          <w:p w14:paraId="27E08552" w14:textId="77777777" w:rsidR="00A85061" w:rsidRDefault="00A85061">
            <w:pPr>
              <w:rPr>
                <w:rFonts w:ascii="宋体"/>
                <w:vanish/>
              </w:rPr>
            </w:pPr>
          </w:p>
        </w:tc>
        <w:tc>
          <w:tcPr>
            <w:tcW w:w="0" w:type="auto"/>
            <w:gridSpan w:val="3"/>
            <w:shd w:val="clear" w:color="auto" w:fill="auto"/>
            <w:vAlign w:val="bottom"/>
          </w:tcPr>
          <w:p w14:paraId="27E08553" w14:textId="77777777" w:rsidR="00A85061" w:rsidRDefault="00A85061">
            <w:pPr>
              <w:rPr>
                <w:rFonts w:ascii="宋体"/>
                <w:vanish/>
              </w:rPr>
            </w:pPr>
          </w:p>
        </w:tc>
        <w:tc>
          <w:tcPr>
            <w:tcW w:w="0" w:type="auto"/>
            <w:gridSpan w:val="3"/>
            <w:shd w:val="clear" w:color="auto" w:fill="auto"/>
            <w:vAlign w:val="bottom"/>
          </w:tcPr>
          <w:p w14:paraId="27E08554" w14:textId="77777777" w:rsidR="00A85061" w:rsidRDefault="00A85061">
            <w:pPr>
              <w:rPr>
                <w:rFonts w:ascii="宋体"/>
                <w:vanish/>
              </w:rPr>
            </w:pPr>
          </w:p>
        </w:tc>
        <w:tc>
          <w:tcPr>
            <w:tcW w:w="0" w:type="auto"/>
            <w:gridSpan w:val="3"/>
            <w:shd w:val="clear" w:color="auto" w:fill="auto"/>
            <w:vAlign w:val="bottom"/>
          </w:tcPr>
          <w:p w14:paraId="27E08555" w14:textId="77777777" w:rsidR="00A85061" w:rsidRDefault="00A85061">
            <w:pPr>
              <w:rPr>
                <w:rFonts w:ascii="宋体"/>
                <w:vanish/>
              </w:rPr>
            </w:pPr>
          </w:p>
        </w:tc>
      </w:tr>
      <w:tr w:rsidR="00A85061" w14:paraId="27E08567" w14:textId="77777777">
        <w:tc>
          <w:tcPr>
            <w:tcW w:w="0" w:type="auto"/>
            <w:gridSpan w:val="3"/>
            <w:shd w:val="clear" w:color="auto" w:fill="E2EFD9"/>
            <w:tcMar>
              <w:top w:w="40" w:type="dxa"/>
              <w:left w:w="20" w:type="dxa"/>
              <w:bottom w:w="40" w:type="dxa"/>
              <w:right w:w="20" w:type="dxa"/>
            </w:tcMar>
            <w:vAlign w:val="bottom"/>
          </w:tcPr>
          <w:p w14:paraId="27E08557" w14:textId="77777777" w:rsidR="00A85061" w:rsidRDefault="00F04891">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27E08558"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59" w14:textId="77777777" w:rsidR="00A85061" w:rsidRDefault="00F04891">
            <w:pPr>
              <w:jc w:val="right"/>
              <w:textAlignment w:val="bottom"/>
            </w:pPr>
            <w:r>
              <w:rPr>
                <w:rFonts w:ascii="sans-serif" w:eastAsia="sans-serif" w:hAnsi="sans-serif" w:cs="sans-serif"/>
                <w:color w:val="000000"/>
                <w:sz w:val="20"/>
                <w:szCs w:val="20"/>
              </w:rPr>
              <w:t>836 </w:t>
            </w:r>
          </w:p>
        </w:tc>
        <w:tc>
          <w:tcPr>
            <w:tcW w:w="0" w:type="auto"/>
            <w:shd w:val="clear" w:color="auto" w:fill="E2EFD9"/>
            <w:tcMar>
              <w:top w:w="40" w:type="dxa"/>
              <w:left w:w="0" w:type="dxa"/>
              <w:bottom w:w="40" w:type="dxa"/>
              <w:right w:w="20" w:type="dxa"/>
            </w:tcMar>
            <w:vAlign w:val="bottom"/>
          </w:tcPr>
          <w:p w14:paraId="27E0855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5B"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5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5D" w14:textId="77777777" w:rsidR="00A85061" w:rsidRDefault="00F04891">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27E0855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5F"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60"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61" w14:textId="77777777" w:rsidR="00A85061" w:rsidRDefault="00F04891">
            <w:pPr>
              <w:jc w:val="right"/>
              <w:textAlignment w:val="bottom"/>
            </w:pPr>
            <w:r>
              <w:rPr>
                <w:rFonts w:ascii="sans-serif" w:eastAsia="sans-serif" w:hAnsi="sans-serif" w:cs="sans-serif"/>
                <w:color w:val="000000"/>
                <w:sz w:val="20"/>
                <w:szCs w:val="20"/>
              </w:rPr>
              <w:t>(311)</w:t>
            </w:r>
          </w:p>
        </w:tc>
        <w:tc>
          <w:tcPr>
            <w:tcW w:w="0" w:type="auto"/>
            <w:shd w:val="clear" w:color="auto" w:fill="E2EFD9"/>
            <w:tcMar>
              <w:top w:w="40" w:type="dxa"/>
              <w:left w:w="0" w:type="dxa"/>
              <w:bottom w:w="40" w:type="dxa"/>
              <w:right w:w="20" w:type="dxa"/>
            </w:tcMar>
            <w:vAlign w:val="bottom"/>
          </w:tcPr>
          <w:p w14:paraId="27E0856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563"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564"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565" w14:textId="77777777" w:rsidR="00A85061" w:rsidRDefault="00F04891">
            <w:pPr>
              <w:jc w:val="right"/>
              <w:textAlignment w:val="bottom"/>
            </w:pPr>
            <w:r>
              <w:rPr>
                <w:rFonts w:ascii="sans-serif" w:eastAsia="sans-serif" w:hAnsi="sans-serif" w:cs="sans-serif"/>
                <w:color w:val="000000"/>
                <w:sz w:val="20"/>
                <w:szCs w:val="20"/>
              </w:rPr>
              <w:t>976 </w:t>
            </w:r>
          </w:p>
        </w:tc>
        <w:tc>
          <w:tcPr>
            <w:tcW w:w="0" w:type="auto"/>
            <w:shd w:val="clear" w:color="auto" w:fill="E2EFD9"/>
            <w:tcMar>
              <w:top w:w="40" w:type="dxa"/>
              <w:left w:w="0" w:type="dxa"/>
              <w:bottom w:w="40" w:type="dxa"/>
              <w:right w:w="20" w:type="dxa"/>
            </w:tcMar>
            <w:vAlign w:val="bottom"/>
          </w:tcPr>
          <w:p w14:paraId="27E08566" w14:textId="77777777" w:rsidR="00A85061" w:rsidRDefault="00A85061">
            <w:pPr>
              <w:jc w:val="right"/>
              <w:rPr>
                <w:rFonts w:ascii="宋体"/>
              </w:rPr>
            </w:pPr>
          </w:p>
        </w:tc>
      </w:tr>
      <w:tr w:rsidR="00A85061" w14:paraId="27E08570" w14:textId="77777777">
        <w:trPr>
          <w:hidden/>
        </w:trPr>
        <w:tc>
          <w:tcPr>
            <w:tcW w:w="0" w:type="auto"/>
            <w:gridSpan w:val="3"/>
            <w:shd w:val="clear" w:color="auto" w:fill="auto"/>
            <w:vAlign w:val="bottom"/>
          </w:tcPr>
          <w:p w14:paraId="27E08568" w14:textId="77777777" w:rsidR="00A85061" w:rsidRDefault="00A85061">
            <w:pPr>
              <w:rPr>
                <w:rFonts w:ascii="宋体"/>
                <w:vanish/>
              </w:rPr>
            </w:pPr>
          </w:p>
        </w:tc>
        <w:tc>
          <w:tcPr>
            <w:tcW w:w="0" w:type="auto"/>
            <w:gridSpan w:val="3"/>
            <w:shd w:val="clear" w:color="auto" w:fill="auto"/>
            <w:vAlign w:val="bottom"/>
          </w:tcPr>
          <w:p w14:paraId="27E08569" w14:textId="77777777" w:rsidR="00A85061" w:rsidRDefault="00A85061">
            <w:pPr>
              <w:rPr>
                <w:rFonts w:ascii="宋体"/>
                <w:vanish/>
              </w:rPr>
            </w:pPr>
          </w:p>
        </w:tc>
        <w:tc>
          <w:tcPr>
            <w:tcW w:w="0" w:type="auto"/>
            <w:gridSpan w:val="3"/>
            <w:shd w:val="clear" w:color="auto" w:fill="auto"/>
            <w:vAlign w:val="bottom"/>
          </w:tcPr>
          <w:p w14:paraId="27E0856A" w14:textId="77777777" w:rsidR="00A85061" w:rsidRDefault="00A85061">
            <w:pPr>
              <w:rPr>
                <w:rFonts w:ascii="宋体"/>
                <w:vanish/>
              </w:rPr>
            </w:pPr>
          </w:p>
        </w:tc>
        <w:tc>
          <w:tcPr>
            <w:tcW w:w="0" w:type="auto"/>
            <w:gridSpan w:val="3"/>
            <w:shd w:val="clear" w:color="auto" w:fill="auto"/>
            <w:vAlign w:val="bottom"/>
          </w:tcPr>
          <w:p w14:paraId="27E0856B" w14:textId="77777777" w:rsidR="00A85061" w:rsidRDefault="00A85061">
            <w:pPr>
              <w:rPr>
                <w:rFonts w:ascii="宋体"/>
                <w:vanish/>
              </w:rPr>
            </w:pPr>
          </w:p>
        </w:tc>
        <w:tc>
          <w:tcPr>
            <w:tcW w:w="0" w:type="auto"/>
            <w:gridSpan w:val="3"/>
            <w:shd w:val="clear" w:color="auto" w:fill="auto"/>
            <w:vAlign w:val="bottom"/>
          </w:tcPr>
          <w:p w14:paraId="27E0856C" w14:textId="77777777" w:rsidR="00A85061" w:rsidRDefault="00A85061">
            <w:pPr>
              <w:rPr>
                <w:rFonts w:ascii="宋体"/>
                <w:vanish/>
              </w:rPr>
            </w:pPr>
          </w:p>
        </w:tc>
        <w:tc>
          <w:tcPr>
            <w:tcW w:w="0" w:type="auto"/>
            <w:gridSpan w:val="3"/>
            <w:shd w:val="clear" w:color="auto" w:fill="auto"/>
            <w:vAlign w:val="bottom"/>
          </w:tcPr>
          <w:p w14:paraId="27E0856D" w14:textId="77777777" w:rsidR="00A85061" w:rsidRDefault="00A85061">
            <w:pPr>
              <w:rPr>
                <w:rFonts w:ascii="宋体"/>
                <w:vanish/>
              </w:rPr>
            </w:pPr>
          </w:p>
        </w:tc>
        <w:tc>
          <w:tcPr>
            <w:tcW w:w="0" w:type="auto"/>
            <w:gridSpan w:val="3"/>
            <w:shd w:val="clear" w:color="auto" w:fill="auto"/>
            <w:vAlign w:val="bottom"/>
          </w:tcPr>
          <w:p w14:paraId="27E0856E" w14:textId="77777777" w:rsidR="00A85061" w:rsidRDefault="00A85061">
            <w:pPr>
              <w:rPr>
                <w:rFonts w:ascii="宋体"/>
                <w:vanish/>
              </w:rPr>
            </w:pPr>
          </w:p>
        </w:tc>
        <w:tc>
          <w:tcPr>
            <w:tcW w:w="0" w:type="auto"/>
            <w:gridSpan w:val="3"/>
            <w:shd w:val="clear" w:color="auto" w:fill="auto"/>
            <w:vAlign w:val="bottom"/>
          </w:tcPr>
          <w:p w14:paraId="27E0856F" w14:textId="77777777" w:rsidR="00A85061" w:rsidRDefault="00A85061">
            <w:pPr>
              <w:rPr>
                <w:rFonts w:ascii="宋体"/>
                <w:vanish/>
              </w:rPr>
            </w:pPr>
          </w:p>
        </w:tc>
      </w:tr>
      <w:tr w:rsidR="00A85061" w14:paraId="27E08579" w14:textId="77777777">
        <w:trPr>
          <w:hidden/>
        </w:trPr>
        <w:tc>
          <w:tcPr>
            <w:tcW w:w="0" w:type="auto"/>
            <w:gridSpan w:val="3"/>
            <w:shd w:val="clear" w:color="auto" w:fill="auto"/>
            <w:vAlign w:val="bottom"/>
          </w:tcPr>
          <w:p w14:paraId="27E08571" w14:textId="77777777" w:rsidR="00A85061" w:rsidRDefault="00A85061">
            <w:pPr>
              <w:rPr>
                <w:rFonts w:ascii="宋体"/>
                <w:vanish/>
              </w:rPr>
            </w:pPr>
          </w:p>
        </w:tc>
        <w:tc>
          <w:tcPr>
            <w:tcW w:w="0" w:type="auto"/>
            <w:gridSpan w:val="3"/>
            <w:shd w:val="clear" w:color="auto" w:fill="auto"/>
            <w:vAlign w:val="bottom"/>
          </w:tcPr>
          <w:p w14:paraId="27E08572" w14:textId="77777777" w:rsidR="00A85061" w:rsidRDefault="00A85061">
            <w:pPr>
              <w:rPr>
                <w:rFonts w:ascii="宋体"/>
                <w:vanish/>
              </w:rPr>
            </w:pPr>
          </w:p>
        </w:tc>
        <w:tc>
          <w:tcPr>
            <w:tcW w:w="0" w:type="auto"/>
            <w:gridSpan w:val="3"/>
            <w:shd w:val="clear" w:color="auto" w:fill="auto"/>
            <w:vAlign w:val="bottom"/>
          </w:tcPr>
          <w:p w14:paraId="27E08573" w14:textId="77777777" w:rsidR="00A85061" w:rsidRDefault="00A85061">
            <w:pPr>
              <w:rPr>
                <w:rFonts w:ascii="宋体"/>
                <w:vanish/>
              </w:rPr>
            </w:pPr>
          </w:p>
        </w:tc>
        <w:tc>
          <w:tcPr>
            <w:tcW w:w="0" w:type="auto"/>
            <w:gridSpan w:val="3"/>
            <w:shd w:val="clear" w:color="auto" w:fill="auto"/>
            <w:vAlign w:val="bottom"/>
          </w:tcPr>
          <w:p w14:paraId="27E08574" w14:textId="77777777" w:rsidR="00A85061" w:rsidRDefault="00A85061">
            <w:pPr>
              <w:rPr>
                <w:rFonts w:ascii="宋体"/>
                <w:vanish/>
              </w:rPr>
            </w:pPr>
          </w:p>
        </w:tc>
        <w:tc>
          <w:tcPr>
            <w:tcW w:w="0" w:type="auto"/>
            <w:gridSpan w:val="3"/>
            <w:shd w:val="clear" w:color="auto" w:fill="auto"/>
            <w:vAlign w:val="bottom"/>
          </w:tcPr>
          <w:p w14:paraId="27E08575" w14:textId="77777777" w:rsidR="00A85061" w:rsidRDefault="00A85061">
            <w:pPr>
              <w:rPr>
                <w:rFonts w:ascii="宋体"/>
                <w:vanish/>
              </w:rPr>
            </w:pPr>
          </w:p>
        </w:tc>
        <w:tc>
          <w:tcPr>
            <w:tcW w:w="0" w:type="auto"/>
            <w:gridSpan w:val="3"/>
            <w:shd w:val="clear" w:color="auto" w:fill="auto"/>
            <w:vAlign w:val="bottom"/>
          </w:tcPr>
          <w:p w14:paraId="27E08576" w14:textId="77777777" w:rsidR="00A85061" w:rsidRDefault="00A85061">
            <w:pPr>
              <w:rPr>
                <w:rFonts w:ascii="宋体"/>
                <w:vanish/>
              </w:rPr>
            </w:pPr>
          </w:p>
        </w:tc>
        <w:tc>
          <w:tcPr>
            <w:tcW w:w="0" w:type="auto"/>
            <w:gridSpan w:val="3"/>
            <w:shd w:val="clear" w:color="auto" w:fill="auto"/>
            <w:vAlign w:val="bottom"/>
          </w:tcPr>
          <w:p w14:paraId="27E08577" w14:textId="77777777" w:rsidR="00A85061" w:rsidRDefault="00A85061">
            <w:pPr>
              <w:rPr>
                <w:rFonts w:ascii="宋体"/>
                <w:vanish/>
              </w:rPr>
            </w:pPr>
          </w:p>
        </w:tc>
        <w:tc>
          <w:tcPr>
            <w:tcW w:w="0" w:type="auto"/>
            <w:gridSpan w:val="3"/>
            <w:shd w:val="clear" w:color="auto" w:fill="auto"/>
            <w:vAlign w:val="bottom"/>
          </w:tcPr>
          <w:p w14:paraId="27E08578" w14:textId="77777777" w:rsidR="00A85061" w:rsidRDefault="00A85061">
            <w:pPr>
              <w:rPr>
                <w:rFonts w:ascii="宋体"/>
                <w:vanish/>
              </w:rPr>
            </w:pPr>
          </w:p>
        </w:tc>
      </w:tr>
      <w:tr w:rsidR="00A85061" w14:paraId="27E08582" w14:textId="77777777">
        <w:trPr>
          <w:hidden/>
        </w:trPr>
        <w:tc>
          <w:tcPr>
            <w:tcW w:w="0" w:type="auto"/>
            <w:gridSpan w:val="3"/>
            <w:shd w:val="clear" w:color="auto" w:fill="auto"/>
            <w:vAlign w:val="bottom"/>
          </w:tcPr>
          <w:p w14:paraId="27E0857A" w14:textId="77777777" w:rsidR="00A85061" w:rsidRDefault="00A85061">
            <w:pPr>
              <w:rPr>
                <w:rFonts w:ascii="宋体"/>
                <w:vanish/>
              </w:rPr>
            </w:pPr>
          </w:p>
        </w:tc>
        <w:tc>
          <w:tcPr>
            <w:tcW w:w="0" w:type="auto"/>
            <w:gridSpan w:val="3"/>
            <w:shd w:val="clear" w:color="auto" w:fill="auto"/>
            <w:vAlign w:val="bottom"/>
          </w:tcPr>
          <w:p w14:paraId="27E0857B" w14:textId="77777777" w:rsidR="00A85061" w:rsidRDefault="00A85061">
            <w:pPr>
              <w:rPr>
                <w:rFonts w:ascii="宋体"/>
                <w:vanish/>
              </w:rPr>
            </w:pPr>
          </w:p>
        </w:tc>
        <w:tc>
          <w:tcPr>
            <w:tcW w:w="0" w:type="auto"/>
            <w:gridSpan w:val="3"/>
            <w:shd w:val="clear" w:color="auto" w:fill="auto"/>
            <w:vAlign w:val="bottom"/>
          </w:tcPr>
          <w:p w14:paraId="27E0857C" w14:textId="77777777" w:rsidR="00A85061" w:rsidRDefault="00A85061">
            <w:pPr>
              <w:rPr>
                <w:rFonts w:ascii="宋体"/>
                <w:vanish/>
              </w:rPr>
            </w:pPr>
          </w:p>
        </w:tc>
        <w:tc>
          <w:tcPr>
            <w:tcW w:w="0" w:type="auto"/>
            <w:gridSpan w:val="3"/>
            <w:shd w:val="clear" w:color="auto" w:fill="auto"/>
            <w:vAlign w:val="bottom"/>
          </w:tcPr>
          <w:p w14:paraId="27E0857D" w14:textId="77777777" w:rsidR="00A85061" w:rsidRDefault="00A85061">
            <w:pPr>
              <w:rPr>
                <w:rFonts w:ascii="宋体"/>
                <w:vanish/>
              </w:rPr>
            </w:pPr>
          </w:p>
        </w:tc>
        <w:tc>
          <w:tcPr>
            <w:tcW w:w="0" w:type="auto"/>
            <w:gridSpan w:val="3"/>
            <w:shd w:val="clear" w:color="auto" w:fill="auto"/>
            <w:vAlign w:val="bottom"/>
          </w:tcPr>
          <w:p w14:paraId="27E0857E" w14:textId="77777777" w:rsidR="00A85061" w:rsidRDefault="00A85061">
            <w:pPr>
              <w:rPr>
                <w:rFonts w:ascii="宋体"/>
                <w:vanish/>
              </w:rPr>
            </w:pPr>
          </w:p>
        </w:tc>
        <w:tc>
          <w:tcPr>
            <w:tcW w:w="0" w:type="auto"/>
            <w:gridSpan w:val="3"/>
            <w:shd w:val="clear" w:color="auto" w:fill="auto"/>
            <w:vAlign w:val="bottom"/>
          </w:tcPr>
          <w:p w14:paraId="27E0857F" w14:textId="77777777" w:rsidR="00A85061" w:rsidRDefault="00A85061">
            <w:pPr>
              <w:rPr>
                <w:rFonts w:ascii="宋体"/>
                <w:vanish/>
              </w:rPr>
            </w:pPr>
          </w:p>
        </w:tc>
        <w:tc>
          <w:tcPr>
            <w:tcW w:w="0" w:type="auto"/>
            <w:gridSpan w:val="3"/>
            <w:shd w:val="clear" w:color="auto" w:fill="auto"/>
            <w:vAlign w:val="bottom"/>
          </w:tcPr>
          <w:p w14:paraId="27E08580" w14:textId="77777777" w:rsidR="00A85061" w:rsidRDefault="00A85061">
            <w:pPr>
              <w:rPr>
                <w:rFonts w:ascii="宋体"/>
                <w:vanish/>
              </w:rPr>
            </w:pPr>
          </w:p>
        </w:tc>
        <w:tc>
          <w:tcPr>
            <w:tcW w:w="0" w:type="auto"/>
            <w:gridSpan w:val="3"/>
            <w:shd w:val="clear" w:color="auto" w:fill="auto"/>
            <w:vAlign w:val="bottom"/>
          </w:tcPr>
          <w:p w14:paraId="27E08581" w14:textId="77777777" w:rsidR="00A85061" w:rsidRDefault="00A85061">
            <w:pPr>
              <w:rPr>
                <w:rFonts w:ascii="宋体"/>
                <w:vanish/>
              </w:rPr>
            </w:pPr>
          </w:p>
        </w:tc>
      </w:tr>
      <w:tr w:rsidR="00A85061" w14:paraId="27E0858B" w14:textId="77777777">
        <w:trPr>
          <w:hidden/>
        </w:trPr>
        <w:tc>
          <w:tcPr>
            <w:tcW w:w="0" w:type="auto"/>
            <w:gridSpan w:val="3"/>
            <w:shd w:val="clear" w:color="auto" w:fill="auto"/>
            <w:vAlign w:val="bottom"/>
          </w:tcPr>
          <w:p w14:paraId="27E08583" w14:textId="77777777" w:rsidR="00A85061" w:rsidRDefault="00A85061">
            <w:pPr>
              <w:rPr>
                <w:rFonts w:ascii="宋体"/>
                <w:vanish/>
              </w:rPr>
            </w:pPr>
          </w:p>
        </w:tc>
        <w:tc>
          <w:tcPr>
            <w:tcW w:w="0" w:type="auto"/>
            <w:gridSpan w:val="3"/>
            <w:shd w:val="clear" w:color="auto" w:fill="auto"/>
            <w:vAlign w:val="bottom"/>
          </w:tcPr>
          <w:p w14:paraId="27E08584" w14:textId="77777777" w:rsidR="00A85061" w:rsidRDefault="00A85061">
            <w:pPr>
              <w:rPr>
                <w:rFonts w:ascii="宋体"/>
                <w:vanish/>
              </w:rPr>
            </w:pPr>
          </w:p>
        </w:tc>
        <w:tc>
          <w:tcPr>
            <w:tcW w:w="0" w:type="auto"/>
            <w:gridSpan w:val="3"/>
            <w:shd w:val="clear" w:color="auto" w:fill="auto"/>
            <w:vAlign w:val="bottom"/>
          </w:tcPr>
          <w:p w14:paraId="27E08585" w14:textId="77777777" w:rsidR="00A85061" w:rsidRDefault="00A85061">
            <w:pPr>
              <w:rPr>
                <w:rFonts w:ascii="宋体"/>
                <w:vanish/>
              </w:rPr>
            </w:pPr>
          </w:p>
        </w:tc>
        <w:tc>
          <w:tcPr>
            <w:tcW w:w="0" w:type="auto"/>
            <w:gridSpan w:val="3"/>
            <w:shd w:val="clear" w:color="auto" w:fill="auto"/>
            <w:vAlign w:val="bottom"/>
          </w:tcPr>
          <w:p w14:paraId="27E08586" w14:textId="77777777" w:rsidR="00A85061" w:rsidRDefault="00A85061">
            <w:pPr>
              <w:rPr>
                <w:rFonts w:ascii="宋体"/>
                <w:vanish/>
              </w:rPr>
            </w:pPr>
          </w:p>
        </w:tc>
        <w:tc>
          <w:tcPr>
            <w:tcW w:w="0" w:type="auto"/>
            <w:gridSpan w:val="3"/>
            <w:shd w:val="clear" w:color="auto" w:fill="auto"/>
            <w:vAlign w:val="bottom"/>
          </w:tcPr>
          <w:p w14:paraId="27E08587" w14:textId="77777777" w:rsidR="00A85061" w:rsidRDefault="00A85061">
            <w:pPr>
              <w:rPr>
                <w:rFonts w:ascii="宋体"/>
                <w:vanish/>
              </w:rPr>
            </w:pPr>
          </w:p>
        </w:tc>
        <w:tc>
          <w:tcPr>
            <w:tcW w:w="0" w:type="auto"/>
            <w:gridSpan w:val="3"/>
            <w:shd w:val="clear" w:color="auto" w:fill="auto"/>
            <w:vAlign w:val="bottom"/>
          </w:tcPr>
          <w:p w14:paraId="27E08588" w14:textId="77777777" w:rsidR="00A85061" w:rsidRDefault="00A85061">
            <w:pPr>
              <w:rPr>
                <w:rFonts w:ascii="宋体"/>
                <w:vanish/>
              </w:rPr>
            </w:pPr>
          </w:p>
        </w:tc>
        <w:tc>
          <w:tcPr>
            <w:tcW w:w="0" w:type="auto"/>
            <w:gridSpan w:val="3"/>
            <w:shd w:val="clear" w:color="auto" w:fill="auto"/>
            <w:vAlign w:val="bottom"/>
          </w:tcPr>
          <w:p w14:paraId="27E08589" w14:textId="77777777" w:rsidR="00A85061" w:rsidRDefault="00A85061">
            <w:pPr>
              <w:rPr>
                <w:rFonts w:ascii="宋体"/>
                <w:vanish/>
              </w:rPr>
            </w:pPr>
          </w:p>
        </w:tc>
        <w:tc>
          <w:tcPr>
            <w:tcW w:w="0" w:type="auto"/>
            <w:gridSpan w:val="3"/>
            <w:shd w:val="clear" w:color="auto" w:fill="auto"/>
            <w:vAlign w:val="bottom"/>
          </w:tcPr>
          <w:p w14:paraId="27E0858A" w14:textId="77777777" w:rsidR="00A85061" w:rsidRDefault="00A85061">
            <w:pPr>
              <w:rPr>
                <w:rFonts w:ascii="宋体"/>
                <w:vanish/>
              </w:rPr>
            </w:pPr>
          </w:p>
        </w:tc>
      </w:tr>
      <w:tr w:rsidR="00A85061" w14:paraId="27E08594" w14:textId="77777777">
        <w:trPr>
          <w:hidden/>
        </w:trPr>
        <w:tc>
          <w:tcPr>
            <w:tcW w:w="0" w:type="auto"/>
            <w:gridSpan w:val="3"/>
            <w:shd w:val="clear" w:color="auto" w:fill="auto"/>
            <w:vAlign w:val="bottom"/>
          </w:tcPr>
          <w:p w14:paraId="27E0858C" w14:textId="77777777" w:rsidR="00A85061" w:rsidRDefault="00A85061">
            <w:pPr>
              <w:rPr>
                <w:rFonts w:ascii="宋体"/>
                <w:vanish/>
              </w:rPr>
            </w:pPr>
          </w:p>
        </w:tc>
        <w:tc>
          <w:tcPr>
            <w:tcW w:w="0" w:type="auto"/>
            <w:gridSpan w:val="3"/>
            <w:shd w:val="clear" w:color="auto" w:fill="auto"/>
            <w:vAlign w:val="bottom"/>
          </w:tcPr>
          <w:p w14:paraId="27E0858D" w14:textId="77777777" w:rsidR="00A85061" w:rsidRDefault="00A85061">
            <w:pPr>
              <w:rPr>
                <w:rFonts w:ascii="宋体"/>
                <w:vanish/>
              </w:rPr>
            </w:pPr>
          </w:p>
        </w:tc>
        <w:tc>
          <w:tcPr>
            <w:tcW w:w="0" w:type="auto"/>
            <w:gridSpan w:val="3"/>
            <w:shd w:val="clear" w:color="auto" w:fill="auto"/>
            <w:vAlign w:val="bottom"/>
          </w:tcPr>
          <w:p w14:paraId="27E0858E" w14:textId="77777777" w:rsidR="00A85061" w:rsidRDefault="00A85061">
            <w:pPr>
              <w:rPr>
                <w:rFonts w:ascii="宋体"/>
                <w:vanish/>
              </w:rPr>
            </w:pPr>
          </w:p>
        </w:tc>
        <w:tc>
          <w:tcPr>
            <w:tcW w:w="0" w:type="auto"/>
            <w:gridSpan w:val="3"/>
            <w:shd w:val="clear" w:color="auto" w:fill="auto"/>
            <w:vAlign w:val="bottom"/>
          </w:tcPr>
          <w:p w14:paraId="27E0858F" w14:textId="77777777" w:rsidR="00A85061" w:rsidRDefault="00A85061">
            <w:pPr>
              <w:rPr>
                <w:rFonts w:ascii="宋体"/>
                <w:vanish/>
              </w:rPr>
            </w:pPr>
          </w:p>
        </w:tc>
        <w:tc>
          <w:tcPr>
            <w:tcW w:w="0" w:type="auto"/>
            <w:gridSpan w:val="3"/>
            <w:shd w:val="clear" w:color="auto" w:fill="auto"/>
            <w:vAlign w:val="bottom"/>
          </w:tcPr>
          <w:p w14:paraId="27E08590" w14:textId="77777777" w:rsidR="00A85061" w:rsidRDefault="00A85061">
            <w:pPr>
              <w:rPr>
                <w:rFonts w:ascii="宋体"/>
                <w:vanish/>
              </w:rPr>
            </w:pPr>
          </w:p>
        </w:tc>
        <w:tc>
          <w:tcPr>
            <w:tcW w:w="0" w:type="auto"/>
            <w:gridSpan w:val="3"/>
            <w:shd w:val="clear" w:color="auto" w:fill="auto"/>
            <w:vAlign w:val="bottom"/>
          </w:tcPr>
          <w:p w14:paraId="27E08591" w14:textId="77777777" w:rsidR="00A85061" w:rsidRDefault="00A85061">
            <w:pPr>
              <w:rPr>
                <w:rFonts w:ascii="宋体"/>
                <w:vanish/>
              </w:rPr>
            </w:pPr>
          </w:p>
        </w:tc>
        <w:tc>
          <w:tcPr>
            <w:tcW w:w="0" w:type="auto"/>
            <w:gridSpan w:val="3"/>
            <w:shd w:val="clear" w:color="auto" w:fill="auto"/>
            <w:vAlign w:val="bottom"/>
          </w:tcPr>
          <w:p w14:paraId="27E08592" w14:textId="77777777" w:rsidR="00A85061" w:rsidRDefault="00A85061">
            <w:pPr>
              <w:rPr>
                <w:rFonts w:ascii="宋体"/>
                <w:vanish/>
              </w:rPr>
            </w:pPr>
          </w:p>
        </w:tc>
        <w:tc>
          <w:tcPr>
            <w:tcW w:w="0" w:type="auto"/>
            <w:gridSpan w:val="3"/>
            <w:shd w:val="clear" w:color="auto" w:fill="auto"/>
            <w:vAlign w:val="bottom"/>
          </w:tcPr>
          <w:p w14:paraId="27E08593" w14:textId="77777777" w:rsidR="00A85061" w:rsidRDefault="00A85061">
            <w:pPr>
              <w:rPr>
                <w:rFonts w:ascii="宋体"/>
                <w:vanish/>
              </w:rPr>
            </w:pPr>
          </w:p>
        </w:tc>
      </w:tr>
      <w:tr w:rsidR="00A85061" w14:paraId="27E0859D" w14:textId="77777777">
        <w:trPr>
          <w:hidden/>
        </w:trPr>
        <w:tc>
          <w:tcPr>
            <w:tcW w:w="0" w:type="auto"/>
            <w:gridSpan w:val="3"/>
            <w:shd w:val="clear" w:color="auto" w:fill="auto"/>
            <w:vAlign w:val="bottom"/>
          </w:tcPr>
          <w:p w14:paraId="27E08595" w14:textId="77777777" w:rsidR="00A85061" w:rsidRDefault="00A85061">
            <w:pPr>
              <w:rPr>
                <w:rFonts w:ascii="宋体"/>
                <w:vanish/>
              </w:rPr>
            </w:pPr>
          </w:p>
        </w:tc>
        <w:tc>
          <w:tcPr>
            <w:tcW w:w="0" w:type="auto"/>
            <w:gridSpan w:val="3"/>
            <w:shd w:val="clear" w:color="auto" w:fill="auto"/>
            <w:vAlign w:val="bottom"/>
          </w:tcPr>
          <w:p w14:paraId="27E08596" w14:textId="77777777" w:rsidR="00A85061" w:rsidRDefault="00A85061">
            <w:pPr>
              <w:rPr>
                <w:rFonts w:ascii="宋体"/>
                <w:vanish/>
              </w:rPr>
            </w:pPr>
          </w:p>
        </w:tc>
        <w:tc>
          <w:tcPr>
            <w:tcW w:w="0" w:type="auto"/>
            <w:gridSpan w:val="3"/>
            <w:shd w:val="clear" w:color="auto" w:fill="auto"/>
            <w:vAlign w:val="bottom"/>
          </w:tcPr>
          <w:p w14:paraId="27E08597" w14:textId="77777777" w:rsidR="00A85061" w:rsidRDefault="00A85061">
            <w:pPr>
              <w:rPr>
                <w:rFonts w:ascii="宋体"/>
                <w:vanish/>
              </w:rPr>
            </w:pPr>
          </w:p>
        </w:tc>
        <w:tc>
          <w:tcPr>
            <w:tcW w:w="0" w:type="auto"/>
            <w:gridSpan w:val="3"/>
            <w:shd w:val="clear" w:color="auto" w:fill="auto"/>
            <w:vAlign w:val="bottom"/>
          </w:tcPr>
          <w:p w14:paraId="27E08598" w14:textId="77777777" w:rsidR="00A85061" w:rsidRDefault="00A85061">
            <w:pPr>
              <w:rPr>
                <w:rFonts w:ascii="宋体"/>
                <w:vanish/>
              </w:rPr>
            </w:pPr>
          </w:p>
        </w:tc>
        <w:tc>
          <w:tcPr>
            <w:tcW w:w="0" w:type="auto"/>
            <w:gridSpan w:val="3"/>
            <w:shd w:val="clear" w:color="auto" w:fill="auto"/>
            <w:vAlign w:val="bottom"/>
          </w:tcPr>
          <w:p w14:paraId="27E08599" w14:textId="77777777" w:rsidR="00A85061" w:rsidRDefault="00A85061">
            <w:pPr>
              <w:rPr>
                <w:rFonts w:ascii="宋体"/>
                <w:vanish/>
              </w:rPr>
            </w:pPr>
          </w:p>
        </w:tc>
        <w:tc>
          <w:tcPr>
            <w:tcW w:w="0" w:type="auto"/>
            <w:gridSpan w:val="3"/>
            <w:shd w:val="clear" w:color="auto" w:fill="auto"/>
            <w:vAlign w:val="bottom"/>
          </w:tcPr>
          <w:p w14:paraId="27E0859A" w14:textId="77777777" w:rsidR="00A85061" w:rsidRDefault="00A85061">
            <w:pPr>
              <w:rPr>
                <w:rFonts w:ascii="宋体"/>
                <w:vanish/>
              </w:rPr>
            </w:pPr>
          </w:p>
        </w:tc>
        <w:tc>
          <w:tcPr>
            <w:tcW w:w="0" w:type="auto"/>
            <w:gridSpan w:val="3"/>
            <w:shd w:val="clear" w:color="auto" w:fill="auto"/>
            <w:vAlign w:val="bottom"/>
          </w:tcPr>
          <w:p w14:paraId="27E0859B" w14:textId="77777777" w:rsidR="00A85061" w:rsidRDefault="00A85061">
            <w:pPr>
              <w:rPr>
                <w:rFonts w:ascii="宋体"/>
                <w:vanish/>
              </w:rPr>
            </w:pPr>
          </w:p>
        </w:tc>
        <w:tc>
          <w:tcPr>
            <w:tcW w:w="0" w:type="auto"/>
            <w:gridSpan w:val="3"/>
            <w:shd w:val="clear" w:color="auto" w:fill="auto"/>
            <w:vAlign w:val="bottom"/>
          </w:tcPr>
          <w:p w14:paraId="27E0859C" w14:textId="77777777" w:rsidR="00A85061" w:rsidRDefault="00A85061">
            <w:pPr>
              <w:rPr>
                <w:rFonts w:ascii="宋体"/>
                <w:vanish/>
              </w:rPr>
            </w:pPr>
          </w:p>
        </w:tc>
      </w:tr>
      <w:tr w:rsidR="00A85061" w14:paraId="27E085A6" w14:textId="77777777">
        <w:trPr>
          <w:hidden/>
        </w:trPr>
        <w:tc>
          <w:tcPr>
            <w:tcW w:w="0" w:type="auto"/>
            <w:gridSpan w:val="3"/>
            <w:shd w:val="clear" w:color="auto" w:fill="auto"/>
            <w:vAlign w:val="bottom"/>
          </w:tcPr>
          <w:p w14:paraId="27E0859E" w14:textId="77777777" w:rsidR="00A85061" w:rsidRDefault="00A85061">
            <w:pPr>
              <w:rPr>
                <w:rFonts w:ascii="宋体"/>
                <w:vanish/>
              </w:rPr>
            </w:pPr>
          </w:p>
        </w:tc>
        <w:tc>
          <w:tcPr>
            <w:tcW w:w="0" w:type="auto"/>
            <w:gridSpan w:val="3"/>
            <w:shd w:val="clear" w:color="auto" w:fill="auto"/>
            <w:vAlign w:val="bottom"/>
          </w:tcPr>
          <w:p w14:paraId="27E0859F" w14:textId="77777777" w:rsidR="00A85061" w:rsidRDefault="00A85061">
            <w:pPr>
              <w:rPr>
                <w:rFonts w:ascii="宋体"/>
                <w:vanish/>
              </w:rPr>
            </w:pPr>
          </w:p>
        </w:tc>
        <w:tc>
          <w:tcPr>
            <w:tcW w:w="0" w:type="auto"/>
            <w:gridSpan w:val="3"/>
            <w:shd w:val="clear" w:color="auto" w:fill="auto"/>
            <w:vAlign w:val="bottom"/>
          </w:tcPr>
          <w:p w14:paraId="27E085A0" w14:textId="77777777" w:rsidR="00A85061" w:rsidRDefault="00A85061">
            <w:pPr>
              <w:rPr>
                <w:rFonts w:ascii="宋体"/>
                <w:vanish/>
              </w:rPr>
            </w:pPr>
          </w:p>
        </w:tc>
        <w:tc>
          <w:tcPr>
            <w:tcW w:w="0" w:type="auto"/>
            <w:gridSpan w:val="3"/>
            <w:shd w:val="clear" w:color="auto" w:fill="auto"/>
            <w:vAlign w:val="bottom"/>
          </w:tcPr>
          <w:p w14:paraId="27E085A1" w14:textId="77777777" w:rsidR="00A85061" w:rsidRDefault="00A85061">
            <w:pPr>
              <w:rPr>
                <w:rFonts w:ascii="宋体"/>
                <w:vanish/>
              </w:rPr>
            </w:pPr>
          </w:p>
        </w:tc>
        <w:tc>
          <w:tcPr>
            <w:tcW w:w="0" w:type="auto"/>
            <w:gridSpan w:val="3"/>
            <w:shd w:val="clear" w:color="auto" w:fill="auto"/>
            <w:vAlign w:val="bottom"/>
          </w:tcPr>
          <w:p w14:paraId="27E085A2" w14:textId="77777777" w:rsidR="00A85061" w:rsidRDefault="00A85061">
            <w:pPr>
              <w:rPr>
                <w:rFonts w:ascii="宋体"/>
                <w:vanish/>
              </w:rPr>
            </w:pPr>
          </w:p>
        </w:tc>
        <w:tc>
          <w:tcPr>
            <w:tcW w:w="0" w:type="auto"/>
            <w:gridSpan w:val="3"/>
            <w:shd w:val="clear" w:color="auto" w:fill="auto"/>
            <w:vAlign w:val="bottom"/>
          </w:tcPr>
          <w:p w14:paraId="27E085A3" w14:textId="77777777" w:rsidR="00A85061" w:rsidRDefault="00A85061">
            <w:pPr>
              <w:rPr>
                <w:rFonts w:ascii="宋体"/>
                <w:vanish/>
              </w:rPr>
            </w:pPr>
          </w:p>
        </w:tc>
        <w:tc>
          <w:tcPr>
            <w:tcW w:w="0" w:type="auto"/>
            <w:gridSpan w:val="3"/>
            <w:shd w:val="clear" w:color="auto" w:fill="auto"/>
            <w:vAlign w:val="bottom"/>
          </w:tcPr>
          <w:p w14:paraId="27E085A4" w14:textId="77777777" w:rsidR="00A85061" w:rsidRDefault="00A85061">
            <w:pPr>
              <w:rPr>
                <w:rFonts w:ascii="宋体"/>
                <w:vanish/>
              </w:rPr>
            </w:pPr>
          </w:p>
        </w:tc>
        <w:tc>
          <w:tcPr>
            <w:tcW w:w="0" w:type="auto"/>
            <w:gridSpan w:val="3"/>
            <w:shd w:val="clear" w:color="auto" w:fill="auto"/>
            <w:vAlign w:val="bottom"/>
          </w:tcPr>
          <w:p w14:paraId="27E085A5" w14:textId="77777777" w:rsidR="00A85061" w:rsidRDefault="00A85061">
            <w:pPr>
              <w:rPr>
                <w:rFonts w:ascii="宋体"/>
                <w:vanish/>
              </w:rPr>
            </w:pPr>
          </w:p>
        </w:tc>
      </w:tr>
      <w:tr w:rsidR="00A85061" w14:paraId="27E085AF" w14:textId="77777777">
        <w:trPr>
          <w:hidden/>
        </w:trPr>
        <w:tc>
          <w:tcPr>
            <w:tcW w:w="0" w:type="auto"/>
            <w:gridSpan w:val="3"/>
            <w:shd w:val="clear" w:color="auto" w:fill="auto"/>
            <w:vAlign w:val="bottom"/>
          </w:tcPr>
          <w:p w14:paraId="27E085A7" w14:textId="77777777" w:rsidR="00A85061" w:rsidRDefault="00A85061">
            <w:pPr>
              <w:rPr>
                <w:rFonts w:ascii="宋体"/>
                <w:vanish/>
              </w:rPr>
            </w:pPr>
          </w:p>
        </w:tc>
        <w:tc>
          <w:tcPr>
            <w:tcW w:w="0" w:type="auto"/>
            <w:gridSpan w:val="3"/>
            <w:shd w:val="clear" w:color="auto" w:fill="auto"/>
            <w:vAlign w:val="bottom"/>
          </w:tcPr>
          <w:p w14:paraId="27E085A8" w14:textId="77777777" w:rsidR="00A85061" w:rsidRDefault="00A85061">
            <w:pPr>
              <w:rPr>
                <w:rFonts w:ascii="宋体"/>
                <w:vanish/>
              </w:rPr>
            </w:pPr>
          </w:p>
        </w:tc>
        <w:tc>
          <w:tcPr>
            <w:tcW w:w="0" w:type="auto"/>
            <w:gridSpan w:val="3"/>
            <w:shd w:val="clear" w:color="auto" w:fill="auto"/>
            <w:vAlign w:val="bottom"/>
          </w:tcPr>
          <w:p w14:paraId="27E085A9" w14:textId="77777777" w:rsidR="00A85061" w:rsidRDefault="00A85061">
            <w:pPr>
              <w:rPr>
                <w:rFonts w:ascii="宋体"/>
                <w:vanish/>
              </w:rPr>
            </w:pPr>
          </w:p>
        </w:tc>
        <w:tc>
          <w:tcPr>
            <w:tcW w:w="0" w:type="auto"/>
            <w:gridSpan w:val="3"/>
            <w:shd w:val="clear" w:color="auto" w:fill="auto"/>
            <w:vAlign w:val="bottom"/>
          </w:tcPr>
          <w:p w14:paraId="27E085AA" w14:textId="77777777" w:rsidR="00A85061" w:rsidRDefault="00A85061">
            <w:pPr>
              <w:rPr>
                <w:rFonts w:ascii="宋体"/>
                <w:vanish/>
              </w:rPr>
            </w:pPr>
          </w:p>
        </w:tc>
        <w:tc>
          <w:tcPr>
            <w:tcW w:w="0" w:type="auto"/>
            <w:gridSpan w:val="3"/>
            <w:shd w:val="clear" w:color="auto" w:fill="auto"/>
            <w:vAlign w:val="bottom"/>
          </w:tcPr>
          <w:p w14:paraId="27E085AB" w14:textId="77777777" w:rsidR="00A85061" w:rsidRDefault="00A85061">
            <w:pPr>
              <w:rPr>
                <w:rFonts w:ascii="宋体"/>
                <w:vanish/>
              </w:rPr>
            </w:pPr>
          </w:p>
        </w:tc>
        <w:tc>
          <w:tcPr>
            <w:tcW w:w="0" w:type="auto"/>
            <w:gridSpan w:val="3"/>
            <w:shd w:val="clear" w:color="auto" w:fill="auto"/>
            <w:vAlign w:val="bottom"/>
          </w:tcPr>
          <w:p w14:paraId="27E085AC" w14:textId="77777777" w:rsidR="00A85061" w:rsidRDefault="00A85061">
            <w:pPr>
              <w:rPr>
                <w:rFonts w:ascii="宋体"/>
                <w:vanish/>
              </w:rPr>
            </w:pPr>
          </w:p>
        </w:tc>
        <w:tc>
          <w:tcPr>
            <w:tcW w:w="0" w:type="auto"/>
            <w:gridSpan w:val="3"/>
            <w:shd w:val="clear" w:color="auto" w:fill="auto"/>
            <w:vAlign w:val="bottom"/>
          </w:tcPr>
          <w:p w14:paraId="27E085AD" w14:textId="77777777" w:rsidR="00A85061" w:rsidRDefault="00A85061">
            <w:pPr>
              <w:rPr>
                <w:rFonts w:ascii="宋体"/>
                <w:vanish/>
              </w:rPr>
            </w:pPr>
          </w:p>
        </w:tc>
        <w:tc>
          <w:tcPr>
            <w:tcW w:w="0" w:type="auto"/>
            <w:gridSpan w:val="3"/>
            <w:shd w:val="clear" w:color="auto" w:fill="auto"/>
            <w:vAlign w:val="bottom"/>
          </w:tcPr>
          <w:p w14:paraId="27E085AE" w14:textId="77777777" w:rsidR="00A85061" w:rsidRDefault="00A85061">
            <w:pPr>
              <w:rPr>
                <w:rFonts w:ascii="宋体"/>
                <w:vanish/>
              </w:rPr>
            </w:pPr>
          </w:p>
        </w:tc>
      </w:tr>
      <w:tr w:rsidR="00A85061" w14:paraId="27E085B8" w14:textId="77777777">
        <w:trPr>
          <w:hidden/>
        </w:trPr>
        <w:tc>
          <w:tcPr>
            <w:tcW w:w="0" w:type="auto"/>
            <w:gridSpan w:val="3"/>
            <w:shd w:val="clear" w:color="auto" w:fill="auto"/>
            <w:vAlign w:val="bottom"/>
          </w:tcPr>
          <w:p w14:paraId="27E085B0" w14:textId="77777777" w:rsidR="00A85061" w:rsidRDefault="00A85061">
            <w:pPr>
              <w:rPr>
                <w:rFonts w:ascii="宋体"/>
                <w:vanish/>
              </w:rPr>
            </w:pPr>
          </w:p>
        </w:tc>
        <w:tc>
          <w:tcPr>
            <w:tcW w:w="0" w:type="auto"/>
            <w:gridSpan w:val="3"/>
            <w:shd w:val="clear" w:color="auto" w:fill="auto"/>
            <w:vAlign w:val="bottom"/>
          </w:tcPr>
          <w:p w14:paraId="27E085B1" w14:textId="77777777" w:rsidR="00A85061" w:rsidRDefault="00A85061">
            <w:pPr>
              <w:rPr>
                <w:rFonts w:ascii="宋体"/>
                <w:vanish/>
              </w:rPr>
            </w:pPr>
          </w:p>
        </w:tc>
        <w:tc>
          <w:tcPr>
            <w:tcW w:w="0" w:type="auto"/>
            <w:gridSpan w:val="3"/>
            <w:shd w:val="clear" w:color="auto" w:fill="auto"/>
            <w:vAlign w:val="bottom"/>
          </w:tcPr>
          <w:p w14:paraId="27E085B2" w14:textId="77777777" w:rsidR="00A85061" w:rsidRDefault="00A85061">
            <w:pPr>
              <w:rPr>
                <w:rFonts w:ascii="宋体"/>
                <w:vanish/>
              </w:rPr>
            </w:pPr>
          </w:p>
        </w:tc>
        <w:tc>
          <w:tcPr>
            <w:tcW w:w="0" w:type="auto"/>
            <w:gridSpan w:val="3"/>
            <w:shd w:val="clear" w:color="auto" w:fill="auto"/>
            <w:vAlign w:val="bottom"/>
          </w:tcPr>
          <w:p w14:paraId="27E085B3" w14:textId="77777777" w:rsidR="00A85061" w:rsidRDefault="00A85061">
            <w:pPr>
              <w:rPr>
                <w:rFonts w:ascii="宋体"/>
                <w:vanish/>
              </w:rPr>
            </w:pPr>
          </w:p>
        </w:tc>
        <w:tc>
          <w:tcPr>
            <w:tcW w:w="0" w:type="auto"/>
            <w:gridSpan w:val="3"/>
            <w:shd w:val="clear" w:color="auto" w:fill="auto"/>
            <w:vAlign w:val="bottom"/>
          </w:tcPr>
          <w:p w14:paraId="27E085B4" w14:textId="77777777" w:rsidR="00A85061" w:rsidRDefault="00A85061">
            <w:pPr>
              <w:rPr>
                <w:rFonts w:ascii="宋体"/>
                <w:vanish/>
              </w:rPr>
            </w:pPr>
          </w:p>
        </w:tc>
        <w:tc>
          <w:tcPr>
            <w:tcW w:w="0" w:type="auto"/>
            <w:gridSpan w:val="3"/>
            <w:shd w:val="clear" w:color="auto" w:fill="auto"/>
            <w:vAlign w:val="bottom"/>
          </w:tcPr>
          <w:p w14:paraId="27E085B5" w14:textId="77777777" w:rsidR="00A85061" w:rsidRDefault="00A85061">
            <w:pPr>
              <w:rPr>
                <w:rFonts w:ascii="宋体"/>
                <w:vanish/>
              </w:rPr>
            </w:pPr>
          </w:p>
        </w:tc>
        <w:tc>
          <w:tcPr>
            <w:tcW w:w="0" w:type="auto"/>
            <w:gridSpan w:val="3"/>
            <w:shd w:val="clear" w:color="auto" w:fill="auto"/>
            <w:vAlign w:val="bottom"/>
          </w:tcPr>
          <w:p w14:paraId="27E085B6" w14:textId="77777777" w:rsidR="00A85061" w:rsidRDefault="00A85061">
            <w:pPr>
              <w:rPr>
                <w:rFonts w:ascii="宋体"/>
                <w:vanish/>
              </w:rPr>
            </w:pPr>
          </w:p>
        </w:tc>
        <w:tc>
          <w:tcPr>
            <w:tcW w:w="0" w:type="auto"/>
            <w:gridSpan w:val="3"/>
            <w:shd w:val="clear" w:color="auto" w:fill="auto"/>
            <w:vAlign w:val="bottom"/>
          </w:tcPr>
          <w:p w14:paraId="27E085B7" w14:textId="77777777" w:rsidR="00A85061" w:rsidRDefault="00A85061">
            <w:pPr>
              <w:rPr>
                <w:rFonts w:ascii="宋体"/>
                <w:vanish/>
              </w:rPr>
            </w:pPr>
          </w:p>
        </w:tc>
      </w:tr>
      <w:tr w:rsidR="00A85061" w14:paraId="27E085C1" w14:textId="77777777">
        <w:trPr>
          <w:hidden/>
        </w:trPr>
        <w:tc>
          <w:tcPr>
            <w:tcW w:w="0" w:type="auto"/>
            <w:gridSpan w:val="3"/>
            <w:shd w:val="clear" w:color="auto" w:fill="auto"/>
            <w:vAlign w:val="bottom"/>
          </w:tcPr>
          <w:p w14:paraId="27E085B9" w14:textId="77777777" w:rsidR="00A85061" w:rsidRDefault="00A85061">
            <w:pPr>
              <w:rPr>
                <w:rFonts w:ascii="宋体"/>
                <w:vanish/>
              </w:rPr>
            </w:pPr>
          </w:p>
        </w:tc>
        <w:tc>
          <w:tcPr>
            <w:tcW w:w="0" w:type="auto"/>
            <w:gridSpan w:val="3"/>
            <w:shd w:val="clear" w:color="auto" w:fill="auto"/>
            <w:vAlign w:val="bottom"/>
          </w:tcPr>
          <w:p w14:paraId="27E085BA" w14:textId="77777777" w:rsidR="00A85061" w:rsidRDefault="00A85061">
            <w:pPr>
              <w:rPr>
                <w:rFonts w:ascii="宋体"/>
                <w:vanish/>
              </w:rPr>
            </w:pPr>
          </w:p>
        </w:tc>
        <w:tc>
          <w:tcPr>
            <w:tcW w:w="0" w:type="auto"/>
            <w:gridSpan w:val="3"/>
            <w:shd w:val="clear" w:color="auto" w:fill="auto"/>
            <w:vAlign w:val="bottom"/>
          </w:tcPr>
          <w:p w14:paraId="27E085BB" w14:textId="77777777" w:rsidR="00A85061" w:rsidRDefault="00A85061">
            <w:pPr>
              <w:rPr>
                <w:rFonts w:ascii="宋体"/>
                <w:vanish/>
              </w:rPr>
            </w:pPr>
          </w:p>
        </w:tc>
        <w:tc>
          <w:tcPr>
            <w:tcW w:w="0" w:type="auto"/>
            <w:gridSpan w:val="3"/>
            <w:shd w:val="clear" w:color="auto" w:fill="auto"/>
            <w:vAlign w:val="bottom"/>
          </w:tcPr>
          <w:p w14:paraId="27E085BC" w14:textId="77777777" w:rsidR="00A85061" w:rsidRDefault="00A85061">
            <w:pPr>
              <w:rPr>
                <w:rFonts w:ascii="宋体"/>
                <w:vanish/>
              </w:rPr>
            </w:pPr>
          </w:p>
        </w:tc>
        <w:tc>
          <w:tcPr>
            <w:tcW w:w="0" w:type="auto"/>
            <w:gridSpan w:val="3"/>
            <w:shd w:val="clear" w:color="auto" w:fill="auto"/>
            <w:vAlign w:val="bottom"/>
          </w:tcPr>
          <w:p w14:paraId="27E085BD" w14:textId="77777777" w:rsidR="00A85061" w:rsidRDefault="00A85061">
            <w:pPr>
              <w:rPr>
                <w:rFonts w:ascii="宋体"/>
                <w:vanish/>
              </w:rPr>
            </w:pPr>
          </w:p>
        </w:tc>
        <w:tc>
          <w:tcPr>
            <w:tcW w:w="0" w:type="auto"/>
            <w:gridSpan w:val="3"/>
            <w:shd w:val="clear" w:color="auto" w:fill="auto"/>
            <w:vAlign w:val="bottom"/>
          </w:tcPr>
          <w:p w14:paraId="27E085BE" w14:textId="77777777" w:rsidR="00A85061" w:rsidRDefault="00A85061">
            <w:pPr>
              <w:rPr>
                <w:rFonts w:ascii="宋体"/>
                <w:vanish/>
              </w:rPr>
            </w:pPr>
          </w:p>
        </w:tc>
        <w:tc>
          <w:tcPr>
            <w:tcW w:w="0" w:type="auto"/>
            <w:gridSpan w:val="3"/>
            <w:shd w:val="clear" w:color="auto" w:fill="auto"/>
            <w:vAlign w:val="bottom"/>
          </w:tcPr>
          <w:p w14:paraId="27E085BF" w14:textId="77777777" w:rsidR="00A85061" w:rsidRDefault="00A85061">
            <w:pPr>
              <w:rPr>
                <w:rFonts w:ascii="宋体"/>
                <w:vanish/>
              </w:rPr>
            </w:pPr>
          </w:p>
        </w:tc>
        <w:tc>
          <w:tcPr>
            <w:tcW w:w="0" w:type="auto"/>
            <w:gridSpan w:val="3"/>
            <w:shd w:val="clear" w:color="auto" w:fill="auto"/>
            <w:vAlign w:val="bottom"/>
          </w:tcPr>
          <w:p w14:paraId="27E085C0" w14:textId="77777777" w:rsidR="00A85061" w:rsidRDefault="00A85061">
            <w:pPr>
              <w:rPr>
                <w:rFonts w:ascii="宋体"/>
                <w:vanish/>
              </w:rPr>
            </w:pPr>
          </w:p>
        </w:tc>
      </w:tr>
    </w:tbl>
    <w:p w14:paraId="27E085C2" w14:textId="77777777" w:rsidR="00A85061" w:rsidRDefault="00F04891">
      <w:pPr>
        <w:spacing w:after="180"/>
        <w:jc w:val="center"/>
      </w:pPr>
      <w:r>
        <w:rPr>
          <w:rFonts w:ascii="sans-serif" w:eastAsia="sans-serif" w:hAnsi="sans-serif" w:cs="sans-serif"/>
          <w:color w:val="000000"/>
          <w:sz w:val="20"/>
          <w:szCs w:val="20"/>
        </w:rPr>
        <w:t>20</w:t>
      </w:r>
    </w:p>
    <w:p w14:paraId="27E085C3" w14:textId="77777777" w:rsidR="00A85061" w:rsidRDefault="00F04891">
      <w:r>
        <w:pict w14:anchorId="27E08F05">
          <v:rect id="_x0000_i1044" style="width:415.3pt;height:1.5pt" o:hralign="center" o:hrstd="t" o:hr="t" fillcolor="#a0a0a0" stroked="f"/>
        </w:pict>
      </w:r>
    </w:p>
    <w:p w14:paraId="27E085C4" w14:textId="77777777" w:rsidR="00A85061" w:rsidRDefault="00F04891">
      <w:pPr>
        <w:jc w:val="center"/>
      </w:pPr>
      <w:r>
        <w:rPr>
          <w:rFonts w:ascii="sans-serif" w:eastAsia="sans-serif" w:hAnsi="sans-serif" w:cs="sans-serif"/>
          <w:b/>
          <w:bCs/>
          <w:color w:val="000000"/>
          <w:sz w:val="20"/>
          <w:szCs w:val="20"/>
        </w:rPr>
        <w:t>NVIDIA CORPORATION AND SUBSIDIARIES</w:t>
      </w:r>
    </w:p>
    <w:p w14:paraId="27E085C5" w14:textId="77777777" w:rsidR="00A85061" w:rsidRDefault="00F04891">
      <w:pPr>
        <w:jc w:val="center"/>
      </w:pPr>
      <w:r>
        <w:rPr>
          <w:rFonts w:ascii="sans-serif" w:eastAsia="sans-serif" w:hAnsi="sans-serif" w:cs="sans-serif"/>
          <w:b/>
          <w:bCs/>
          <w:color w:val="000000"/>
          <w:sz w:val="20"/>
          <w:szCs w:val="20"/>
        </w:rPr>
        <w:t xml:space="preserve">NOTES TO CONDENSED </w:t>
      </w:r>
      <w:r>
        <w:rPr>
          <w:rFonts w:ascii="sans-serif" w:eastAsia="sans-serif" w:hAnsi="sans-serif" w:cs="sans-serif"/>
          <w:b/>
          <w:bCs/>
          <w:color w:val="000000"/>
          <w:sz w:val="20"/>
          <w:szCs w:val="20"/>
        </w:rPr>
        <w:t>CONSOLIDATED FINANCIAL STATEMENTS (Continued)</w:t>
      </w:r>
    </w:p>
    <w:p w14:paraId="27E085C6" w14:textId="77777777" w:rsidR="00A85061" w:rsidRDefault="00F04891">
      <w:pPr>
        <w:jc w:val="center"/>
      </w:pPr>
      <w:r>
        <w:rPr>
          <w:rFonts w:ascii="sans-serif" w:eastAsia="sans-serif" w:hAnsi="sans-serif" w:cs="sans-serif"/>
          <w:b/>
          <w:bCs/>
          <w:color w:val="000000"/>
          <w:sz w:val="20"/>
          <w:szCs w:val="20"/>
        </w:rPr>
        <w:t>(Unaudited)</w:t>
      </w:r>
    </w:p>
    <w:p w14:paraId="27E085C7" w14:textId="77777777" w:rsidR="00A85061" w:rsidRDefault="00A85061">
      <w:pPr>
        <w:spacing w:after="180"/>
        <w:jc w:val="both"/>
      </w:pPr>
    </w:p>
    <w:p w14:paraId="27E085C8" w14:textId="77777777" w:rsidR="00A85061" w:rsidRDefault="00A85061">
      <w:pPr>
        <w:spacing w:after="18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604"/>
        <w:gridCol w:w="38"/>
        <w:gridCol w:w="122"/>
        <w:gridCol w:w="919"/>
        <w:gridCol w:w="36"/>
        <w:gridCol w:w="36"/>
        <w:gridCol w:w="36"/>
        <w:gridCol w:w="36"/>
        <w:gridCol w:w="122"/>
        <w:gridCol w:w="880"/>
        <w:gridCol w:w="36"/>
        <w:gridCol w:w="36"/>
        <w:gridCol w:w="36"/>
        <w:gridCol w:w="36"/>
        <w:gridCol w:w="36"/>
        <w:gridCol w:w="36"/>
        <w:gridCol w:w="36"/>
        <w:gridCol w:w="36"/>
        <w:gridCol w:w="36"/>
        <w:gridCol w:w="36"/>
        <w:gridCol w:w="36"/>
        <w:gridCol w:w="36"/>
        <w:gridCol w:w="36"/>
      </w:tblGrid>
      <w:tr w:rsidR="00A85061" w14:paraId="27E085D9" w14:textId="77777777">
        <w:trPr>
          <w:jc w:val="center"/>
        </w:trPr>
        <w:tc>
          <w:tcPr>
            <w:tcW w:w="50" w:type="pct"/>
            <w:shd w:val="clear" w:color="auto" w:fill="auto"/>
            <w:vAlign w:val="bottom"/>
          </w:tcPr>
          <w:p w14:paraId="27E085C9" w14:textId="77777777" w:rsidR="00A85061" w:rsidRDefault="00A85061">
            <w:pPr>
              <w:rPr>
                <w:rFonts w:ascii="宋体"/>
              </w:rPr>
            </w:pPr>
          </w:p>
        </w:tc>
        <w:tc>
          <w:tcPr>
            <w:tcW w:w="3578" w:type="pct"/>
            <w:shd w:val="clear" w:color="auto" w:fill="auto"/>
            <w:vAlign w:val="bottom"/>
          </w:tcPr>
          <w:p w14:paraId="27E085CA" w14:textId="77777777" w:rsidR="00A85061" w:rsidRDefault="00A85061">
            <w:pPr>
              <w:rPr>
                <w:rFonts w:ascii="宋体"/>
              </w:rPr>
            </w:pPr>
          </w:p>
        </w:tc>
        <w:tc>
          <w:tcPr>
            <w:tcW w:w="5" w:type="pct"/>
            <w:shd w:val="clear" w:color="auto" w:fill="auto"/>
            <w:vAlign w:val="bottom"/>
          </w:tcPr>
          <w:p w14:paraId="27E085CB" w14:textId="77777777" w:rsidR="00A85061" w:rsidRDefault="00A85061">
            <w:pPr>
              <w:rPr>
                <w:rFonts w:ascii="宋体"/>
              </w:rPr>
            </w:pPr>
          </w:p>
        </w:tc>
        <w:tc>
          <w:tcPr>
            <w:tcW w:w="50" w:type="pct"/>
            <w:shd w:val="clear" w:color="auto" w:fill="auto"/>
            <w:vAlign w:val="bottom"/>
          </w:tcPr>
          <w:p w14:paraId="27E085CC" w14:textId="77777777" w:rsidR="00A85061" w:rsidRDefault="00A85061">
            <w:pPr>
              <w:rPr>
                <w:rFonts w:ascii="宋体"/>
              </w:rPr>
            </w:pPr>
          </w:p>
        </w:tc>
        <w:tc>
          <w:tcPr>
            <w:tcW w:w="610" w:type="pct"/>
            <w:shd w:val="clear" w:color="auto" w:fill="auto"/>
            <w:vAlign w:val="bottom"/>
          </w:tcPr>
          <w:p w14:paraId="27E085CD" w14:textId="77777777" w:rsidR="00A85061" w:rsidRDefault="00A85061">
            <w:pPr>
              <w:rPr>
                <w:rFonts w:ascii="宋体"/>
              </w:rPr>
            </w:pPr>
          </w:p>
        </w:tc>
        <w:tc>
          <w:tcPr>
            <w:tcW w:w="5" w:type="pct"/>
            <w:shd w:val="clear" w:color="auto" w:fill="auto"/>
            <w:vAlign w:val="bottom"/>
          </w:tcPr>
          <w:p w14:paraId="27E085CE" w14:textId="77777777" w:rsidR="00A85061" w:rsidRDefault="00A85061">
            <w:pPr>
              <w:rPr>
                <w:rFonts w:ascii="宋体"/>
              </w:rPr>
            </w:pPr>
          </w:p>
        </w:tc>
        <w:tc>
          <w:tcPr>
            <w:tcW w:w="5" w:type="pct"/>
            <w:shd w:val="clear" w:color="auto" w:fill="auto"/>
            <w:vAlign w:val="bottom"/>
          </w:tcPr>
          <w:p w14:paraId="27E085CF" w14:textId="77777777" w:rsidR="00A85061" w:rsidRDefault="00A85061">
            <w:pPr>
              <w:rPr>
                <w:rFonts w:ascii="宋体"/>
              </w:rPr>
            </w:pPr>
          </w:p>
        </w:tc>
        <w:tc>
          <w:tcPr>
            <w:tcW w:w="26" w:type="pct"/>
            <w:shd w:val="clear" w:color="auto" w:fill="auto"/>
            <w:vAlign w:val="bottom"/>
          </w:tcPr>
          <w:p w14:paraId="27E085D0" w14:textId="77777777" w:rsidR="00A85061" w:rsidRDefault="00A85061">
            <w:pPr>
              <w:rPr>
                <w:rFonts w:ascii="宋体"/>
              </w:rPr>
            </w:pPr>
          </w:p>
        </w:tc>
        <w:tc>
          <w:tcPr>
            <w:tcW w:w="5" w:type="pct"/>
            <w:shd w:val="clear" w:color="auto" w:fill="auto"/>
            <w:vAlign w:val="bottom"/>
          </w:tcPr>
          <w:p w14:paraId="27E085D1" w14:textId="77777777" w:rsidR="00A85061" w:rsidRDefault="00A85061">
            <w:pPr>
              <w:rPr>
                <w:rFonts w:ascii="宋体"/>
              </w:rPr>
            </w:pPr>
          </w:p>
        </w:tc>
        <w:tc>
          <w:tcPr>
            <w:tcW w:w="50" w:type="pct"/>
            <w:shd w:val="clear" w:color="auto" w:fill="auto"/>
            <w:vAlign w:val="bottom"/>
          </w:tcPr>
          <w:p w14:paraId="27E085D2" w14:textId="77777777" w:rsidR="00A85061" w:rsidRDefault="00A85061">
            <w:pPr>
              <w:rPr>
                <w:rFonts w:ascii="宋体"/>
              </w:rPr>
            </w:pPr>
          </w:p>
        </w:tc>
        <w:tc>
          <w:tcPr>
            <w:tcW w:w="610" w:type="pct"/>
            <w:shd w:val="clear" w:color="auto" w:fill="auto"/>
            <w:vAlign w:val="bottom"/>
          </w:tcPr>
          <w:p w14:paraId="27E085D3" w14:textId="77777777" w:rsidR="00A85061" w:rsidRDefault="00A85061">
            <w:pPr>
              <w:rPr>
                <w:rFonts w:ascii="宋体"/>
              </w:rPr>
            </w:pPr>
          </w:p>
        </w:tc>
        <w:tc>
          <w:tcPr>
            <w:tcW w:w="5" w:type="pct"/>
            <w:shd w:val="clear" w:color="auto" w:fill="auto"/>
            <w:vAlign w:val="bottom"/>
          </w:tcPr>
          <w:p w14:paraId="27E085D4" w14:textId="77777777" w:rsidR="00A85061" w:rsidRDefault="00A85061">
            <w:pPr>
              <w:rPr>
                <w:rFonts w:ascii="宋体"/>
              </w:rPr>
            </w:pPr>
          </w:p>
        </w:tc>
        <w:tc>
          <w:tcPr>
            <w:tcW w:w="0" w:type="auto"/>
            <w:gridSpan w:val="3"/>
            <w:shd w:val="clear" w:color="auto" w:fill="auto"/>
            <w:vAlign w:val="bottom"/>
          </w:tcPr>
          <w:p w14:paraId="27E085D5" w14:textId="77777777" w:rsidR="00A85061" w:rsidRDefault="00A85061">
            <w:pPr>
              <w:rPr>
                <w:rFonts w:ascii="宋体"/>
                <w:vanish/>
              </w:rPr>
            </w:pPr>
          </w:p>
        </w:tc>
        <w:tc>
          <w:tcPr>
            <w:tcW w:w="0" w:type="auto"/>
            <w:gridSpan w:val="3"/>
            <w:shd w:val="clear" w:color="auto" w:fill="auto"/>
            <w:vAlign w:val="bottom"/>
          </w:tcPr>
          <w:p w14:paraId="27E085D6" w14:textId="77777777" w:rsidR="00A85061" w:rsidRDefault="00A85061">
            <w:pPr>
              <w:rPr>
                <w:rFonts w:ascii="宋体"/>
                <w:vanish/>
              </w:rPr>
            </w:pPr>
          </w:p>
        </w:tc>
        <w:tc>
          <w:tcPr>
            <w:tcW w:w="0" w:type="auto"/>
            <w:gridSpan w:val="3"/>
            <w:shd w:val="clear" w:color="auto" w:fill="auto"/>
            <w:vAlign w:val="bottom"/>
          </w:tcPr>
          <w:p w14:paraId="27E085D7" w14:textId="77777777" w:rsidR="00A85061" w:rsidRDefault="00A85061">
            <w:pPr>
              <w:rPr>
                <w:rFonts w:ascii="宋体"/>
                <w:vanish/>
              </w:rPr>
            </w:pPr>
          </w:p>
        </w:tc>
        <w:tc>
          <w:tcPr>
            <w:tcW w:w="0" w:type="auto"/>
            <w:gridSpan w:val="3"/>
            <w:shd w:val="clear" w:color="auto" w:fill="auto"/>
            <w:vAlign w:val="bottom"/>
          </w:tcPr>
          <w:p w14:paraId="27E085D8" w14:textId="77777777" w:rsidR="00A85061" w:rsidRDefault="00A85061">
            <w:pPr>
              <w:rPr>
                <w:rFonts w:ascii="宋体"/>
                <w:vanish/>
              </w:rPr>
            </w:pPr>
          </w:p>
        </w:tc>
      </w:tr>
      <w:tr w:rsidR="00A85061" w14:paraId="27E085E4" w14:textId="77777777">
        <w:trPr>
          <w:jc w:val="center"/>
        </w:trPr>
        <w:tc>
          <w:tcPr>
            <w:tcW w:w="0" w:type="auto"/>
            <w:gridSpan w:val="3"/>
            <w:shd w:val="clear" w:color="auto" w:fill="auto"/>
            <w:tcMar>
              <w:top w:w="0" w:type="dxa"/>
              <w:left w:w="20" w:type="dxa"/>
              <w:bottom w:w="0" w:type="dxa"/>
              <w:right w:w="20" w:type="dxa"/>
            </w:tcMar>
            <w:vAlign w:val="bottom"/>
          </w:tcPr>
          <w:p w14:paraId="27E085DA"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85DB"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85DC" w14:textId="77777777" w:rsidR="00A85061" w:rsidRDefault="00A85061">
            <w:pPr>
              <w:rPr>
                <w:rFonts w:ascii="宋体"/>
                <w:vanish/>
              </w:rPr>
            </w:pPr>
          </w:p>
        </w:tc>
        <w:tc>
          <w:tcPr>
            <w:tcW w:w="0" w:type="auto"/>
            <w:gridSpan w:val="3"/>
            <w:shd w:val="clear" w:color="auto" w:fill="auto"/>
            <w:vAlign w:val="bottom"/>
          </w:tcPr>
          <w:p w14:paraId="27E085DD" w14:textId="77777777" w:rsidR="00A85061" w:rsidRDefault="00A85061">
            <w:pPr>
              <w:rPr>
                <w:rFonts w:ascii="宋体"/>
                <w:vanish/>
              </w:rPr>
            </w:pPr>
          </w:p>
        </w:tc>
        <w:tc>
          <w:tcPr>
            <w:tcW w:w="0" w:type="auto"/>
            <w:shd w:val="clear" w:color="auto" w:fill="auto"/>
            <w:vAlign w:val="bottom"/>
          </w:tcPr>
          <w:p w14:paraId="27E085DE" w14:textId="77777777" w:rsidR="00A85061" w:rsidRDefault="00A85061">
            <w:pPr>
              <w:rPr>
                <w:rFonts w:ascii="宋体"/>
              </w:rPr>
            </w:pPr>
          </w:p>
        </w:tc>
        <w:tc>
          <w:tcPr>
            <w:tcW w:w="0" w:type="auto"/>
            <w:shd w:val="clear" w:color="auto" w:fill="auto"/>
            <w:vAlign w:val="bottom"/>
          </w:tcPr>
          <w:p w14:paraId="27E085DF" w14:textId="77777777" w:rsidR="00A85061" w:rsidRDefault="00A85061">
            <w:pPr>
              <w:rPr>
                <w:rFonts w:ascii="宋体"/>
              </w:rPr>
            </w:pPr>
          </w:p>
        </w:tc>
        <w:tc>
          <w:tcPr>
            <w:tcW w:w="0" w:type="auto"/>
            <w:shd w:val="clear" w:color="auto" w:fill="auto"/>
            <w:vAlign w:val="bottom"/>
          </w:tcPr>
          <w:p w14:paraId="27E085E0" w14:textId="77777777" w:rsidR="00A85061" w:rsidRDefault="00A85061">
            <w:pPr>
              <w:rPr>
                <w:rFonts w:ascii="宋体"/>
              </w:rPr>
            </w:pPr>
          </w:p>
        </w:tc>
        <w:tc>
          <w:tcPr>
            <w:tcW w:w="0" w:type="auto"/>
            <w:shd w:val="clear" w:color="auto" w:fill="auto"/>
            <w:vAlign w:val="bottom"/>
          </w:tcPr>
          <w:p w14:paraId="27E085E1" w14:textId="77777777" w:rsidR="00A85061" w:rsidRDefault="00A85061">
            <w:pPr>
              <w:rPr>
                <w:rFonts w:ascii="宋体"/>
              </w:rPr>
            </w:pPr>
          </w:p>
        </w:tc>
        <w:tc>
          <w:tcPr>
            <w:tcW w:w="0" w:type="auto"/>
            <w:shd w:val="clear" w:color="auto" w:fill="auto"/>
            <w:vAlign w:val="bottom"/>
          </w:tcPr>
          <w:p w14:paraId="27E085E2" w14:textId="77777777" w:rsidR="00A85061" w:rsidRDefault="00A85061">
            <w:pPr>
              <w:rPr>
                <w:rFonts w:ascii="宋体"/>
              </w:rPr>
            </w:pPr>
          </w:p>
        </w:tc>
        <w:tc>
          <w:tcPr>
            <w:tcW w:w="0" w:type="auto"/>
            <w:shd w:val="clear" w:color="auto" w:fill="auto"/>
            <w:vAlign w:val="bottom"/>
          </w:tcPr>
          <w:p w14:paraId="27E085E3" w14:textId="77777777" w:rsidR="00A85061" w:rsidRDefault="00A85061">
            <w:pPr>
              <w:rPr>
                <w:rFonts w:ascii="宋体"/>
              </w:rPr>
            </w:pPr>
          </w:p>
        </w:tc>
      </w:tr>
      <w:tr w:rsidR="00A85061" w14:paraId="27E085ED" w14:textId="77777777">
        <w:trPr>
          <w:jc w:val="center"/>
        </w:trPr>
        <w:tc>
          <w:tcPr>
            <w:tcW w:w="0" w:type="auto"/>
            <w:gridSpan w:val="3"/>
            <w:shd w:val="clear" w:color="auto" w:fill="auto"/>
            <w:tcMar>
              <w:top w:w="0" w:type="dxa"/>
              <w:left w:w="20" w:type="dxa"/>
              <w:bottom w:w="0" w:type="dxa"/>
              <w:right w:w="20" w:type="dxa"/>
            </w:tcMar>
            <w:vAlign w:val="bottom"/>
          </w:tcPr>
          <w:p w14:paraId="27E085E5"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5E6" w14:textId="77777777" w:rsidR="00A85061" w:rsidRDefault="00F04891">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5E7"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5E8" w14:textId="77777777" w:rsidR="00A85061" w:rsidRDefault="00F04891">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shd w:val="clear" w:color="auto" w:fill="auto"/>
            <w:vAlign w:val="bottom"/>
          </w:tcPr>
          <w:p w14:paraId="27E085E9" w14:textId="77777777" w:rsidR="00A85061" w:rsidRDefault="00A85061">
            <w:pPr>
              <w:rPr>
                <w:rFonts w:ascii="宋体"/>
                <w:vanish/>
              </w:rPr>
            </w:pPr>
          </w:p>
        </w:tc>
        <w:tc>
          <w:tcPr>
            <w:tcW w:w="0" w:type="auto"/>
            <w:gridSpan w:val="3"/>
            <w:shd w:val="clear" w:color="auto" w:fill="auto"/>
            <w:vAlign w:val="bottom"/>
          </w:tcPr>
          <w:p w14:paraId="27E085EA" w14:textId="77777777" w:rsidR="00A85061" w:rsidRDefault="00A85061">
            <w:pPr>
              <w:rPr>
                <w:rFonts w:ascii="宋体"/>
                <w:vanish/>
              </w:rPr>
            </w:pPr>
          </w:p>
        </w:tc>
        <w:tc>
          <w:tcPr>
            <w:tcW w:w="0" w:type="auto"/>
            <w:gridSpan w:val="3"/>
            <w:shd w:val="clear" w:color="auto" w:fill="auto"/>
            <w:vAlign w:val="bottom"/>
          </w:tcPr>
          <w:p w14:paraId="27E085EB" w14:textId="77777777" w:rsidR="00A85061" w:rsidRDefault="00A85061">
            <w:pPr>
              <w:rPr>
                <w:rFonts w:ascii="宋体"/>
                <w:vanish/>
              </w:rPr>
            </w:pPr>
          </w:p>
        </w:tc>
        <w:tc>
          <w:tcPr>
            <w:tcW w:w="0" w:type="auto"/>
            <w:gridSpan w:val="3"/>
            <w:shd w:val="clear" w:color="auto" w:fill="auto"/>
            <w:vAlign w:val="bottom"/>
          </w:tcPr>
          <w:p w14:paraId="27E085EC" w14:textId="77777777" w:rsidR="00A85061" w:rsidRDefault="00A85061">
            <w:pPr>
              <w:rPr>
                <w:rFonts w:ascii="宋体"/>
                <w:vanish/>
              </w:rPr>
            </w:pPr>
          </w:p>
        </w:tc>
      </w:tr>
      <w:tr w:rsidR="00A85061" w14:paraId="27E085F6" w14:textId="77777777">
        <w:trPr>
          <w:trHeight w:val="60"/>
          <w:jc w:val="center"/>
        </w:trPr>
        <w:tc>
          <w:tcPr>
            <w:tcW w:w="0" w:type="auto"/>
            <w:gridSpan w:val="3"/>
            <w:shd w:val="clear" w:color="auto" w:fill="auto"/>
            <w:tcMar>
              <w:top w:w="0" w:type="dxa"/>
              <w:left w:w="20" w:type="dxa"/>
              <w:bottom w:w="0" w:type="dxa"/>
              <w:right w:w="20" w:type="dxa"/>
            </w:tcMar>
            <w:vAlign w:val="bottom"/>
          </w:tcPr>
          <w:p w14:paraId="27E085E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5E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5F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5F1" w14:textId="77777777" w:rsidR="00A85061" w:rsidRDefault="00A85061">
            <w:pPr>
              <w:rPr>
                <w:rFonts w:ascii="宋体"/>
              </w:rPr>
            </w:pPr>
          </w:p>
        </w:tc>
        <w:tc>
          <w:tcPr>
            <w:tcW w:w="0" w:type="auto"/>
            <w:gridSpan w:val="3"/>
            <w:shd w:val="clear" w:color="auto" w:fill="auto"/>
            <w:vAlign w:val="bottom"/>
          </w:tcPr>
          <w:p w14:paraId="27E085F2" w14:textId="77777777" w:rsidR="00A85061" w:rsidRDefault="00A85061">
            <w:pPr>
              <w:rPr>
                <w:rFonts w:ascii="宋体"/>
                <w:vanish/>
              </w:rPr>
            </w:pPr>
          </w:p>
        </w:tc>
        <w:tc>
          <w:tcPr>
            <w:tcW w:w="0" w:type="auto"/>
            <w:gridSpan w:val="3"/>
            <w:shd w:val="clear" w:color="auto" w:fill="auto"/>
            <w:vAlign w:val="bottom"/>
          </w:tcPr>
          <w:p w14:paraId="27E085F3" w14:textId="77777777" w:rsidR="00A85061" w:rsidRDefault="00A85061">
            <w:pPr>
              <w:rPr>
                <w:rFonts w:ascii="宋体"/>
                <w:vanish/>
              </w:rPr>
            </w:pPr>
          </w:p>
        </w:tc>
        <w:tc>
          <w:tcPr>
            <w:tcW w:w="0" w:type="auto"/>
            <w:gridSpan w:val="3"/>
            <w:shd w:val="clear" w:color="auto" w:fill="auto"/>
            <w:vAlign w:val="bottom"/>
          </w:tcPr>
          <w:p w14:paraId="27E085F4" w14:textId="77777777" w:rsidR="00A85061" w:rsidRDefault="00A85061">
            <w:pPr>
              <w:rPr>
                <w:rFonts w:ascii="宋体"/>
                <w:vanish/>
              </w:rPr>
            </w:pPr>
          </w:p>
        </w:tc>
        <w:tc>
          <w:tcPr>
            <w:tcW w:w="0" w:type="auto"/>
            <w:gridSpan w:val="3"/>
            <w:shd w:val="clear" w:color="auto" w:fill="auto"/>
            <w:vAlign w:val="bottom"/>
          </w:tcPr>
          <w:p w14:paraId="27E085F5" w14:textId="77777777" w:rsidR="00A85061" w:rsidRDefault="00A85061">
            <w:pPr>
              <w:rPr>
                <w:rFonts w:ascii="宋体"/>
                <w:vanish/>
              </w:rPr>
            </w:pPr>
          </w:p>
        </w:tc>
      </w:tr>
      <w:tr w:rsidR="00A85061" w14:paraId="27E08605" w14:textId="77777777">
        <w:trPr>
          <w:jc w:val="center"/>
        </w:trPr>
        <w:tc>
          <w:tcPr>
            <w:tcW w:w="0" w:type="auto"/>
            <w:gridSpan w:val="3"/>
            <w:shd w:val="clear" w:color="auto" w:fill="auto"/>
            <w:tcMar>
              <w:top w:w="0" w:type="dxa"/>
              <w:left w:w="20" w:type="dxa"/>
              <w:bottom w:w="0" w:type="dxa"/>
              <w:right w:w="20" w:type="dxa"/>
            </w:tcMar>
            <w:vAlign w:val="bottom"/>
          </w:tcPr>
          <w:p w14:paraId="27E085F7" w14:textId="77777777" w:rsidR="00A85061" w:rsidRDefault="00A85061">
            <w:pPr>
              <w:rPr>
                <w:rFonts w:ascii="宋体"/>
              </w:rPr>
            </w:pPr>
          </w:p>
        </w:tc>
        <w:tc>
          <w:tcPr>
            <w:tcW w:w="0" w:type="auto"/>
            <w:gridSpan w:val="9"/>
            <w:shd w:val="clear" w:color="auto" w:fill="auto"/>
            <w:tcMar>
              <w:top w:w="40" w:type="dxa"/>
              <w:left w:w="20" w:type="dxa"/>
              <w:bottom w:w="40" w:type="dxa"/>
              <w:right w:w="20" w:type="dxa"/>
            </w:tcMar>
            <w:vAlign w:val="bottom"/>
          </w:tcPr>
          <w:p w14:paraId="27E085F8" w14:textId="77777777" w:rsidR="00A85061" w:rsidRDefault="00F04891">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27E085F9" w14:textId="77777777" w:rsidR="00A85061" w:rsidRDefault="00A85061">
            <w:pPr>
              <w:rPr>
                <w:rFonts w:ascii="宋体"/>
              </w:rPr>
            </w:pPr>
          </w:p>
        </w:tc>
        <w:tc>
          <w:tcPr>
            <w:tcW w:w="0" w:type="auto"/>
            <w:shd w:val="clear" w:color="auto" w:fill="auto"/>
            <w:vAlign w:val="bottom"/>
          </w:tcPr>
          <w:p w14:paraId="27E085FA" w14:textId="77777777" w:rsidR="00A85061" w:rsidRDefault="00A85061">
            <w:pPr>
              <w:rPr>
                <w:rFonts w:ascii="宋体"/>
              </w:rPr>
            </w:pPr>
          </w:p>
        </w:tc>
        <w:tc>
          <w:tcPr>
            <w:tcW w:w="0" w:type="auto"/>
            <w:shd w:val="clear" w:color="auto" w:fill="auto"/>
            <w:vAlign w:val="bottom"/>
          </w:tcPr>
          <w:p w14:paraId="27E085FB" w14:textId="77777777" w:rsidR="00A85061" w:rsidRDefault="00A85061">
            <w:pPr>
              <w:rPr>
                <w:rFonts w:ascii="宋体"/>
              </w:rPr>
            </w:pPr>
          </w:p>
        </w:tc>
        <w:tc>
          <w:tcPr>
            <w:tcW w:w="0" w:type="auto"/>
            <w:shd w:val="clear" w:color="auto" w:fill="auto"/>
            <w:vAlign w:val="bottom"/>
          </w:tcPr>
          <w:p w14:paraId="27E085FC" w14:textId="77777777" w:rsidR="00A85061" w:rsidRDefault="00A85061">
            <w:pPr>
              <w:rPr>
                <w:rFonts w:ascii="宋体"/>
              </w:rPr>
            </w:pPr>
          </w:p>
        </w:tc>
        <w:tc>
          <w:tcPr>
            <w:tcW w:w="0" w:type="auto"/>
            <w:shd w:val="clear" w:color="auto" w:fill="auto"/>
            <w:vAlign w:val="bottom"/>
          </w:tcPr>
          <w:p w14:paraId="27E085FD" w14:textId="77777777" w:rsidR="00A85061" w:rsidRDefault="00A85061">
            <w:pPr>
              <w:rPr>
                <w:rFonts w:ascii="宋体"/>
              </w:rPr>
            </w:pPr>
          </w:p>
        </w:tc>
        <w:tc>
          <w:tcPr>
            <w:tcW w:w="0" w:type="auto"/>
            <w:shd w:val="clear" w:color="auto" w:fill="auto"/>
            <w:vAlign w:val="bottom"/>
          </w:tcPr>
          <w:p w14:paraId="27E085FE" w14:textId="77777777" w:rsidR="00A85061" w:rsidRDefault="00A85061">
            <w:pPr>
              <w:rPr>
                <w:rFonts w:ascii="宋体"/>
              </w:rPr>
            </w:pPr>
          </w:p>
        </w:tc>
        <w:tc>
          <w:tcPr>
            <w:tcW w:w="0" w:type="auto"/>
            <w:shd w:val="clear" w:color="auto" w:fill="auto"/>
            <w:vAlign w:val="bottom"/>
          </w:tcPr>
          <w:p w14:paraId="27E085FF" w14:textId="77777777" w:rsidR="00A85061" w:rsidRDefault="00A85061">
            <w:pPr>
              <w:rPr>
                <w:rFonts w:ascii="宋体"/>
              </w:rPr>
            </w:pPr>
          </w:p>
        </w:tc>
        <w:tc>
          <w:tcPr>
            <w:tcW w:w="0" w:type="auto"/>
            <w:shd w:val="clear" w:color="auto" w:fill="auto"/>
            <w:vAlign w:val="bottom"/>
          </w:tcPr>
          <w:p w14:paraId="27E08600" w14:textId="77777777" w:rsidR="00A85061" w:rsidRDefault="00A85061">
            <w:pPr>
              <w:rPr>
                <w:rFonts w:ascii="宋体"/>
              </w:rPr>
            </w:pPr>
          </w:p>
        </w:tc>
        <w:tc>
          <w:tcPr>
            <w:tcW w:w="0" w:type="auto"/>
            <w:shd w:val="clear" w:color="auto" w:fill="auto"/>
            <w:vAlign w:val="bottom"/>
          </w:tcPr>
          <w:p w14:paraId="27E08601" w14:textId="77777777" w:rsidR="00A85061" w:rsidRDefault="00A85061">
            <w:pPr>
              <w:rPr>
                <w:rFonts w:ascii="宋体"/>
              </w:rPr>
            </w:pPr>
          </w:p>
        </w:tc>
        <w:tc>
          <w:tcPr>
            <w:tcW w:w="0" w:type="auto"/>
            <w:shd w:val="clear" w:color="auto" w:fill="auto"/>
            <w:vAlign w:val="bottom"/>
          </w:tcPr>
          <w:p w14:paraId="27E08602" w14:textId="77777777" w:rsidR="00A85061" w:rsidRDefault="00A85061">
            <w:pPr>
              <w:rPr>
                <w:rFonts w:ascii="宋体"/>
              </w:rPr>
            </w:pPr>
          </w:p>
        </w:tc>
        <w:tc>
          <w:tcPr>
            <w:tcW w:w="0" w:type="auto"/>
            <w:shd w:val="clear" w:color="auto" w:fill="auto"/>
            <w:vAlign w:val="bottom"/>
          </w:tcPr>
          <w:p w14:paraId="27E08603" w14:textId="77777777" w:rsidR="00A85061" w:rsidRDefault="00A85061">
            <w:pPr>
              <w:rPr>
                <w:rFonts w:ascii="宋体"/>
              </w:rPr>
            </w:pPr>
          </w:p>
        </w:tc>
        <w:tc>
          <w:tcPr>
            <w:tcW w:w="0" w:type="auto"/>
            <w:shd w:val="clear" w:color="auto" w:fill="auto"/>
            <w:vAlign w:val="bottom"/>
          </w:tcPr>
          <w:p w14:paraId="27E08604" w14:textId="77777777" w:rsidR="00A85061" w:rsidRDefault="00A85061">
            <w:pPr>
              <w:rPr>
                <w:rFonts w:ascii="宋体"/>
              </w:rPr>
            </w:pPr>
          </w:p>
        </w:tc>
      </w:tr>
      <w:tr w:rsidR="00A85061" w14:paraId="27E0860E" w14:textId="77777777">
        <w:trPr>
          <w:jc w:val="center"/>
        </w:trPr>
        <w:tc>
          <w:tcPr>
            <w:tcW w:w="0" w:type="auto"/>
            <w:gridSpan w:val="3"/>
            <w:shd w:val="clear" w:color="auto" w:fill="auto"/>
            <w:tcMar>
              <w:top w:w="40" w:type="dxa"/>
              <w:left w:w="20" w:type="dxa"/>
              <w:bottom w:w="40" w:type="dxa"/>
              <w:right w:w="20" w:type="dxa"/>
            </w:tcMar>
            <w:vAlign w:val="bottom"/>
          </w:tcPr>
          <w:p w14:paraId="27E08606" w14:textId="77777777" w:rsidR="00A85061" w:rsidRDefault="00F04891">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27E0860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60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609" w14:textId="77777777" w:rsidR="00A85061" w:rsidRDefault="00A85061">
            <w:pPr>
              <w:rPr>
                <w:rFonts w:ascii="宋体"/>
              </w:rPr>
            </w:pPr>
          </w:p>
        </w:tc>
        <w:tc>
          <w:tcPr>
            <w:tcW w:w="0" w:type="auto"/>
            <w:gridSpan w:val="3"/>
            <w:shd w:val="clear" w:color="auto" w:fill="auto"/>
            <w:vAlign w:val="bottom"/>
          </w:tcPr>
          <w:p w14:paraId="27E0860A" w14:textId="77777777" w:rsidR="00A85061" w:rsidRDefault="00A85061">
            <w:pPr>
              <w:rPr>
                <w:rFonts w:ascii="宋体"/>
                <w:vanish/>
              </w:rPr>
            </w:pPr>
          </w:p>
        </w:tc>
        <w:tc>
          <w:tcPr>
            <w:tcW w:w="0" w:type="auto"/>
            <w:gridSpan w:val="3"/>
            <w:shd w:val="clear" w:color="auto" w:fill="auto"/>
            <w:vAlign w:val="bottom"/>
          </w:tcPr>
          <w:p w14:paraId="27E0860B" w14:textId="77777777" w:rsidR="00A85061" w:rsidRDefault="00A85061">
            <w:pPr>
              <w:rPr>
                <w:rFonts w:ascii="宋体"/>
                <w:vanish/>
              </w:rPr>
            </w:pPr>
          </w:p>
        </w:tc>
        <w:tc>
          <w:tcPr>
            <w:tcW w:w="0" w:type="auto"/>
            <w:gridSpan w:val="3"/>
            <w:shd w:val="clear" w:color="auto" w:fill="auto"/>
            <w:vAlign w:val="bottom"/>
          </w:tcPr>
          <w:p w14:paraId="27E0860C" w14:textId="77777777" w:rsidR="00A85061" w:rsidRDefault="00A85061">
            <w:pPr>
              <w:rPr>
                <w:rFonts w:ascii="宋体"/>
                <w:vanish/>
              </w:rPr>
            </w:pPr>
          </w:p>
        </w:tc>
        <w:tc>
          <w:tcPr>
            <w:tcW w:w="0" w:type="auto"/>
            <w:gridSpan w:val="3"/>
            <w:shd w:val="clear" w:color="auto" w:fill="auto"/>
            <w:vAlign w:val="bottom"/>
          </w:tcPr>
          <w:p w14:paraId="27E0860D" w14:textId="77777777" w:rsidR="00A85061" w:rsidRDefault="00A85061">
            <w:pPr>
              <w:rPr>
                <w:rFonts w:ascii="宋体"/>
                <w:vanish/>
              </w:rPr>
            </w:pPr>
          </w:p>
        </w:tc>
      </w:tr>
      <w:tr w:rsidR="00A85061" w14:paraId="27E08617" w14:textId="77777777">
        <w:trPr>
          <w:jc w:val="center"/>
          <w:hidden/>
        </w:trPr>
        <w:tc>
          <w:tcPr>
            <w:tcW w:w="0" w:type="auto"/>
            <w:gridSpan w:val="3"/>
            <w:shd w:val="clear" w:color="auto" w:fill="auto"/>
            <w:vAlign w:val="bottom"/>
          </w:tcPr>
          <w:p w14:paraId="27E0860F" w14:textId="77777777" w:rsidR="00A85061" w:rsidRDefault="00A85061">
            <w:pPr>
              <w:rPr>
                <w:rFonts w:ascii="宋体"/>
                <w:vanish/>
              </w:rPr>
            </w:pPr>
          </w:p>
        </w:tc>
        <w:tc>
          <w:tcPr>
            <w:tcW w:w="0" w:type="auto"/>
            <w:gridSpan w:val="3"/>
            <w:shd w:val="clear" w:color="auto" w:fill="auto"/>
            <w:vAlign w:val="bottom"/>
          </w:tcPr>
          <w:p w14:paraId="27E08610" w14:textId="77777777" w:rsidR="00A85061" w:rsidRDefault="00A85061">
            <w:pPr>
              <w:rPr>
                <w:rFonts w:ascii="宋体"/>
                <w:vanish/>
              </w:rPr>
            </w:pPr>
          </w:p>
        </w:tc>
        <w:tc>
          <w:tcPr>
            <w:tcW w:w="0" w:type="auto"/>
            <w:gridSpan w:val="3"/>
            <w:shd w:val="clear" w:color="auto" w:fill="auto"/>
            <w:vAlign w:val="bottom"/>
          </w:tcPr>
          <w:p w14:paraId="27E08611" w14:textId="77777777" w:rsidR="00A85061" w:rsidRDefault="00A85061">
            <w:pPr>
              <w:rPr>
                <w:rFonts w:ascii="宋体"/>
                <w:vanish/>
              </w:rPr>
            </w:pPr>
          </w:p>
        </w:tc>
        <w:tc>
          <w:tcPr>
            <w:tcW w:w="0" w:type="auto"/>
            <w:gridSpan w:val="3"/>
            <w:shd w:val="clear" w:color="auto" w:fill="auto"/>
            <w:vAlign w:val="bottom"/>
          </w:tcPr>
          <w:p w14:paraId="27E08612" w14:textId="77777777" w:rsidR="00A85061" w:rsidRDefault="00A85061">
            <w:pPr>
              <w:rPr>
                <w:rFonts w:ascii="宋体"/>
                <w:vanish/>
              </w:rPr>
            </w:pPr>
          </w:p>
        </w:tc>
        <w:tc>
          <w:tcPr>
            <w:tcW w:w="0" w:type="auto"/>
            <w:gridSpan w:val="3"/>
            <w:shd w:val="clear" w:color="auto" w:fill="auto"/>
            <w:vAlign w:val="bottom"/>
          </w:tcPr>
          <w:p w14:paraId="27E08613" w14:textId="77777777" w:rsidR="00A85061" w:rsidRDefault="00A85061">
            <w:pPr>
              <w:rPr>
                <w:rFonts w:ascii="宋体"/>
                <w:vanish/>
              </w:rPr>
            </w:pPr>
          </w:p>
        </w:tc>
        <w:tc>
          <w:tcPr>
            <w:tcW w:w="0" w:type="auto"/>
            <w:gridSpan w:val="3"/>
            <w:shd w:val="clear" w:color="auto" w:fill="auto"/>
            <w:vAlign w:val="bottom"/>
          </w:tcPr>
          <w:p w14:paraId="27E08614" w14:textId="77777777" w:rsidR="00A85061" w:rsidRDefault="00A85061">
            <w:pPr>
              <w:rPr>
                <w:rFonts w:ascii="宋体"/>
                <w:vanish/>
              </w:rPr>
            </w:pPr>
          </w:p>
        </w:tc>
        <w:tc>
          <w:tcPr>
            <w:tcW w:w="0" w:type="auto"/>
            <w:gridSpan w:val="3"/>
            <w:shd w:val="clear" w:color="auto" w:fill="auto"/>
            <w:vAlign w:val="bottom"/>
          </w:tcPr>
          <w:p w14:paraId="27E08615" w14:textId="77777777" w:rsidR="00A85061" w:rsidRDefault="00A85061">
            <w:pPr>
              <w:rPr>
                <w:rFonts w:ascii="宋体"/>
                <w:vanish/>
              </w:rPr>
            </w:pPr>
          </w:p>
        </w:tc>
        <w:tc>
          <w:tcPr>
            <w:tcW w:w="0" w:type="auto"/>
            <w:gridSpan w:val="3"/>
            <w:shd w:val="clear" w:color="auto" w:fill="auto"/>
            <w:vAlign w:val="bottom"/>
          </w:tcPr>
          <w:p w14:paraId="27E08616" w14:textId="77777777" w:rsidR="00A85061" w:rsidRDefault="00A85061">
            <w:pPr>
              <w:rPr>
                <w:rFonts w:ascii="宋体"/>
                <w:vanish/>
              </w:rPr>
            </w:pPr>
          </w:p>
        </w:tc>
      </w:tr>
      <w:tr w:rsidR="00A85061" w14:paraId="27E08624" w14:textId="77777777">
        <w:trPr>
          <w:jc w:val="center"/>
        </w:trPr>
        <w:tc>
          <w:tcPr>
            <w:tcW w:w="0" w:type="auto"/>
            <w:gridSpan w:val="3"/>
            <w:shd w:val="clear" w:color="auto" w:fill="E2EFD9"/>
            <w:tcMar>
              <w:top w:w="40" w:type="dxa"/>
              <w:left w:w="20" w:type="dxa"/>
              <w:bottom w:w="40" w:type="dxa"/>
              <w:right w:w="20" w:type="dxa"/>
            </w:tcMar>
            <w:vAlign w:val="bottom"/>
          </w:tcPr>
          <w:p w14:paraId="27E08618" w14:textId="77777777" w:rsidR="00A85061" w:rsidRDefault="00F04891">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right w:w="0" w:type="dxa"/>
            </w:tcMar>
            <w:vAlign w:val="bottom"/>
          </w:tcPr>
          <w:p w14:paraId="27E0861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61A" w14:textId="77777777" w:rsidR="00A85061" w:rsidRDefault="00F04891">
            <w:pPr>
              <w:jc w:val="right"/>
              <w:textAlignment w:val="bottom"/>
            </w:pPr>
            <w:r>
              <w:rPr>
                <w:rFonts w:ascii="sans-serif" w:eastAsia="sans-serif" w:hAnsi="sans-serif" w:cs="sans-serif"/>
                <w:color w:val="000000"/>
                <w:sz w:val="20"/>
                <w:szCs w:val="20"/>
              </w:rPr>
              <w:t>(429)</w:t>
            </w:r>
          </w:p>
        </w:tc>
        <w:tc>
          <w:tcPr>
            <w:tcW w:w="0" w:type="auto"/>
            <w:shd w:val="clear" w:color="auto" w:fill="E2EFD9"/>
            <w:tcMar>
              <w:top w:w="40" w:type="dxa"/>
              <w:left w:w="0" w:type="dxa"/>
              <w:bottom w:w="40" w:type="dxa"/>
              <w:right w:w="20" w:type="dxa"/>
            </w:tcMar>
            <w:vAlign w:val="bottom"/>
          </w:tcPr>
          <w:p w14:paraId="27E0861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1C"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61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61E" w14:textId="77777777" w:rsidR="00A85061" w:rsidRDefault="00F04891">
            <w:pPr>
              <w:jc w:val="right"/>
              <w:textAlignment w:val="bottom"/>
            </w:pPr>
            <w:r>
              <w:rPr>
                <w:rFonts w:ascii="sans-serif" w:eastAsia="sans-serif" w:hAnsi="sans-serif" w:cs="sans-serif"/>
                <w:color w:val="000000"/>
                <w:sz w:val="20"/>
                <w:szCs w:val="20"/>
              </w:rPr>
              <w:t>(224)</w:t>
            </w:r>
          </w:p>
        </w:tc>
        <w:tc>
          <w:tcPr>
            <w:tcW w:w="0" w:type="auto"/>
            <w:shd w:val="clear" w:color="auto" w:fill="E2EFD9"/>
            <w:tcMar>
              <w:top w:w="40" w:type="dxa"/>
              <w:left w:w="0" w:type="dxa"/>
              <w:bottom w:w="40" w:type="dxa"/>
              <w:right w:w="20" w:type="dxa"/>
            </w:tcMar>
            <w:vAlign w:val="bottom"/>
          </w:tcPr>
          <w:p w14:paraId="27E0861F" w14:textId="77777777" w:rsidR="00A85061" w:rsidRDefault="00A85061">
            <w:pPr>
              <w:jc w:val="right"/>
              <w:rPr>
                <w:rFonts w:ascii="宋体"/>
              </w:rPr>
            </w:pPr>
          </w:p>
        </w:tc>
        <w:tc>
          <w:tcPr>
            <w:tcW w:w="0" w:type="auto"/>
            <w:gridSpan w:val="3"/>
            <w:shd w:val="clear" w:color="auto" w:fill="auto"/>
            <w:vAlign w:val="bottom"/>
          </w:tcPr>
          <w:p w14:paraId="27E08620" w14:textId="77777777" w:rsidR="00A85061" w:rsidRDefault="00A85061">
            <w:pPr>
              <w:rPr>
                <w:rFonts w:ascii="宋体"/>
                <w:vanish/>
              </w:rPr>
            </w:pPr>
          </w:p>
        </w:tc>
        <w:tc>
          <w:tcPr>
            <w:tcW w:w="0" w:type="auto"/>
            <w:gridSpan w:val="3"/>
            <w:shd w:val="clear" w:color="auto" w:fill="auto"/>
            <w:vAlign w:val="bottom"/>
          </w:tcPr>
          <w:p w14:paraId="27E08621" w14:textId="77777777" w:rsidR="00A85061" w:rsidRDefault="00A85061">
            <w:pPr>
              <w:rPr>
                <w:rFonts w:ascii="宋体"/>
                <w:vanish/>
              </w:rPr>
            </w:pPr>
          </w:p>
        </w:tc>
        <w:tc>
          <w:tcPr>
            <w:tcW w:w="0" w:type="auto"/>
            <w:gridSpan w:val="3"/>
            <w:shd w:val="clear" w:color="auto" w:fill="auto"/>
            <w:vAlign w:val="bottom"/>
          </w:tcPr>
          <w:p w14:paraId="27E08622" w14:textId="77777777" w:rsidR="00A85061" w:rsidRDefault="00A85061">
            <w:pPr>
              <w:rPr>
                <w:rFonts w:ascii="宋体"/>
                <w:vanish/>
              </w:rPr>
            </w:pPr>
          </w:p>
        </w:tc>
        <w:tc>
          <w:tcPr>
            <w:tcW w:w="0" w:type="auto"/>
            <w:gridSpan w:val="3"/>
            <w:shd w:val="clear" w:color="auto" w:fill="auto"/>
            <w:vAlign w:val="bottom"/>
          </w:tcPr>
          <w:p w14:paraId="27E08623" w14:textId="77777777" w:rsidR="00A85061" w:rsidRDefault="00A85061">
            <w:pPr>
              <w:rPr>
                <w:rFonts w:ascii="宋体"/>
                <w:vanish/>
              </w:rPr>
            </w:pPr>
          </w:p>
        </w:tc>
      </w:tr>
      <w:tr w:rsidR="00A85061" w14:paraId="27E0862F" w14:textId="77777777">
        <w:trPr>
          <w:jc w:val="center"/>
        </w:trPr>
        <w:tc>
          <w:tcPr>
            <w:tcW w:w="0" w:type="auto"/>
            <w:gridSpan w:val="3"/>
            <w:shd w:val="clear" w:color="auto" w:fill="FFFFFF"/>
            <w:tcMar>
              <w:top w:w="40" w:type="dxa"/>
              <w:left w:w="20" w:type="dxa"/>
              <w:bottom w:w="40" w:type="dxa"/>
              <w:right w:w="20" w:type="dxa"/>
            </w:tcMar>
            <w:vAlign w:val="bottom"/>
          </w:tcPr>
          <w:p w14:paraId="27E08625" w14:textId="77777777" w:rsidR="00A85061" w:rsidRDefault="00F04891">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27E08626" w14:textId="77777777" w:rsidR="00A85061" w:rsidRDefault="00F04891">
            <w:pPr>
              <w:jc w:val="right"/>
              <w:textAlignment w:val="bottom"/>
            </w:pPr>
            <w:r>
              <w:rPr>
                <w:rFonts w:ascii="sans-serif" w:eastAsia="sans-serif" w:hAnsi="sans-serif" w:cs="sans-serif"/>
                <w:color w:val="000000"/>
                <w:sz w:val="20"/>
                <w:szCs w:val="20"/>
              </w:rPr>
              <w:t>(167)</w:t>
            </w:r>
          </w:p>
        </w:tc>
        <w:tc>
          <w:tcPr>
            <w:tcW w:w="0" w:type="auto"/>
            <w:shd w:val="clear" w:color="auto" w:fill="FFFFFF"/>
            <w:tcMar>
              <w:top w:w="40" w:type="dxa"/>
              <w:left w:w="0" w:type="dxa"/>
              <w:bottom w:w="40" w:type="dxa"/>
              <w:right w:w="20" w:type="dxa"/>
            </w:tcMar>
            <w:vAlign w:val="bottom"/>
          </w:tcPr>
          <w:p w14:paraId="27E0862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62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629" w14:textId="77777777" w:rsidR="00A85061" w:rsidRDefault="00F04891">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27E0862A" w14:textId="77777777" w:rsidR="00A85061" w:rsidRDefault="00A85061">
            <w:pPr>
              <w:jc w:val="right"/>
              <w:rPr>
                <w:rFonts w:ascii="宋体"/>
              </w:rPr>
            </w:pPr>
          </w:p>
        </w:tc>
        <w:tc>
          <w:tcPr>
            <w:tcW w:w="0" w:type="auto"/>
            <w:gridSpan w:val="3"/>
            <w:shd w:val="clear" w:color="auto" w:fill="auto"/>
            <w:vAlign w:val="bottom"/>
          </w:tcPr>
          <w:p w14:paraId="27E0862B" w14:textId="77777777" w:rsidR="00A85061" w:rsidRDefault="00A85061">
            <w:pPr>
              <w:rPr>
                <w:rFonts w:ascii="宋体"/>
                <w:vanish/>
              </w:rPr>
            </w:pPr>
          </w:p>
        </w:tc>
        <w:tc>
          <w:tcPr>
            <w:tcW w:w="0" w:type="auto"/>
            <w:gridSpan w:val="3"/>
            <w:shd w:val="clear" w:color="auto" w:fill="auto"/>
            <w:vAlign w:val="bottom"/>
          </w:tcPr>
          <w:p w14:paraId="27E0862C" w14:textId="77777777" w:rsidR="00A85061" w:rsidRDefault="00A85061">
            <w:pPr>
              <w:rPr>
                <w:rFonts w:ascii="宋体"/>
                <w:vanish/>
              </w:rPr>
            </w:pPr>
          </w:p>
        </w:tc>
        <w:tc>
          <w:tcPr>
            <w:tcW w:w="0" w:type="auto"/>
            <w:gridSpan w:val="3"/>
            <w:shd w:val="clear" w:color="auto" w:fill="auto"/>
            <w:vAlign w:val="bottom"/>
          </w:tcPr>
          <w:p w14:paraId="27E0862D" w14:textId="77777777" w:rsidR="00A85061" w:rsidRDefault="00A85061">
            <w:pPr>
              <w:rPr>
                <w:rFonts w:ascii="宋体"/>
                <w:vanish/>
              </w:rPr>
            </w:pPr>
          </w:p>
        </w:tc>
        <w:tc>
          <w:tcPr>
            <w:tcW w:w="0" w:type="auto"/>
            <w:gridSpan w:val="3"/>
            <w:shd w:val="clear" w:color="auto" w:fill="auto"/>
            <w:vAlign w:val="bottom"/>
          </w:tcPr>
          <w:p w14:paraId="27E0862E" w14:textId="77777777" w:rsidR="00A85061" w:rsidRDefault="00A85061">
            <w:pPr>
              <w:rPr>
                <w:rFonts w:ascii="宋体"/>
                <w:vanish/>
              </w:rPr>
            </w:pPr>
          </w:p>
        </w:tc>
      </w:tr>
      <w:tr w:rsidR="00A85061" w14:paraId="27E0863A" w14:textId="77777777">
        <w:trPr>
          <w:jc w:val="center"/>
        </w:trPr>
        <w:tc>
          <w:tcPr>
            <w:tcW w:w="0" w:type="auto"/>
            <w:gridSpan w:val="3"/>
            <w:shd w:val="clear" w:color="auto" w:fill="E2EFD9"/>
            <w:tcMar>
              <w:top w:w="40" w:type="dxa"/>
              <w:left w:w="20" w:type="dxa"/>
              <w:bottom w:w="40" w:type="dxa"/>
              <w:right w:w="20" w:type="dxa"/>
            </w:tcMar>
            <w:vAlign w:val="bottom"/>
          </w:tcPr>
          <w:p w14:paraId="27E08630" w14:textId="77777777" w:rsidR="00A85061" w:rsidRDefault="00F04891">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27E08631" w14:textId="77777777" w:rsidR="00A85061" w:rsidRDefault="00F04891">
            <w:pPr>
              <w:jc w:val="right"/>
              <w:textAlignment w:val="bottom"/>
            </w:pPr>
            <w:r>
              <w:rPr>
                <w:rFonts w:ascii="sans-serif" w:eastAsia="sans-serif" w:hAnsi="sans-serif" w:cs="sans-serif"/>
                <w:color w:val="000000"/>
                <w:sz w:val="20"/>
                <w:szCs w:val="20"/>
              </w:rPr>
              <w:t>(90)</w:t>
            </w:r>
          </w:p>
        </w:tc>
        <w:tc>
          <w:tcPr>
            <w:tcW w:w="0" w:type="auto"/>
            <w:shd w:val="clear" w:color="auto" w:fill="E2EFD9"/>
            <w:tcMar>
              <w:top w:w="40" w:type="dxa"/>
              <w:left w:w="0" w:type="dxa"/>
              <w:bottom w:w="40" w:type="dxa"/>
              <w:right w:w="20" w:type="dxa"/>
            </w:tcMar>
            <w:vAlign w:val="bottom"/>
          </w:tcPr>
          <w:p w14:paraId="27E0863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3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634" w14:textId="77777777" w:rsidR="00A85061" w:rsidRDefault="00F04891">
            <w:pPr>
              <w:jc w:val="right"/>
              <w:textAlignment w:val="bottom"/>
            </w:pPr>
            <w:r>
              <w:rPr>
                <w:rFonts w:ascii="sans-serif" w:eastAsia="sans-serif" w:hAnsi="sans-serif" w:cs="sans-serif"/>
                <w:color w:val="000000"/>
                <w:sz w:val="20"/>
                <w:szCs w:val="20"/>
              </w:rPr>
              <w:t>(82)</w:t>
            </w:r>
          </w:p>
        </w:tc>
        <w:tc>
          <w:tcPr>
            <w:tcW w:w="0" w:type="auto"/>
            <w:shd w:val="clear" w:color="auto" w:fill="E2EFD9"/>
            <w:tcMar>
              <w:top w:w="40" w:type="dxa"/>
              <w:left w:w="0" w:type="dxa"/>
              <w:bottom w:w="40" w:type="dxa"/>
              <w:right w:w="20" w:type="dxa"/>
            </w:tcMar>
            <w:vAlign w:val="bottom"/>
          </w:tcPr>
          <w:p w14:paraId="27E08635" w14:textId="77777777" w:rsidR="00A85061" w:rsidRDefault="00A85061">
            <w:pPr>
              <w:jc w:val="right"/>
              <w:rPr>
                <w:rFonts w:ascii="宋体"/>
              </w:rPr>
            </w:pPr>
          </w:p>
        </w:tc>
        <w:tc>
          <w:tcPr>
            <w:tcW w:w="0" w:type="auto"/>
            <w:gridSpan w:val="3"/>
            <w:shd w:val="clear" w:color="auto" w:fill="auto"/>
            <w:vAlign w:val="bottom"/>
          </w:tcPr>
          <w:p w14:paraId="27E08636" w14:textId="77777777" w:rsidR="00A85061" w:rsidRDefault="00A85061">
            <w:pPr>
              <w:rPr>
                <w:rFonts w:ascii="宋体"/>
                <w:vanish/>
              </w:rPr>
            </w:pPr>
          </w:p>
        </w:tc>
        <w:tc>
          <w:tcPr>
            <w:tcW w:w="0" w:type="auto"/>
            <w:gridSpan w:val="3"/>
            <w:shd w:val="clear" w:color="auto" w:fill="auto"/>
            <w:vAlign w:val="bottom"/>
          </w:tcPr>
          <w:p w14:paraId="27E08637" w14:textId="77777777" w:rsidR="00A85061" w:rsidRDefault="00A85061">
            <w:pPr>
              <w:rPr>
                <w:rFonts w:ascii="宋体"/>
                <w:vanish/>
              </w:rPr>
            </w:pPr>
          </w:p>
        </w:tc>
        <w:tc>
          <w:tcPr>
            <w:tcW w:w="0" w:type="auto"/>
            <w:gridSpan w:val="3"/>
            <w:shd w:val="clear" w:color="auto" w:fill="auto"/>
            <w:vAlign w:val="bottom"/>
          </w:tcPr>
          <w:p w14:paraId="27E08638" w14:textId="77777777" w:rsidR="00A85061" w:rsidRDefault="00A85061">
            <w:pPr>
              <w:rPr>
                <w:rFonts w:ascii="宋体"/>
                <w:vanish/>
              </w:rPr>
            </w:pPr>
          </w:p>
        </w:tc>
        <w:tc>
          <w:tcPr>
            <w:tcW w:w="0" w:type="auto"/>
            <w:gridSpan w:val="3"/>
            <w:shd w:val="clear" w:color="auto" w:fill="auto"/>
            <w:vAlign w:val="bottom"/>
          </w:tcPr>
          <w:p w14:paraId="27E08639" w14:textId="77777777" w:rsidR="00A85061" w:rsidRDefault="00A85061">
            <w:pPr>
              <w:rPr>
                <w:rFonts w:ascii="宋体"/>
                <w:vanish/>
              </w:rPr>
            </w:pPr>
          </w:p>
        </w:tc>
      </w:tr>
      <w:tr w:rsidR="00A85061" w14:paraId="27E08645" w14:textId="77777777">
        <w:trPr>
          <w:jc w:val="center"/>
        </w:trPr>
        <w:tc>
          <w:tcPr>
            <w:tcW w:w="0" w:type="auto"/>
            <w:gridSpan w:val="3"/>
            <w:shd w:val="clear" w:color="auto" w:fill="FFFFFF"/>
            <w:tcMar>
              <w:top w:w="40" w:type="dxa"/>
              <w:left w:w="20" w:type="dxa"/>
              <w:bottom w:w="40" w:type="dxa"/>
              <w:right w:w="20" w:type="dxa"/>
            </w:tcMar>
            <w:vAlign w:val="bottom"/>
          </w:tcPr>
          <w:p w14:paraId="27E0863B" w14:textId="77777777" w:rsidR="00A85061" w:rsidRDefault="00F04891">
            <w:pPr>
              <w:textAlignment w:val="bottom"/>
            </w:pPr>
            <w:r>
              <w:rPr>
                <w:rFonts w:ascii="sans-serif" w:eastAsia="sans-serif" w:hAnsi="sans-serif" w:cs="sans-serif"/>
                <w:color w:val="000000"/>
                <w:sz w:val="20"/>
                <w:szCs w:val="20"/>
              </w:rPr>
              <w:t>IP-related costs</w:t>
            </w:r>
          </w:p>
        </w:tc>
        <w:tc>
          <w:tcPr>
            <w:tcW w:w="0" w:type="auto"/>
            <w:gridSpan w:val="2"/>
            <w:shd w:val="clear" w:color="auto" w:fill="FFFFFF"/>
            <w:tcMar>
              <w:top w:w="40" w:type="dxa"/>
              <w:left w:w="20" w:type="dxa"/>
              <w:bottom w:w="40" w:type="dxa"/>
              <w:right w:w="0" w:type="dxa"/>
            </w:tcMar>
            <w:vAlign w:val="bottom"/>
          </w:tcPr>
          <w:p w14:paraId="27E0863C" w14:textId="77777777" w:rsidR="00A85061" w:rsidRDefault="00F04891">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27E0863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63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63F"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27E08640" w14:textId="77777777" w:rsidR="00A85061" w:rsidRDefault="00A85061">
            <w:pPr>
              <w:jc w:val="right"/>
              <w:rPr>
                <w:rFonts w:ascii="宋体"/>
              </w:rPr>
            </w:pPr>
          </w:p>
        </w:tc>
        <w:tc>
          <w:tcPr>
            <w:tcW w:w="0" w:type="auto"/>
            <w:gridSpan w:val="3"/>
            <w:shd w:val="clear" w:color="auto" w:fill="auto"/>
            <w:vAlign w:val="bottom"/>
          </w:tcPr>
          <w:p w14:paraId="27E08641" w14:textId="77777777" w:rsidR="00A85061" w:rsidRDefault="00A85061">
            <w:pPr>
              <w:rPr>
                <w:rFonts w:ascii="宋体"/>
                <w:vanish/>
              </w:rPr>
            </w:pPr>
          </w:p>
        </w:tc>
        <w:tc>
          <w:tcPr>
            <w:tcW w:w="0" w:type="auto"/>
            <w:gridSpan w:val="3"/>
            <w:shd w:val="clear" w:color="auto" w:fill="auto"/>
            <w:vAlign w:val="bottom"/>
          </w:tcPr>
          <w:p w14:paraId="27E08642" w14:textId="77777777" w:rsidR="00A85061" w:rsidRDefault="00A85061">
            <w:pPr>
              <w:rPr>
                <w:rFonts w:ascii="宋体"/>
                <w:vanish/>
              </w:rPr>
            </w:pPr>
          </w:p>
        </w:tc>
        <w:tc>
          <w:tcPr>
            <w:tcW w:w="0" w:type="auto"/>
            <w:gridSpan w:val="3"/>
            <w:shd w:val="clear" w:color="auto" w:fill="auto"/>
            <w:vAlign w:val="bottom"/>
          </w:tcPr>
          <w:p w14:paraId="27E08643" w14:textId="77777777" w:rsidR="00A85061" w:rsidRDefault="00A85061">
            <w:pPr>
              <w:rPr>
                <w:rFonts w:ascii="宋体"/>
                <w:vanish/>
              </w:rPr>
            </w:pPr>
          </w:p>
        </w:tc>
        <w:tc>
          <w:tcPr>
            <w:tcW w:w="0" w:type="auto"/>
            <w:gridSpan w:val="3"/>
            <w:shd w:val="clear" w:color="auto" w:fill="auto"/>
            <w:vAlign w:val="bottom"/>
          </w:tcPr>
          <w:p w14:paraId="27E08644" w14:textId="77777777" w:rsidR="00A85061" w:rsidRDefault="00A85061">
            <w:pPr>
              <w:rPr>
                <w:rFonts w:ascii="宋体"/>
                <w:vanish/>
              </w:rPr>
            </w:pPr>
          </w:p>
        </w:tc>
      </w:tr>
      <w:tr w:rsidR="00A85061" w14:paraId="27E0864E" w14:textId="77777777">
        <w:trPr>
          <w:jc w:val="center"/>
          <w:hidden/>
        </w:trPr>
        <w:tc>
          <w:tcPr>
            <w:tcW w:w="0" w:type="auto"/>
            <w:gridSpan w:val="3"/>
            <w:shd w:val="clear" w:color="auto" w:fill="auto"/>
            <w:vAlign w:val="bottom"/>
          </w:tcPr>
          <w:p w14:paraId="27E08646" w14:textId="77777777" w:rsidR="00A85061" w:rsidRDefault="00A85061">
            <w:pPr>
              <w:rPr>
                <w:rFonts w:ascii="宋体"/>
                <w:vanish/>
              </w:rPr>
            </w:pPr>
          </w:p>
        </w:tc>
        <w:tc>
          <w:tcPr>
            <w:tcW w:w="0" w:type="auto"/>
            <w:gridSpan w:val="3"/>
            <w:shd w:val="clear" w:color="auto" w:fill="auto"/>
            <w:vAlign w:val="bottom"/>
          </w:tcPr>
          <w:p w14:paraId="27E08647" w14:textId="77777777" w:rsidR="00A85061" w:rsidRDefault="00A85061">
            <w:pPr>
              <w:rPr>
                <w:rFonts w:ascii="宋体"/>
                <w:vanish/>
              </w:rPr>
            </w:pPr>
          </w:p>
        </w:tc>
        <w:tc>
          <w:tcPr>
            <w:tcW w:w="0" w:type="auto"/>
            <w:gridSpan w:val="3"/>
            <w:shd w:val="clear" w:color="auto" w:fill="auto"/>
            <w:vAlign w:val="bottom"/>
          </w:tcPr>
          <w:p w14:paraId="27E08648" w14:textId="77777777" w:rsidR="00A85061" w:rsidRDefault="00A85061">
            <w:pPr>
              <w:rPr>
                <w:rFonts w:ascii="宋体"/>
                <w:vanish/>
              </w:rPr>
            </w:pPr>
          </w:p>
        </w:tc>
        <w:tc>
          <w:tcPr>
            <w:tcW w:w="0" w:type="auto"/>
            <w:gridSpan w:val="3"/>
            <w:shd w:val="clear" w:color="auto" w:fill="auto"/>
            <w:vAlign w:val="bottom"/>
          </w:tcPr>
          <w:p w14:paraId="27E08649" w14:textId="77777777" w:rsidR="00A85061" w:rsidRDefault="00A85061">
            <w:pPr>
              <w:rPr>
                <w:rFonts w:ascii="宋体"/>
                <w:vanish/>
              </w:rPr>
            </w:pPr>
          </w:p>
        </w:tc>
        <w:tc>
          <w:tcPr>
            <w:tcW w:w="0" w:type="auto"/>
            <w:gridSpan w:val="3"/>
            <w:shd w:val="clear" w:color="auto" w:fill="auto"/>
            <w:vAlign w:val="bottom"/>
          </w:tcPr>
          <w:p w14:paraId="27E0864A" w14:textId="77777777" w:rsidR="00A85061" w:rsidRDefault="00A85061">
            <w:pPr>
              <w:rPr>
                <w:rFonts w:ascii="宋体"/>
                <w:vanish/>
              </w:rPr>
            </w:pPr>
          </w:p>
        </w:tc>
        <w:tc>
          <w:tcPr>
            <w:tcW w:w="0" w:type="auto"/>
            <w:gridSpan w:val="3"/>
            <w:shd w:val="clear" w:color="auto" w:fill="auto"/>
            <w:vAlign w:val="bottom"/>
          </w:tcPr>
          <w:p w14:paraId="27E0864B" w14:textId="77777777" w:rsidR="00A85061" w:rsidRDefault="00A85061">
            <w:pPr>
              <w:rPr>
                <w:rFonts w:ascii="宋体"/>
                <w:vanish/>
              </w:rPr>
            </w:pPr>
          </w:p>
        </w:tc>
        <w:tc>
          <w:tcPr>
            <w:tcW w:w="0" w:type="auto"/>
            <w:gridSpan w:val="3"/>
            <w:shd w:val="clear" w:color="auto" w:fill="auto"/>
            <w:vAlign w:val="bottom"/>
          </w:tcPr>
          <w:p w14:paraId="27E0864C" w14:textId="77777777" w:rsidR="00A85061" w:rsidRDefault="00A85061">
            <w:pPr>
              <w:rPr>
                <w:rFonts w:ascii="宋体"/>
                <w:vanish/>
              </w:rPr>
            </w:pPr>
          </w:p>
        </w:tc>
        <w:tc>
          <w:tcPr>
            <w:tcW w:w="0" w:type="auto"/>
            <w:gridSpan w:val="3"/>
            <w:shd w:val="clear" w:color="auto" w:fill="auto"/>
            <w:vAlign w:val="bottom"/>
          </w:tcPr>
          <w:p w14:paraId="27E0864D" w14:textId="77777777" w:rsidR="00A85061" w:rsidRDefault="00A85061">
            <w:pPr>
              <w:rPr>
                <w:rFonts w:ascii="宋体"/>
                <w:vanish/>
              </w:rPr>
            </w:pPr>
          </w:p>
        </w:tc>
      </w:tr>
      <w:tr w:rsidR="00A85061" w14:paraId="27E08657" w14:textId="77777777">
        <w:trPr>
          <w:jc w:val="center"/>
          <w:hidden/>
        </w:trPr>
        <w:tc>
          <w:tcPr>
            <w:tcW w:w="0" w:type="auto"/>
            <w:gridSpan w:val="3"/>
            <w:shd w:val="clear" w:color="auto" w:fill="auto"/>
            <w:vAlign w:val="bottom"/>
          </w:tcPr>
          <w:p w14:paraId="27E0864F" w14:textId="77777777" w:rsidR="00A85061" w:rsidRDefault="00A85061">
            <w:pPr>
              <w:rPr>
                <w:rFonts w:ascii="宋体"/>
                <w:vanish/>
              </w:rPr>
            </w:pPr>
          </w:p>
        </w:tc>
        <w:tc>
          <w:tcPr>
            <w:tcW w:w="0" w:type="auto"/>
            <w:gridSpan w:val="3"/>
            <w:shd w:val="clear" w:color="auto" w:fill="auto"/>
            <w:vAlign w:val="bottom"/>
          </w:tcPr>
          <w:p w14:paraId="27E08650" w14:textId="77777777" w:rsidR="00A85061" w:rsidRDefault="00A85061">
            <w:pPr>
              <w:rPr>
                <w:rFonts w:ascii="宋体"/>
                <w:vanish/>
              </w:rPr>
            </w:pPr>
          </w:p>
        </w:tc>
        <w:tc>
          <w:tcPr>
            <w:tcW w:w="0" w:type="auto"/>
            <w:gridSpan w:val="3"/>
            <w:shd w:val="clear" w:color="auto" w:fill="auto"/>
            <w:vAlign w:val="bottom"/>
          </w:tcPr>
          <w:p w14:paraId="27E08651" w14:textId="77777777" w:rsidR="00A85061" w:rsidRDefault="00A85061">
            <w:pPr>
              <w:rPr>
                <w:rFonts w:ascii="宋体"/>
                <w:vanish/>
              </w:rPr>
            </w:pPr>
          </w:p>
        </w:tc>
        <w:tc>
          <w:tcPr>
            <w:tcW w:w="0" w:type="auto"/>
            <w:gridSpan w:val="3"/>
            <w:shd w:val="clear" w:color="auto" w:fill="auto"/>
            <w:vAlign w:val="bottom"/>
          </w:tcPr>
          <w:p w14:paraId="27E08652" w14:textId="77777777" w:rsidR="00A85061" w:rsidRDefault="00A85061">
            <w:pPr>
              <w:rPr>
                <w:rFonts w:ascii="宋体"/>
                <w:vanish/>
              </w:rPr>
            </w:pPr>
          </w:p>
        </w:tc>
        <w:tc>
          <w:tcPr>
            <w:tcW w:w="0" w:type="auto"/>
            <w:gridSpan w:val="3"/>
            <w:shd w:val="clear" w:color="auto" w:fill="auto"/>
            <w:vAlign w:val="bottom"/>
          </w:tcPr>
          <w:p w14:paraId="27E08653" w14:textId="77777777" w:rsidR="00A85061" w:rsidRDefault="00A85061">
            <w:pPr>
              <w:rPr>
                <w:rFonts w:ascii="宋体"/>
                <w:vanish/>
              </w:rPr>
            </w:pPr>
          </w:p>
        </w:tc>
        <w:tc>
          <w:tcPr>
            <w:tcW w:w="0" w:type="auto"/>
            <w:gridSpan w:val="3"/>
            <w:shd w:val="clear" w:color="auto" w:fill="auto"/>
            <w:vAlign w:val="bottom"/>
          </w:tcPr>
          <w:p w14:paraId="27E08654" w14:textId="77777777" w:rsidR="00A85061" w:rsidRDefault="00A85061">
            <w:pPr>
              <w:rPr>
                <w:rFonts w:ascii="宋体"/>
                <w:vanish/>
              </w:rPr>
            </w:pPr>
          </w:p>
        </w:tc>
        <w:tc>
          <w:tcPr>
            <w:tcW w:w="0" w:type="auto"/>
            <w:gridSpan w:val="3"/>
            <w:shd w:val="clear" w:color="auto" w:fill="auto"/>
            <w:vAlign w:val="bottom"/>
          </w:tcPr>
          <w:p w14:paraId="27E08655" w14:textId="77777777" w:rsidR="00A85061" w:rsidRDefault="00A85061">
            <w:pPr>
              <w:rPr>
                <w:rFonts w:ascii="宋体"/>
                <w:vanish/>
              </w:rPr>
            </w:pPr>
          </w:p>
        </w:tc>
        <w:tc>
          <w:tcPr>
            <w:tcW w:w="0" w:type="auto"/>
            <w:gridSpan w:val="3"/>
            <w:shd w:val="clear" w:color="auto" w:fill="auto"/>
            <w:vAlign w:val="bottom"/>
          </w:tcPr>
          <w:p w14:paraId="27E08656" w14:textId="77777777" w:rsidR="00A85061" w:rsidRDefault="00A85061">
            <w:pPr>
              <w:rPr>
                <w:rFonts w:ascii="宋体"/>
                <w:vanish/>
              </w:rPr>
            </w:pPr>
          </w:p>
        </w:tc>
      </w:tr>
      <w:tr w:rsidR="00A85061" w14:paraId="27E08664" w14:textId="77777777">
        <w:trPr>
          <w:jc w:val="center"/>
        </w:trPr>
        <w:tc>
          <w:tcPr>
            <w:tcW w:w="0" w:type="auto"/>
            <w:gridSpan w:val="3"/>
            <w:shd w:val="clear" w:color="auto" w:fill="E2EFD9"/>
            <w:tcMar>
              <w:top w:w="40" w:type="dxa"/>
              <w:left w:w="20" w:type="dxa"/>
              <w:bottom w:w="40" w:type="dxa"/>
              <w:right w:w="20" w:type="dxa"/>
            </w:tcMar>
            <w:vAlign w:val="bottom"/>
          </w:tcPr>
          <w:p w14:paraId="27E08658"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659"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65A" w14:textId="77777777" w:rsidR="00A85061" w:rsidRDefault="00F04891">
            <w:pPr>
              <w:jc w:val="right"/>
              <w:textAlignment w:val="bottom"/>
            </w:pPr>
            <w:r>
              <w:rPr>
                <w:rFonts w:ascii="sans-serif" w:eastAsia="sans-serif" w:hAnsi="sans-serif" w:cs="sans-serif"/>
                <w:color w:val="000000"/>
                <w:sz w:val="20"/>
                <w:szCs w:val="20"/>
              </w:rPr>
              <w:t>(691)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65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5C"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65D"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65E" w14:textId="77777777" w:rsidR="00A85061" w:rsidRDefault="00F04891">
            <w:pPr>
              <w:jc w:val="right"/>
              <w:textAlignment w:val="bottom"/>
            </w:pPr>
            <w:r>
              <w:rPr>
                <w:rFonts w:ascii="sans-serif" w:eastAsia="sans-serif" w:hAnsi="sans-serif" w:cs="sans-serif"/>
                <w:color w:val="000000"/>
                <w:sz w:val="20"/>
                <w:szCs w:val="20"/>
              </w:rPr>
              <w:t>(311)</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65F" w14:textId="77777777" w:rsidR="00A85061" w:rsidRDefault="00A85061">
            <w:pPr>
              <w:jc w:val="right"/>
              <w:rPr>
                <w:rFonts w:ascii="宋体"/>
              </w:rPr>
            </w:pPr>
          </w:p>
        </w:tc>
        <w:tc>
          <w:tcPr>
            <w:tcW w:w="0" w:type="auto"/>
            <w:gridSpan w:val="3"/>
            <w:shd w:val="clear" w:color="auto" w:fill="auto"/>
            <w:vAlign w:val="bottom"/>
          </w:tcPr>
          <w:p w14:paraId="27E08660" w14:textId="77777777" w:rsidR="00A85061" w:rsidRDefault="00A85061">
            <w:pPr>
              <w:rPr>
                <w:rFonts w:ascii="宋体"/>
                <w:vanish/>
              </w:rPr>
            </w:pPr>
          </w:p>
        </w:tc>
        <w:tc>
          <w:tcPr>
            <w:tcW w:w="0" w:type="auto"/>
            <w:gridSpan w:val="3"/>
            <w:shd w:val="clear" w:color="auto" w:fill="auto"/>
            <w:vAlign w:val="bottom"/>
          </w:tcPr>
          <w:p w14:paraId="27E08661" w14:textId="77777777" w:rsidR="00A85061" w:rsidRDefault="00A85061">
            <w:pPr>
              <w:rPr>
                <w:rFonts w:ascii="宋体"/>
                <w:vanish/>
              </w:rPr>
            </w:pPr>
          </w:p>
        </w:tc>
        <w:tc>
          <w:tcPr>
            <w:tcW w:w="0" w:type="auto"/>
            <w:gridSpan w:val="3"/>
            <w:shd w:val="clear" w:color="auto" w:fill="auto"/>
            <w:vAlign w:val="bottom"/>
          </w:tcPr>
          <w:p w14:paraId="27E08662" w14:textId="77777777" w:rsidR="00A85061" w:rsidRDefault="00A85061">
            <w:pPr>
              <w:rPr>
                <w:rFonts w:ascii="宋体"/>
                <w:vanish/>
              </w:rPr>
            </w:pPr>
          </w:p>
        </w:tc>
        <w:tc>
          <w:tcPr>
            <w:tcW w:w="0" w:type="auto"/>
            <w:gridSpan w:val="3"/>
            <w:shd w:val="clear" w:color="auto" w:fill="auto"/>
            <w:vAlign w:val="bottom"/>
          </w:tcPr>
          <w:p w14:paraId="27E08663" w14:textId="77777777" w:rsidR="00A85061" w:rsidRDefault="00A85061">
            <w:pPr>
              <w:rPr>
                <w:rFonts w:ascii="宋体"/>
                <w:vanish/>
              </w:rPr>
            </w:pPr>
          </w:p>
        </w:tc>
      </w:tr>
    </w:tbl>
    <w:p w14:paraId="27E08665" w14:textId="77777777" w:rsidR="00A85061" w:rsidRDefault="00F04891">
      <w:pPr>
        <w:spacing w:before="360" w:after="360"/>
        <w:jc w:val="both"/>
      </w:pPr>
      <w:r>
        <w:rPr>
          <w:rFonts w:ascii="sans-serif" w:eastAsia="sans-serif" w:hAnsi="sans-serif" w:cs="sans-serif"/>
          <w:color w:val="00000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w:t>
      </w:r>
      <w:r>
        <w:rPr>
          <w:rFonts w:ascii="sans-serif" w:eastAsia="sans-serif" w:hAnsi="sans-serif" w:cs="sans-serif"/>
          <w:color w:val="000000"/>
          <w:sz w:val="20"/>
          <w:szCs w:val="20"/>
        </w:rPr>
        <w:t xml:space="preserve"> summarizes information pertaining to our revenue from customers based on the invoicing address by geographic regions: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605"/>
        <w:gridCol w:w="36"/>
        <w:gridCol w:w="122"/>
        <w:gridCol w:w="920"/>
        <w:gridCol w:w="36"/>
        <w:gridCol w:w="36"/>
        <w:gridCol w:w="36"/>
        <w:gridCol w:w="36"/>
        <w:gridCol w:w="122"/>
        <w:gridCol w:w="881"/>
        <w:gridCol w:w="36"/>
        <w:gridCol w:w="36"/>
        <w:gridCol w:w="36"/>
        <w:gridCol w:w="36"/>
        <w:gridCol w:w="36"/>
        <w:gridCol w:w="36"/>
        <w:gridCol w:w="36"/>
        <w:gridCol w:w="36"/>
        <w:gridCol w:w="36"/>
        <w:gridCol w:w="36"/>
        <w:gridCol w:w="36"/>
        <w:gridCol w:w="36"/>
        <w:gridCol w:w="36"/>
      </w:tblGrid>
      <w:tr w:rsidR="00A85061" w14:paraId="27E08676" w14:textId="77777777">
        <w:tc>
          <w:tcPr>
            <w:tcW w:w="50" w:type="pct"/>
            <w:shd w:val="clear" w:color="auto" w:fill="auto"/>
            <w:vAlign w:val="bottom"/>
          </w:tcPr>
          <w:p w14:paraId="27E08666" w14:textId="77777777" w:rsidR="00A85061" w:rsidRDefault="00A85061">
            <w:pPr>
              <w:rPr>
                <w:rFonts w:ascii="宋体"/>
              </w:rPr>
            </w:pPr>
          </w:p>
        </w:tc>
        <w:tc>
          <w:tcPr>
            <w:tcW w:w="3578" w:type="pct"/>
            <w:shd w:val="clear" w:color="auto" w:fill="auto"/>
            <w:vAlign w:val="bottom"/>
          </w:tcPr>
          <w:p w14:paraId="27E08667" w14:textId="77777777" w:rsidR="00A85061" w:rsidRDefault="00A85061">
            <w:pPr>
              <w:rPr>
                <w:rFonts w:ascii="宋体"/>
              </w:rPr>
            </w:pPr>
          </w:p>
        </w:tc>
        <w:tc>
          <w:tcPr>
            <w:tcW w:w="5" w:type="pct"/>
            <w:shd w:val="clear" w:color="auto" w:fill="auto"/>
            <w:vAlign w:val="bottom"/>
          </w:tcPr>
          <w:p w14:paraId="27E08668" w14:textId="77777777" w:rsidR="00A85061" w:rsidRDefault="00A85061">
            <w:pPr>
              <w:rPr>
                <w:rFonts w:ascii="宋体"/>
              </w:rPr>
            </w:pPr>
          </w:p>
        </w:tc>
        <w:tc>
          <w:tcPr>
            <w:tcW w:w="50" w:type="pct"/>
            <w:shd w:val="clear" w:color="auto" w:fill="auto"/>
            <w:vAlign w:val="bottom"/>
          </w:tcPr>
          <w:p w14:paraId="27E08669" w14:textId="77777777" w:rsidR="00A85061" w:rsidRDefault="00A85061">
            <w:pPr>
              <w:rPr>
                <w:rFonts w:ascii="宋体"/>
              </w:rPr>
            </w:pPr>
          </w:p>
        </w:tc>
        <w:tc>
          <w:tcPr>
            <w:tcW w:w="610" w:type="pct"/>
            <w:shd w:val="clear" w:color="auto" w:fill="auto"/>
            <w:vAlign w:val="bottom"/>
          </w:tcPr>
          <w:p w14:paraId="27E0866A" w14:textId="77777777" w:rsidR="00A85061" w:rsidRDefault="00A85061">
            <w:pPr>
              <w:rPr>
                <w:rFonts w:ascii="宋体"/>
              </w:rPr>
            </w:pPr>
          </w:p>
        </w:tc>
        <w:tc>
          <w:tcPr>
            <w:tcW w:w="5" w:type="pct"/>
            <w:shd w:val="clear" w:color="auto" w:fill="auto"/>
            <w:vAlign w:val="bottom"/>
          </w:tcPr>
          <w:p w14:paraId="27E0866B" w14:textId="77777777" w:rsidR="00A85061" w:rsidRDefault="00A85061">
            <w:pPr>
              <w:rPr>
                <w:rFonts w:ascii="宋体"/>
              </w:rPr>
            </w:pPr>
          </w:p>
        </w:tc>
        <w:tc>
          <w:tcPr>
            <w:tcW w:w="5" w:type="pct"/>
            <w:shd w:val="clear" w:color="auto" w:fill="auto"/>
            <w:vAlign w:val="bottom"/>
          </w:tcPr>
          <w:p w14:paraId="27E0866C" w14:textId="77777777" w:rsidR="00A85061" w:rsidRDefault="00A85061">
            <w:pPr>
              <w:rPr>
                <w:rFonts w:ascii="宋体"/>
              </w:rPr>
            </w:pPr>
          </w:p>
        </w:tc>
        <w:tc>
          <w:tcPr>
            <w:tcW w:w="26" w:type="pct"/>
            <w:shd w:val="clear" w:color="auto" w:fill="auto"/>
            <w:vAlign w:val="bottom"/>
          </w:tcPr>
          <w:p w14:paraId="27E0866D" w14:textId="77777777" w:rsidR="00A85061" w:rsidRDefault="00A85061">
            <w:pPr>
              <w:rPr>
                <w:rFonts w:ascii="宋体"/>
              </w:rPr>
            </w:pPr>
          </w:p>
        </w:tc>
        <w:tc>
          <w:tcPr>
            <w:tcW w:w="5" w:type="pct"/>
            <w:shd w:val="clear" w:color="auto" w:fill="auto"/>
            <w:vAlign w:val="bottom"/>
          </w:tcPr>
          <w:p w14:paraId="27E0866E" w14:textId="77777777" w:rsidR="00A85061" w:rsidRDefault="00A85061">
            <w:pPr>
              <w:rPr>
                <w:rFonts w:ascii="宋体"/>
              </w:rPr>
            </w:pPr>
          </w:p>
        </w:tc>
        <w:tc>
          <w:tcPr>
            <w:tcW w:w="50" w:type="pct"/>
            <w:shd w:val="clear" w:color="auto" w:fill="auto"/>
            <w:vAlign w:val="bottom"/>
          </w:tcPr>
          <w:p w14:paraId="27E0866F" w14:textId="77777777" w:rsidR="00A85061" w:rsidRDefault="00A85061">
            <w:pPr>
              <w:rPr>
                <w:rFonts w:ascii="宋体"/>
              </w:rPr>
            </w:pPr>
          </w:p>
        </w:tc>
        <w:tc>
          <w:tcPr>
            <w:tcW w:w="610" w:type="pct"/>
            <w:shd w:val="clear" w:color="auto" w:fill="auto"/>
            <w:vAlign w:val="bottom"/>
          </w:tcPr>
          <w:p w14:paraId="27E08670" w14:textId="77777777" w:rsidR="00A85061" w:rsidRDefault="00A85061">
            <w:pPr>
              <w:rPr>
                <w:rFonts w:ascii="宋体"/>
              </w:rPr>
            </w:pPr>
          </w:p>
        </w:tc>
        <w:tc>
          <w:tcPr>
            <w:tcW w:w="5" w:type="pct"/>
            <w:shd w:val="clear" w:color="auto" w:fill="auto"/>
            <w:vAlign w:val="bottom"/>
          </w:tcPr>
          <w:p w14:paraId="27E08671" w14:textId="77777777" w:rsidR="00A85061" w:rsidRDefault="00A85061">
            <w:pPr>
              <w:rPr>
                <w:rFonts w:ascii="宋体"/>
              </w:rPr>
            </w:pPr>
          </w:p>
        </w:tc>
        <w:tc>
          <w:tcPr>
            <w:tcW w:w="0" w:type="auto"/>
            <w:gridSpan w:val="3"/>
            <w:shd w:val="clear" w:color="auto" w:fill="auto"/>
            <w:vAlign w:val="bottom"/>
          </w:tcPr>
          <w:p w14:paraId="27E08672" w14:textId="77777777" w:rsidR="00A85061" w:rsidRDefault="00A85061">
            <w:pPr>
              <w:rPr>
                <w:rFonts w:ascii="宋体"/>
                <w:vanish/>
              </w:rPr>
            </w:pPr>
          </w:p>
        </w:tc>
        <w:tc>
          <w:tcPr>
            <w:tcW w:w="0" w:type="auto"/>
            <w:gridSpan w:val="3"/>
            <w:shd w:val="clear" w:color="auto" w:fill="auto"/>
            <w:vAlign w:val="bottom"/>
          </w:tcPr>
          <w:p w14:paraId="27E08673" w14:textId="77777777" w:rsidR="00A85061" w:rsidRDefault="00A85061">
            <w:pPr>
              <w:rPr>
                <w:rFonts w:ascii="宋体"/>
                <w:vanish/>
              </w:rPr>
            </w:pPr>
          </w:p>
        </w:tc>
        <w:tc>
          <w:tcPr>
            <w:tcW w:w="0" w:type="auto"/>
            <w:gridSpan w:val="3"/>
            <w:shd w:val="clear" w:color="auto" w:fill="auto"/>
            <w:vAlign w:val="bottom"/>
          </w:tcPr>
          <w:p w14:paraId="27E08674" w14:textId="77777777" w:rsidR="00A85061" w:rsidRDefault="00A85061">
            <w:pPr>
              <w:rPr>
                <w:rFonts w:ascii="宋体"/>
                <w:vanish/>
              </w:rPr>
            </w:pPr>
          </w:p>
        </w:tc>
        <w:tc>
          <w:tcPr>
            <w:tcW w:w="0" w:type="auto"/>
            <w:gridSpan w:val="3"/>
            <w:shd w:val="clear" w:color="auto" w:fill="auto"/>
            <w:vAlign w:val="bottom"/>
          </w:tcPr>
          <w:p w14:paraId="27E08675" w14:textId="77777777" w:rsidR="00A85061" w:rsidRDefault="00A85061">
            <w:pPr>
              <w:rPr>
                <w:rFonts w:ascii="宋体"/>
                <w:vanish/>
              </w:rPr>
            </w:pPr>
          </w:p>
        </w:tc>
      </w:tr>
      <w:tr w:rsidR="00A85061" w14:paraId="27E08681" w14:textId="77777777">
        <w:tc>
          <w:tcPr>
            <w:tcW w:w="0" w:type="auto"/>
            <w:gridSpan w:val="3"/>
            <w:shd w:val="clear" w:color="auto" w:fill="auto"/>
            <w:tcMar>
              <w:top w:w="40" w:type="dxa"/>
              <w:left w:w="20" w:type="dxa"/>
              <w:bottom w:w="40" w:type="dxa"/>
              <w:right w:w="20" w:type="dxa"/>
            </w:tcMar>
            <w:vAlign w:val="bottom"/>
          </w:tcPr>
          <w:p w14:paraId="27E08677"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678"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8679" w14:textId="77777777" w:rsidR="00A85061" w:rsidRDefault="00A85061">
            <w:pPr>
              <w:rPr>
                <w:rFonts w:ascii="宋体"/>
                <w:vanish/>
              </w:rPr>
            </w:pPr>
          </w:p>
        </w:tc>
        <w:tc>
          <w:tcPr>
            <w:tcW w:w="0" w:type="auto"/>
            <w:gridSpan w:val="3"/>
            <w:shd w:val="clear" w:color="auto" w:fill="auto"/>
            <w:vAlign w:val="bottom"/>
          </w:tcPr>
          <w:p w14:paraId="27E0867A" w14:textId="77777777" w:rsidR="00A85061" w:rsidRDefault="00A85061">
            <w:pPr>
              <w:rPr>
                <w:rFonts w:ascii="宋体"/>
                <w:vanish/>
              </w:rPr>
            </w:pPr>
          </w:p>
        </w:tc>
        <w:tc>
          <w:tcPr>
            <w:tcW w:w="0" w:type="auto"/>
            <w:shd w:val="clear" w:color="auto" w:fill="auto"/>
            <w:vAlign w:val="bottom"/>
          </w:tcPr>
          <w:p w14:paraId="27E0867B" w14:textId="77777777" w:rsidR="00A85061" w:rsidRDefault="00A85061">
            <w:pPr>
              <w:rPr>
                <w:rFonts w:ascii="宋体"/>
              </w:rPr>
            </w:pPr>
          </w:p>
        </w:tc>
        <w:tc>
          <w:tcPr>
            <w:tcW w:w="0" w:type="auto"/>
            <w:shd w:val="clear" w:color="auto" w:fill="auto"/>
            <w:vAlign w:val="bottom"/>
          </w:tcPr>
          <w:p w14:paraId="27E0867C" w14:textId="77777777" w:rsidR="00A85061" w:rsidRDefault="00A85061">
            <w:pPr>
              <w:rPr>
                <w:rFonts w:ascii="宋体"/>
              </w:rPr>
            </w:pPr>
          </w:p>
        </w:tc>
        <w:tc>
          <w:tcPr>
            <w:tcW w:w="0" w:type="auto"/>
            <w:shd w:val="clear" w:color="auto" w:fill="auto"/>
            <w:vAlign w:val="bottom"/>
          </w:tcPr>
          <w:p w14:paraId="27E0867D" w14:textId="77777777" w:rsidR="00A85061" w:rsidRDefault="00A85061">
            <w:pPr>
              <w:rPr>
                <w:rFonts w:ascii="宋体"/>
              </w:rPr>
            </w:pPr>
          </w:p>
        </w:tc>
        <w:tc>
          <w:tcPr>
            <w:tcW w:w="0" w:type="auto"/>
            <w:shd w:val="clear" w:color="auto" w:fill="auto"/>
            <w:vAlign w:val="bottom"/>
          </w:tcPr>
          <w:p w14:paraId="27E0867E" w14:textId="77777777" w:rsidR="00A85061" w:rsidRDefault="00A85061">
            <w:pPr>
              <w:rPr>
                <w:rFonts w:ascii="宋体"/>
              </w:rPr>
            </w:pPr>
          </w:p>
        </w:tc>
        <w:tc>
          <w:tcPr>
            <w:tcW w:w="0" w:type="auto"/>
            <w:shd w:val="clear" w:color="auto" w:fill="auto"/>
            <w:vAlign w:val="bottom"/>
          </w:tcPr>
          <w:p w14:paraId="27E0867F" w14:textId="77777777" w:rsidR="00A85061" w:rsidRDefault="00A85061">
            <w:pPr>
              <w:rPr>
                <w:rFonts w:ascii="宋体"/>
              </w:rPr>
            </w:pPr>
          </w:p>
        </w:tc>
        <w:tc>
          <w:tcPr>
            <w:tcW w:w="0" w:type="auto"/>
            <w:shd w:val="clear" w:color="auto" w:fill="auto"/>
            <w:vAlign w:val="bottom"/>
          </w:tcPr>
          <w:p w14:paraId="27E08680" w14:textId="77777777" w:rsidR="00A85061" w:rsidRDefault="00A85061">
            <w:pPr>
              <w:rPr>
                <w:rFonts w:ascii="宋体"/>
              </w:rPr>
            </w:pPr>
          </w:p>
        </w:tc>
      </w:tr>
      <w:tr w:rsidR="00A85061" w14:paraId="27E0868A" w14:textId="77777777">
        <w:tc>
          <w:tcPr>
            <w:tcW w:w="0" w:type="auto"/>
            <w:gridSpan w:val="3"/>
            <w:shd w:val="clear" w:color="auto" w:fill="auto"/>
            <w:tcMar>
              <w:top w:w="0" w:type="dxa"/>
              <w:left w:w="20" w:type="dxa"/>
              <w:bottom w:w="0" w:type="dxa"/>
              <w:right w:w="20" w:type="dxa"/>
            </w:tcMar>
            <w:vAlign w:val="bottom"/>
          </w:tcPr>
          <w:p w14:paraId="27E08682"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683"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684"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685"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vAlign w:val="bottom"/>
          </w:tcPr>
          <w:p w14:paraId="27E08686" w14:textId="77777777" w:rsidR="00A85061" w:rsidRDefault="00A85061">
            <w:pPr>
              <w:rPr>
                <w:rFonts w:ascii="宋体"/>
                <w:vanish/>
              </w:rPr>
            </w:pPr>
          </w:p>
        </w:tc>
        <w:tc>
          <w:tcPr>
            <w:tcW w:w="0" w:type="auto"/>
            <w:gridSpan w:val="3"/>
            <w:shd w:val="clear" w:color="auto" w:fill="auto"/>
            <w:vAlign w:val="bottom"/>
          </w:tcPr>
          <w:p w14:paraId="27E08687" w14:textId="77777777" w:rsidR="00A85061" w:rsidRDefault="00A85061">
            <w:pPr>
              <w:rPr>
                <w:rFonts w:ascii="宋体"/>
                <w:vanish/>
              </w:rPr>
            </w:pPr>
          </w:p>
        </w:tc>
        <w:tc>
          <w:tcPr>
            <w:tcW w:w="0" w:type="auto"/>
            <w:gridSpan w:val="3"/>
            <w:shd w:val="clear" w:color="auto" w:fill="auto"/>
            <w:vAlign w:val="bottom"/>
          </w:tcPr>
          <w:p w14:paraId="27E08688" w14:textId="77777777" w:rsidR="00A85061" w:rsidRDefault="00A85061">
            <w:pPr>
              <w:rPr>
                <w:rFonts w:ascii="宋体"/>
                <w:vanish/>
              </w:rPr>
            </w:pPr>
          </w:p>
        </w:tc>
        <w:tc>
          <w:tcPr>
            <w:tcW w:w="0" w:type="auto"/>
            <w:gridSpan w:val="3"/>
            <w:shd w:val="clear" w:color="auto" w:fill="auto"/>
            <w:vAlign w:val="bottom"/>
          </w:tcPr>
          <w:p w14:paraId="27E08689" w14:textId="77777777" w:rsidR="00A85061" w:rsidRDefault="00A85061">
            <w:pPr>
              <w:rPr>
                <w:rFonts w:ascii="宋体"/>
                <w:vanish/>
              </w:rPr>
            </w:pPr>
          </w:p>
        </w:tc>
      </w:tr>
      <w:tr w:rsidR="00A85061" w14:paraId="27E08693" w14:textId="77777777">
        <w:tc>
          <w:tcPr>
            <w:tcW w:w="0" w:type="auto"/>
            <w:gridSpan w:val="3"/>
            <w:shd w:val="clear" w:color="auto" w:fill="auto"/>
            <w:tcMar>
              <w:top w:w="40" w:type="dxa"/>
              <w:left w:w="20" w:type="dxa"/>
              <w:bottom w:w="40" w:type="dxa"/>
              <w:right w:w="20" w:type="dxa"/>
            </w:tcMar>
            <w:vAlign w:val="bottom"/>
          </w:tcPr>
          <w:p w14:paraId="27E0868B"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68C"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68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68E"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vAlign w:val="bottom"/>
          </w:tcPr>
          <w:p w14:paraId="27E0868F" w14:textId="77777777" w:rsidR="00A85061" w:rsidRDefault="00A85061">
            <w:pPr>
              <w:rPr>
                <w:rFonts w:ascii="宋体"/>
                <w:vanish/>
              </w:rPr>
            </w:pPr>
          </w:p>
        </w:tc>
        <w:tc>
          <w:tcPr>
            <w:tcW w:w="0" w:type="auto"/>
            <w:gridSpan w:val="3"/>
            <w:shd w:val="clear" w:color="auto" w:fill="auto"/>
            <w:vAlign w:val="bottom"/>
          </w:tcPr>
          <w:p w14:paraId="27E08690" w14:textId="77777777" w:rsidR="00A85061" w:rsidRDefault="00A85061">
            <w:pPr>
              <w:rPr>
                <w:rFonts w:ascii="宋体"/>
                <w:vanish/>
              </w:rPr>
            </w:pPr>
          </w:p>
        </w:tc>
        <w:tc>
          <w:tcPr>
            <w:tcW w:w="0" w:type="auto"/>
            <w:gridSpan w:val="3"/>
            <w:shd w:val="clear" w:color="auto" w:fill="auto"/>
            <w:vAlign w:val="bottom"/>
          </w:tcPr>
          <w:p w14:paraId="27E08691" w14:textId="77777777" w:rsidR="00A85061" w:rsidRDefault="00A85061">
            <w:pPr>
              <w:rPr>
                <w:rFonts w:ascii="宋体"/>
                <w:vanish/>
              </w:rPr>
            </w:pPr>
          </w:p>
        </w:tc>
        <w:tc>
          <w:tcPr>
            <w:tcW w:w="0" w:type="auto"/>
            <w:gridSpan w:val="3"/>
            <w:shd w:val="clear" w:color="auto" w:fill="auto"/>
            <w:vAlign w:val="bottom"/>
          </w:tcPr>
          <w:p w14:paraId="27E08692" w14:textId="77777777" w:rsidR="00A85061" w:rsidRDefault="00A85061">
            <w:pPr>
              <w:rPr>
                <w:rFonts w:ascii="宋体"/>
                <w:vanish/>
              </w:rPr>
            </w:pPr>
          </w:p>
        </w:tc>
      </w:tr>
      <w:tr w:rsidR="00A85061" w14:paraId="27E0869C" w14:textId="77777777">
        <w:trPr>
          <w:trHeight w:val="60"/>
        </w:trPr>
        <w:tc>
          <w:tcPr>
            <w:tcW w:w="0" w:type="auto"/>
            <w:gridSpan w:val="3"/>
            <w:shd w:val="clear" w:color="auto" w:fill="auto"/>
            <w:tcMar>
              <w:top w:w="0" w:type="dxa"/>
              <w:left w:w="20" w:type="dxa"/>
              <w:bottom w:w="0" w:type="dxa"/>
              <w:right w:w="20" w:type="dxa"/>
            </w:tcMar>
            <w:vAlign w:val="bottom"/>
          </w:tcPr>
          <w:p w14:paraId="27E0869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69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69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697" w14:textId="77777777" w:rsidR="00A85061" w:rsidRDefault="00A85061">
            <w:pPr>
              <w:rPr>
                <w:rFonts w:ascii="宋体"/>
              </w:rPr>
            </w:pPr>
          </w:p>
        </w:tc>
        <w:tc>
          <w:tcPr>
            <w:tcW w:w="0" w:type="auto"/>
            <w:gridSpan w:val="3"/>
            <w:shd w:val="clear" w:color="auto" w:fill="auto"/>
            <w:vAlign w:val="bottom"/>
          </w:tcPr>
          <w:p w14:paraId="27E08698" w14:textId="77777777" w:rsidR="00A85061" w:rsidRDefault="00A85061">
            <w:pPr>
              <w:rPr>
                <w:rFonts w:ascii="宋体"/>
                <w:vanish/>
              </w:rPr>
            </w:pPr>
          </w:p>
        </w:tc>
        <w:tc>
          <w:tcPr>
            <w:tcW w:w="0" w:type="auto"/>
            <w:gridSpan w:val="3"/>
            <w:shd w:val="clear" w:color="auto" w:fill="auto"/>
            <w:vAlign w:val="bottom"/>
          </w:tcPr>
          <w:p w14:paraId="27E08699" w14:textId="77777777" w:rsidR="00A85061" w:rsidRDefault="00A85061">
            <w:pPr>
              <w:rPr>
                <w:rFonts w:ascii="宋体"/>
                <w:vanish/>
              </w:rPr>
            </w:pPr>
          </w:p>
        </w:tc>
        <w:tc>
          <w:tcPr>
            <w:tcW w:w="0" w:type="auto"/>
            <w:gridSpan w:val="3"/>
            <w:shd w:val="clear" w:color="auto" w:fill="auto"/>
            <w:vAlign w:val="bottom"/>
          </w:tcPr>
          <w:p w14:paraId="27E0869A" w14:textId="77777777" w:rsidR="00A85061" w:rsidRDefault="00A85061">
            <w:pPr>
              <w:rPr>
                <w:rFonts w:ascii="宋体"/>
                <w:vanish/>
              </w:rPr>
            </w:pPr>
          </w:p>
        </w:tc>
        <w:tc>
          <w:tcPr>
            <w:tcW w:w="0" w:type="auto"/>
            <w:gridSpan w:val="3"/>
            <w:shd w:val="clear" w:color="auto" w:fill="auto"/>
            <w:vAlign w:val="bottom"/>
          </w:tcPr>
          <w:p w14:paraId="27E0869B" w14:textId="77777777" w:rsidR="00A85061" w:rsidRDefault="00A85061">
            <w:pPr>
              <w:rPr>
                <w:rFonts w:ascii="宋体"/>
                <w:vanish/>
              </w:rPr>
            </w:pPr>
          </w:p>
        </w:tc>
      </w:tr>
      <w:tr w:rsidR="00A85061" w14:paraId="27E086AB" w14:textId="77777777">
        <w:tc>
          <w:tcPr>
            <w:tcW w:w="0" w:type="auto"/>
            <w:gridSpan w:val="3"/>
            <w:shd w:val="clear" w:color="auto" w:fill="auto"/>
            <w:tcMar>
              <w:top w:w="40" w:type="dxa"/>
              <w:left w:w="20" w:type="dxa"/>
              <w:bottom w:w="40" w:type="dxa"/>
              <w:right w:w="20" w:type="dxa"/>
            </w:tcMar>
            <w:vAlign w:val="bottom"/>
          </w:tcPr>
          <w:p w14:paraId="27E0869D"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69E" w14:textId="77777777" w:rsidR="00A85061" w:rsidRDefault="00F04891">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27E0869F" w14:textId="77777777" w:rsidR="00A85061" w:rsidRDefault="00A85061">
            <w:pPr>
              <w:rPr>
                <w:rFonts w:ascii="宋体"/>
              </w:rPr>
            </w:pPr>
          </w:p>
        </w:tc>
        <w:tc>
          <w:tcPr>
            <w:tcW w:w="0" w:type="auto"/>
            <w:shd w:val="clear" w:color="auto" w:fill="auto"/>
            <w:vAlign w:val="bottom"/>
          </w:tcPr>
          <w:p w14:paraId="27E086A0" w14:textId="77777777" w:rsidR="00A85061" w:rsidRDefault="00A85061">
            <w:pPr>
              <w:rPr>
                <w:rFonts w:ascii="宋体"/>
              </w:rPr>
            </w:pPr>
          </w:p>
        </w:tc>
        <w:tc>
          <w:tcPr>
            <w:tcW w:w="0" w:type="auto"/>
            <w:shd w:val="clear" w:color="auto" w:fill="auto"/>
            <w:vAlign w:val="bottom"/>
          </w:tcPr>
          <w:p w14:paraId="27E086A1" w14:textId="77777777" w:rsidR="00A85061" w:rsidRDefault="00A85061">
            <w:pPr>
              <w:rPr>
                <w:rFonts w:ascii="宋体"/>
              </w:rPr>
            </w:pPr>
          </w:p>
        </w:tc>
        <w:tc>
          <w:tcPr>
            <w:tcW w:w="0" w:type="auto"/>
            <w:shd w:val="clear" w:color="auto" w:fill="auto"/>
            <w:vAlign w:val="bottom"/>
          </w:tcPr>
          <w:p w14:paraId="27E086A2" w14:textId="77777777" w:rsidR="00A85061" w:rsidRDefault="00A85061">
            <w:pPr>
              <w:rPr>
                <w:rFonts w:ascii="宋体"/>
              </w:rPr>
            </w:pPr>
          </w:p>
        </w:tc>
        <w:tc>
          <w:tcPr>
            <w:tcW w:w="0" w:type="auto"/>
            <w:shd w:val="clear" w:color="auto" w:fill="auto"/>
            <w:vAlign w:val="bottom"/>
          </w:tcPr>
          <w:p w14:paraId="27E086A3" w14:textId="77777777" w:rsidR="00A85061" w:rsidRDefault="00A85061">
            <w:pPr>
              <w:rPr>
                <w:rFonts w:ascii="宋体"/>
              </w:rPr>
            </w:pPr>
          </w:p>
        </w:tc>
        <w:tc>
          <w:tcPr>
            <w:tcW w:w="0" w:type="auto"/>
            <w:shd w:val="clear" w:color="auto" w:fill="auto"/>
            <w:vAlign w:val="bottom"/>
          </w:tcPr>
          <w:p w14:paraId="27E086A4" w14:textId="77777777" w:rsidR="00A85061" w:rsidRDefault="00A85061">
            <w:pPr>
              <w:rPr>
                <w:rFonts w:ascii="宋体"/>
              </w:rPr>
            </w:pPr>
          </w:p>
        </w:tc>
        <w:tc>
          <w:tcPr>
            <w:tcW w:w="0" w:type="auto"/>
            <w:shd w:val="clear" w:color="auto" w:fill="auto"/>
            <w:vAlign w:val="bottom"/>
          </w:tcPr>
          <w:p w14:paraId="27E086A5" w14:textId="77777777" w:rsidR="00A85061" w:rsidRDefault="00A85061">
            <w:pPr>
              <w:rPr>
                <w:rFonts w:ascii="宋体"/>
              </w:rPr>
            </w:pPr>
          </w:p>
        </w:tc>
        <w:tc>
          <w:tcPr>
            <w:tcW w:w="0" w:type="auto"/>
            <w:shd w:val="clear" w:color="auto" w:fill="auto"/>
            <w:vAlign w:val="bottom"/>
          </w:tcPr>
          <w:p w14:paraId="27E086A6" w14:textId="77777777" w:rsidR="00A85061" w:rsidRDefault="00A85061">
            <w:pPr>
              <w:rPr>
                <w:rFonts w:ascii="宋体"/>
              </w:rPr>
            </w:pPr>
          </w:p>
        </w:tc>
        <w:tc>
          <w:tcPr>
            <w:tcW w:w="0" w:type="auto"/>
            <w:shd w:val="clear" w:color="auto" w:fill="auto"/>
            <w:vAlign w:val="bottom"/>
          </w:tcPr>
          <w:p w14:paraId="27E086A7" w14:textId="77777777" w:rsidR="00A85061" w:rsidRDefault="00A85061">
            <w:pPr>
              <w:rPr>
                <w:rFonts w:ascii="宋体"/>
              </w:rPr>
            </w:pPr>
          </w:p>
        </w:tc>
        <w:tc>
          <w:tcPr>
            <w:tcW w:w="0" w:type="auto"/>
            <w:shd w:val="clear" w:color="auto" w:fill="auto"/>
            <w:vAlign w:val="bottom"/>
          </w:tcPr>
          <w:p w14:paraId="27E086A8" w14:textId="77777777" w:rsidR="00A85061" w:rsidRDefault="00A85061">
            <w:pPr>
              <w:rPr>
                <w:rFonts w:ascii="宋体"/>
              </w:rPr>
            </w:pPr>
          </w:p>
        </w:tc>
        <w:tc>
          <w:tcPr>
            <w:tcW w:w="0" w:type="auto"/>
            <w:shd w:val="clear" w:color="auto" w:fill="auto"/>
            <w:vAlign w:val="bottom"/>
          </w:tcPr>
          <w:p w14:paraId="27E086A9" w14:textId="77777777" w:rsidR="00A85061" w:rsidRDefault="00A85061">
            <w:pPr>
              <w:rPr>
                <w:rFonts w:ascii="宋体"/>
              </w:rPr>
            </w:pPr>
          </w:p>
        </w:tc>
        <w:tc>
          <w:tcPr>
            <w:tcW w:w="0" w:type="auto"/>
            <w:shd w:val="clear" w:color="auto" w:fill="auto"/>
            <w:vAlign w:val="bottom"/>
          </w:tcPr>
          <w:p w14:paraId="27E086AA" w14:textId="77777777" w:rsidR="00A85061" w:rsidRDefault="00A85061">
            <w:pPr>
              <w:rPr>
                <w:rFonts w:ascii="宋体"/>
              </w:rPr>
            </w:pPr>
          </w:p>
        </w:tc>
      </w:tr>
      <w:tr w:rsidR="00A85061" w14:paraId="27E086B4" w14:textId="77777777">
        <w:tc>
          <w:tcPr>
            <w:tcW w:w="0" w:type="auto"/>
            <w:gridSpan w:val="3"/>
            <w:shd w:val="clear" w:color="auto" w:fill="auto"/>
            <w:tcMar>
              <w:top w:w="40" w:type="dxa"/>
              <w:left w:w="20" w:type="dxa"/>
              <w:bottom w:w="40" w:type="dxa"/>
              <w:right w:w="20" w:type="dxa"/>
            </w:tcMar>
            <w:vAlign w:val="bottom"/>
          </w:tcPr>
          <w:p w14:paraId="27E086AC" w14:textId="77777777" w:rsidR="00A85061" w:rsidRDefault="00F04891">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27E086AD"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27E086AE"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6AF"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27E086B0" w14:textId="77777777" w:rsidR="00A85061" w:rsidRDefault="00A85061">
            <w:pPr>
              <w:rPr>
                <w:rFonts w:ascii="宋体"/>
                <w:vanish/>
              </w:rPr>
            </w:pPr>
          </w:p>
        </w:tc>
        <w:tc>
          <w:tcPr>
            <w:tcW w:w="0" w:type="auto"/>
            <w:gridSpan w:val="3"/>
            <w:shd w:val="clear" w:color="auto" w:fill="auto"/>
            <w:vAlign w:val="bottom"/>
          </w:tcPr>
          <w:p w14:paraId="27E086B1" w14:textId="77777777" w:rsidR="00A85061" w:rsidRDefault="00A85061">
            <w:pPr>
              <w:rPr>
                <w:rFonts w:ascii="宋体"/>
                <w:vanish/>
              </w:rPr>
            </w:pPr>
          </w:p>
        </w:tc>
        <w:tc>
          <w:tcPr>
            <w:tcW w:w="0" w:type="auto"/>
            <w:gridSpan w:val="3"/>
            <w:shd w:val="clear" w:color="auto" w:fill="auto"/>
            <w:vAlign w:val="bottom"/>
          </w:tcPr>
          <w:p w14:paraId="27E086B2" w14:textId="77777777" w:rsidR="00A85061" w:rsidRDefault="00A85061">
            <w:pPr>
              <w:rPr>
                <w:rFonts w:ascii="宋体"/>
                <w:vanish/>
              </w:rPr>
            </w:pPr>
          </w:p>
        </w:tc>
        <w:tc>
          <w:tcPr>
            <w:tcW w:w="0" w:type="auto"/>
            <w:gridSpan w:val="3"/>
            <w:shd w:val="clear" w:color="auto" w:fill="auto"/>
            <w:vAlign w:val="bottom"/>
          </w:tcPr>
          <w:p w14:paraId="27E086B3" w14:textId="77777777" w:rsidR="00A85061" w:rsidRDefault="00A85061">
            <w:pPr>
              <w:rPr>
                <w:rFonts w:ascii="宋体"/>
                <w:vanish/>
              </w:rPr>
            </w:pPr>
          </w:p>
        </w:tc>
      </w:tr>
      <w:tr w:rsidR="00A85061" w14:paraId="27E086C1" w14:textId="77777777">
        <w:tc>
          <w:tcPr>
            <w:tcW w:w="0" w:type="auto"/>
            <w:gridSpan w:val="3"/>
            <w:shd w:val="clear" w:color="auto" w:fill="E2EFD9"/>
            <w:tcMar>
              <w:top w:w="40" w:type="dxa"/>
              <w:left w:w="260" w:type="dxa"/>
              <w:bottom w:w="40" w:type="dxa"/>
              <w:right w:w="20" w:type="dxa"/>
            </w:tcMar>
            <w:vAlign w:val="bottom"/>
          </w:tcPr>
          <w:p w14:paraId="27E086B5" w14:textId="77777777" w:rsidR="00A85061" w:rsidRDefault="00F04891">
            <w:pPr>
              <w:textAlignment w:val="bottom"/>
            </w:pPr>
            <w:r>
              <w:rPr>
                <w:rFonts w:ascii="sans-serif" w:eastAsia="sans-serif" w:hAnsi="sans-serif" w:cs="sans-serif"/>
                <w:color w:val="000000"/>
                <w:sz w:val="20"/>
                <w:szCs w:val="20"/>
              </w:rPr>
              <w:t>Taiwan</w:t>
            </w:r>
          </w:p>
        </w:tc>
        <w:tc>
          <w:tcPr>
            <w:tcW w:w="0" w:type="auto"/>
            <w:shd w:val="clear" w:color="auto" w:fill="E2EFD9"/>
            <w:tcMar>
              <w:top w:w="40" w:type="dxa"/>
              <w:left w:w="20" w:type="dxa"/>
              <w:bottom w:w="40" w:type="dxa"/>
              <w:right w:w="0" w:type="dxa"/>
            </w:tcMar>
            <w:vAlign w:val="bottom"/>
          </w:tcPr>
          <w:p w14:paraId="27E086B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6B7" w14:textId="77777777" w:rsidR="00A85061" w:rsidRDefault="00F04891">
            <w:pPr>
              <w:jc w:val="right"/>
              <w:textAlignment w:val="bottom"/>
            </w:pPr>
            <w:r>
              <w:rPr>
                <w:rFonts w:ascii="sans-serif" w:eastAsia="sans-serif" w:hAnsi="sans-serif" w:cs="sans-serif"/>
                <w:color w:val="000000"/>
                <w:sz w:val="20"/>
                <w:szCs w:val="20"/>
              </w:rPr>
              <w:t>1,784 </w:t>
            </w:r>
          </w:p>
        </w:tc>
        <w:tc>
          <w:tcPr>
            <w:tcW w:w="0" w:type="auto"/>
            <w:shd w:val="clear" w:color="auto" w:fill="E2EFD9"/>
            <w:tcMar>
              <w:top w:w="40" w:type="dxa"/>
              <w:left w:w="0" w:type="dxa"/>
              <w:bottom w:w="40" w:type="dxa"/>
              <w:right w:w="20" w:type="dxa"/>
            </w:tcMar>
            <w:vAlign w:val="bottom"/>
          </w:tcPr>
          <w:p w14:paraId="27E086B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B9"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6B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6BB" w14:textId="77777777" w:rsidR="00A85061" w:rsidRDefault="00F04891">
            <w:pPr>
              <w:jc w:val="right"/>
              <w:textAlignment w:val="bottom"/>
            </w:pPr>
            <w:r>
              <w:rPr>
                <w:rFonts w:ascii="sans-serif" w:eastAsia="sans-serif" w:hAnsi="sans-serif" w:cs="sans-serif"/>
                <w:color w:val="000000"/>
                <w:sz w:val="20"/>
                <w:szCs w:val="20"/>
              </w:rPr>
              <w:t>813 </w:t>
            </w:r>
          </w:p>
        </w:tc>
        <w:tc>
          <w:tcPr>
            <w:tcW w:w="0" w:type="auto"/>
            <w:shd w:val="clear" w:color="auto" w:fill="E2EFD9"/>
            <w:tcMar>
              <w:top w:w="40" w:type="dxa"/>
              <w:left w:w="0" w:type="dxa"/>
              <w:bottom w:w="40" w:type="dxa"/>
              <w:right w:w="20" w:type="dxa"/>
            </w:tcMar>
            <w:vAlign w:val="bottom"/>
          </w:tcPr>
          <w:p w14:paraId="27E086BC" w14:textId="77777777" w:rsidR="00A85061" w:rsidRDefault="00A85061">
            <w:pPr>
              <w:jc w:val="right"/>
              <w:rPr>
                <w:rFonts w:ascii="宋体"/>
              </w:rPr>
            </w:pPr>
          </w:p>
        </w:tc>
        <w:tc>
          <w:tcPr>
            <w:tcW w:w="0" w:type="auto"/>
            <w:gridSpan w:val="3"/>
            <w:shd w:val="clear" w:color="auto" w:fill="auto"/>
            <w:vAlign w:val="bottom"/>
          </w:tcPr>
          <w:p w14:paraId="27E086BD" w14:textId="77777777" w:rsidR="00A85061" w:rsidRDefault="00A85061">
            <w:pPr>
              <w:rPr>
                <w:rFonts w:ascii="宋体"/>
                <w:vanish/>
              </w:rPr>
            </w:pPr>
          </w:p>
        </w:tc>
        <w:tc>
          <w:tcPr>
            <w:tcW w:w="0" w:type="auto"/>
            <w:gridSpan w:val="3"/>
            <w:shd w:val="clear" w:color="auto" w:fill="auto"/>
            <w:vAlign w:val="bottom"/>
          </w:tcPr>
          <w:p w14:paraId="27E086BE" w14:textId="77777777" w:rsidR="00A85061" w:rsidRDefault="00A85061">
            <w:pPr>
              <w:rPr>
                <w:rFonts w:ascii="宋体"/>
                <w:vanish/>
              </w:rPr>
            </w:pPr>
          </w:p>
        </w:tc>
        <w:tc>
          <w:tcPr>
            <w:tcW w:w="0" w:type="auto"/>
            <w:gridSpan w:val="3"/>
            <w:shd w:val="clear" w:color="auto" w:fill="auto"/>
            <w:vAlign w:val="bottom"/>
          </w:tcPr>
          <w:p w14:paraId="27E086BF" w14:textId="77777777" w:rsidR="00A85061" w:rsidRDefault="00A85061">
            <w:pPr>
              <w:rPr>
                <w:rFonts w:ascii="宋体"/>
                <w:vanish/>
              </w:rPr>
            </w:pPr>
          </w:p>
        </w:tc>
        <w:tc>
          <w:tcPr>
            <w:tcW w:w="0" w:type="auto"/>
            <w:gridSpan w:val="3"/>
            <w:shd w:val="clear" w:color="auto" w:fill="auto"/>
            <w:vAlign w:val="bottom"/>
          </w:tcPr>
          <w:p w14:paraId="27E086C0" w14:textId="77777777" w:rsidR="00A85061" w:rsidRDefault="00A85061">
            <w:pPr>
              <w:rPr>
                <w:rFonts w:ascii="宋体"/>
                <w:vanish/>
              </w:rPr>
            </w:pPr>
          </w:p>
        </w:tc>
      </w:tr>
      <w:tr w:rsidR="00A85061" w14:paraId="27E086CC" w14:textId="77777777">
        <w:tc>
          <w:tcPr>
            <w:tcW w:w="0" w:type="auto"/>
            <w:gridSpan w:val="3"/>
            <w:shd w:val="clear" w:color="auto" w:fill="FFFFFF"/>
            <w:tcMar>
              <w:top w:w="40" w:type="dxa"/>
              <w:left w:w="260" w:type="dxa"/>
              <w:bottom w:w="40" w:type="dxa"/>
              <w:right w:w="20" w:type="dxa"/>
            </w:tcMar>
            <w:vAlign w:val="bottom"/>
          </w:tcPr>
          <w:p w14:paraId="27E086C2" w14:textId="77777777" w:rsidR="00A85061" w:rsidRDefault="00F04891">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27E086C3" w14:textId="77777777" w:rsidR="00A85061" w:rsidRDefault="00F04891">
            <w:pPr>
              <w:jc w:val="right"/>
              <w:textAlignment w:val="bottom"/>
            </w:pPr>
            <w:r>
              <w:rPr>
                <w:rFonts w:ascii="sans-serif" w:eastAsia="sans-serif" w:hAnsi="sans-serif" w:cs="sans-serif"/>
                <w:color w:val="000000"/>
                <w:sz w:val="20"/>
                <w:szCs w:val="20"/>
              </w:rPr>
              <w:t>1,391 </w:t>
            </w:r>
          </w:p>
        </w:tc>
        <w:tc>
          <w:tcPr>
            <w:tcW w:w="0" w:type="auto"/>
            <w:shd w:val="clear" w:color="auto" w:fill="FFFFFF"/>
            <w:tcMar>
              <w:top w:w="40" w:type="dxa"/>
              <w:left w:w="0" w:type="dxa"/>
              <w:bottom w:w="40" w:type="dxa"/>
              <w:right w:w="20" w:type="dxa"/>
            </w:tcMar>
            <w:vAlign w:val="bottom"/>
          </w:tcPr>
          <w:p w14:paraId="27E086C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6C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6C6" w14:textId="77777777" w:rsidR="00A85061" w:rsidRDefault="00F04891">
            <w:pPr>
              <w:jc w:val="right"/>
              <w:textAlignment w:val="bottom"/>
            </w:pPr>
            <w:r>
              <w:rPr>
                <w:rFonts w:ascii="sans-serif" w:eastAsia="sans-serif" w:hAnsi="sans-serif" w:cs="sans-serif"/>
                <w:color w:val="000000"/>
                <w:sz w:val="20"/>
                <w:szCs w:val="20"/>
              </w:rPr>
              <w:t>758 </w:t>
            </w:r>
          </w:p>
        </w:tc>
        <w:tc>
          <w:tcPr>
            <w:tcW w:w="0" w:type="auto"/>
            <w:shd w:val="clear" w:color="auto" w:fill="FFFFFF"/>
            <w:tcMar>
              <w:top w:w="40" w:type="dxa"/>
              <w:left w:w="0" w:type="dxa"/>
              <w:bottom w:w="40" w:type="dxa"/>
              <w:right w:w="20" w:type="dxa"/>
            </w:tcMar>
            <w:vAlign w:val="bottom"/>
          </w:tcPr>
          <w:p w14:paraId="27E086C7" w14:textId="77777777" w:rsidR="00A85061" w:rsidRDefault="00A85061">
            <w:pPr>
              <w:jc w:val="right"/>
              <w:rPr>
                <w:rFonts w:ascii="宋体"/>
              </w:rPr>
            </w:pPr>
          </w:p>
        </w:tc>
        <w:tc>
          <w:tcPr>
            <w:tcW w:w="0" w:type="auto"/>
            <w:gridSpan w:val="3"/>
            <w:shd w:val="clear" w:color="auto" w:fill="auto"/>
            <w:vAlign w:val="bottom"/>
          </w:tcPr>
          <w:p w14:paraId="27E086C8" w14:textId="77777777" w:rsidR="00A85061" w:rsidRDefault="00A85061">
            <w:pPr>
              <w:rPr>
                <w:rFonts w:ascii="宋体"/>
                <w:vanish/>
              </w:rPr>
            </w:pPr>
          </w:p>
        </w:tc>
        <w:tc>
          <w:tcPr>
            <w:tcW w:w="0" w:type="auto"/>
            <w:gridSpan w:val="3"/>
            <w:shd w:val="clear" w:color="auto" w:fill="auto"/>
            <w:vAlign w:val="bottom"/>
          </w:tcPr>
          <w:p w14:paraId="27E086C9" w14:textId="77777777" w:rsidR="00A85061" w:rsidRDefault="00A85061">
            <w:pPr>
              <w:rPr>
                <w:rFonts w:ascii="宋体"/>
                <w:vanish/>
              </w:rPr>
            </w:pPr>
          </w:p>
        </w:tc>
        <w:tc>
          <w:tcPr>
            <w:tcW w:w="0" w:type="auto"/>
            <w:gridSpan w:val="3"/>
            <w:shd w:val="clear" w:color="auto" w:fill="auto"/>
            <w:vAlign w:val="bottom"/>
          </w:tcPr>
          <w:p w14:paraId="27E086CA" w14:textId="77777777" w:rsidR="00A85061" w:rsidRDefault="00A85061">
            <w:pPr>
              <w:rPr>
                <w:rFonts w:ascii="宋体"/>
                <w:vanish/>
              </w:rPr>
            </w:pPr>
          </w:p>
        </w:tc>
        <w:tc>
          <w:tcPr>
            <w:tcW w:w="0" w:type="auto"/>
            <w:gridSpan w:val="3"/>
            <w:shd w:val="clear" w:color="auto" w:fill="auto"/>
            <w:vAlign w:val="bottom"/>
          </w:tcPr>
          <w:p w14:paraId="27E086CB" w14:textId="77777777" w:rsidR="00A85061" w:rsidRDefault="00A85061">
            <w:pPr>
              <w:rPr>
                <w:rFonts w:ascii="宋体"/>
                <w:vanish/>
              </w:rPr>
            </w:pPr>
          </w:p>
        </w:tc>
      </w:tr>
      <w:tr w:rsidR="00A85061" w14:paraId="27E086D7" w14:textId="77777777">
        <w:tc>
          <w:tcPr>
            <w:tcW w:w="0" w:type="auto"/>
            <w:gridSpan w:val="3"/>
            <w:shd w:val="clear" w:color="auto" w:fill="E2EFD9"/>
            <w:tcMar>
              <w:top w:w="40" w:type="dxa"/>
              <w:left w:w="260" w:type="dxa"/>
              <w:bottom w:w="40" w:type="dxa"/>
              <w:right w:w="20" w:type="dxa"/>
            </w:tcMar>
            <w:vAlign w:val="bottom"/>
          </w:tcPr>
          <w:p w14:paraId="27E086CD" w14:textId="77777777" w:rsidR="00A85061" w:rsidRDefault="00F04891">
            <w:pPr>
              <w:textAlignment w:val="bottom"/>
            </w:pPr>
            <w:r>
              <w:rPr>
                <w:rFonts w:ascii="sans-serif" w:eastAsia="sans-serif" w:hAnsi="sans-serif" w:cs="sans-serif"/>
                <w:color w:val="000000"/>
                <w:sz w:val="20"/>
                <w:szCs w:val="20"/>
              </w:rPr>
              <w:t>Other Asia Pacific</w:t>
            </w:r>
          </w:p>
        </w:tc>
        <w:tc>
          <w:tcPr>
            <w:tcW w:w="0" w:type="auto"/>
            <w:gridSpan w:val="2"/>
            <w:shd w:val="clear" w:color="auto" w:fill="E2EFD9"/>
            <w:tcMar>
              <w:top w:w="40" w:type="dxa"/>
              <w:left w:w="20" w:type="dxa"/>
              <w:bottom w:w="40" w:type="dxa"/>
              <w:right w:w="0" w:type="dxa"/>
            </w:tcMar>
            <w:vAlign w:val="bottom"/>
          </w:tcPr>
          <w:p w14:paraId="27E086CE" w14:textId="77777777" w:rsidR="00A85061" w:rsidRDefault="00F04891">
            <w:pPr>
              <w:jc w:val="right"/>
              <w:textAlignment w:val="bottom"/>
            </w:pPr>
            <w:r>
              <w:rPr>
                <w:rFonts w:ascii="sans-serif" w:eastAsia="sans-serif" w:hAnsi="sans-serif" w:cs="sans-serif"/>
                <w:color w:val="000000"/>
                <w:sz w:val="20"/>
                <w:szCs w:val="20"/>
              </w:rPr>
              <w:t>1,001 </w:t>
            </w:r>
          </w:p>
        </w:tc>
        <w:tc>
          <w:tcPr>
            <w:tcW w:w="0" w:type="auto"/>
            <w:shd w:val="clear" w:color="auto" w:fill="E2EFD9"/>
            <w:tcMar>
              <w:top w:w="40" w:type="dxa"/>
              <w:left w:w="0" w:type="dxa"/>
              <w:bottom w:w="40" w:type="dxa"/>
              <w:right w:w="20" w:type="dxa"/>
            </w:tcMar>
            <w:vAlign w:val="bottom"/>
          </w:tcPr>
          <w:p w14:paraId="27E086C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D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6D1" w14:textId="77777777" w:rsidR="00A85061" w:rsidRDefault="00F04891">
            <w:pPr>
              <w:jc w:val="right"/>
              <w:textAlignment w:val="bottom"/>
            </w:pPr>
            <w:r>
              <w:rPr>
                <w:rFonts w:ascii="sans-serif" w:eastAsia="sans-serif" w:hAnsi="sans-serif" w:cs="sans-serif"/>
                <w:color w:val="000000"/>
                <w:sz w:val="20"/>
                <w:szCs w:val="20"/>
              </w:rPr>
              <w:t>607 </w:t>
            </w:r>
          </w:p>
        </w:tc>
        <w:tc>
          <w:tcPr>
            <w:tcW w:w="0" w:type="auto"/>
            <w:shd w:val="clear" w:color="auto" w:fill="E2EFD9"/>
            <w:tcMar>
              <w:top w:w="40" w:type="dxa"/>
              <w:left w:w="0" w:type="dxa"/>
              <w:bottom w:w="40" w:type="dxa"/>
              <w:right w:w="20" w:type="dxa"/>
            </w:tcMar>
            <w:vAlign w:val="bottom"/>
          </w:tcPr>
          <w:p w14:paraId="27E086D2" w14:textId="77777777" w:rsidR="00A85061" w:rsidRDefault="00A85061">
            <w:pPr>
              <w:jc w:val="right"/>
              <w:rPr>
                <w:rFonts w:ascii="宋体"/>
              </w:rPr>
            </w:pPr>
          </w:p>
        </w:tc>
        <w:tc>
          <w:tcPr>
            <w:tcW w:w="0" w:type="auto"/>
            <w:gridSpan w:val="3"/>
            <w:shd w:val="clear" w:color="auto" w:fill="auto"/>
            <w:vAlign w:val="bottom"/>
          </w:tcPr>
          <w:p w14:paraId="27E086D3" w14:textId="77777777" w:rsidR="00A85061" w:rsidRDefault="00A85061">
            <w:pPr>
              <w:rPr>
                <w:rFonts w:ascii="宋体"/>
                <w:vanish/>
              </w:rPr>
            </w:pPr>
          </w:p>
        </w:tc>
        <w:tc>
          <w:tcPr>
            <w:tcW w:w="0" w:type="auto"/>
            <w:gridSpan w:val="3"/>
            <w:shd w:val="clear" w:color="auto" w:fill="auto"/>
            <w:vAlign w:val="bottom"/>
          </w:tcPr>
          <w:p w14:paraId="27E086D4" w14:textId="77777777" w:rsidR="00A85061" w:rsidRDefault="00A85061">
            <w:pPr>
              <w:rPr>
                <w:rFonts w:ascii="宋体"/>
                <w:vanish/>
              </w:rPr>
            </w:pPr>
          </w:p>
        </w:tc>
        <w:tc>
          <w:tcPr>
            <w:tcW w:w="0" w:type="auto"/>
            <w:gridSpan w:val="3"/>
            <w:shd w:val="clear" w:color="auto" w:fill="auto"/>
            <w:vAlign w:val="bottom"/>
          </w:tcPr>
          <w:p w14:paraId="27E086D5" w14:textId="77777777" w:rsidR="00A85061" w:rsidRDefault="00A85061">
            <w:pPr>
              <w:rPr>
                <w:rFonts w:ascii="宋体"/>
                <w:vanish/>
              </w:rPr>
            </w:pPr>
          </w:p>
        </w:tc>
        <w:tc>
          <w:tcPr>
            <w:tcW w:w="0" w:type="auto"/>
            <w:gridSpan w:val="3"/>
            <w:shd w:val="clear" w:color="auto" w:fill="auto"/>
            <w:vAlign w:val="bottom"/>
          </w:tcPr>
          <w:p w14:paraId="27E086D6" w14:textId="77777777" w:rsidR="00A85061" w:rsidRDefault="00A85061">
            <w:pPr>
              <w:rPr>
                <w:rFonts w:ascii="宋体"/>
                <w:vanish/>
              </w:rPr>
            </w:pPr>
          </w:p>
        </w:tc>
      </w:tr>
      <w:tr w:rsidR="00A85061" w14:paraId="27E086E2" w14:textId="77777777">
        <w:tc>
          <w:tcPr>
            <w:tcW w:w="0" w:type="auto"/>
            <w:gridSpan w:val="3"/>
            <w:shd w:val="clear" w:color="auto" w:fill="FFFFFF"/>
            <w:tcMar>
              <w:top w:w="40" w:type="dxa"/>
              <w:left w:w="260" w:type="dxa"/>
              <w:bottom w:w="40" w:type="dxa"/>
              <w:right w:w="20" w:type="dxa"/>
            </w:tcMar>
            <w:vAlign w:val="bottom"/>
          </w:tcPr>
          <w:p w14:paraId="27E086D8" w14:textId="77777777" w:rsidR="00A85061" w:rsidRDefault="00F04891">
            <w:pPr>
              <w:textAlignment w:val="bottom"/>
            </w:pPr>
            <w:r>
              <w:rPr>
                <w:rFonts w:ascii="sans-serif" w:eastAsia="sans-serif" w:hAnsi="sans-serif" w:cs="sans-serif"/>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27E086D9" w14:textId="77777777" w:rsidR="00A85061" w:rsidRDefault="00F04891">
            <w:pPr>
              <w:jc w:val="right"/>
              <w:textAlignment w:val="bottom"/>
            </w:pPr>
            <w:r>
              <w:rPr>
                <w:rFonts w:ascii="sans-serif" w:eastAsia="sans-serif" w:hAnsi="sans-serif" w:cs="sans-serif"/>
                <w:color w:val="000000"/>
                <w:sz w:val="20"/>
                <w:szCs w:val="20"/>
              </w:rPr>
              <w:t>768 </w:t>
            </w:r>
          </w:p>
        </w:tc>
        <w:tc>
          <w:tcPr>
            <w:tcW w:w="0" w:type="auto"/>
            <w:shd w:val="clear" w:color="auto" w:fill="FFFFFF"/>
            <w:tcMar>
              <w:top w:w="40" w:type="dxa"/>
              <w:left w:w="0" w:type="dxa"/>
              <w:bottom w:w="40" w:type="dxa"/>
              <w:right w:w="20" w:type="dxa"/>
            </w:tcMar>
            <w:vAlign w:val="bottom"/>
          </w:tcPr>
          <w:p w14:paraId="27E086D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6D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6DC" w14:textId="77777777" w:rsidR="00A85061" w:rsidRDefault="00F04891">
            <w:pPr>
              <w:jc w:val="right"/>
              <w:textAlignment w:val="bottom"/>
            </w:pPr>
            <w:r>
              <w:rPr>
                <w:rFonts w:ascii="sans-serif" w:eastAsia="sans-serif" w:hAnsi="sans-serif" w:cs="sans-serif"/>
                <w:color w:val="000000"/>
                <w:sz w:val="20"/>
                <w:szCs w:val="20"/>
              </w:rPr>
              <w:t>497 </w:t>
            </w:r>
          </w:p>
        </w:tc>
        <w:tc>
          <w:tcPr>
            <w:tcW w:w="0" w:type="auto"/>
            <w:shd w:val="clear" w:color="auto" w:fill="FFFFFF"/>
            <w:tcMar>
              <w:top w:w="40" w:type="dxa"/>
              <w:left w:w="0" w:type="dxa"/>
              <w:bottom w:w="40" w:type="dxa"/>
              <w:right w:w="20" w:type="dxa"/>
            </w:tcMar>
            <w:vAlign w:val="bottom"/>
          </w:tcPr>
          <w:p w14:paraId="27E086DD" w14:textId="77777777" w:rsidR="00A85061" w:rsidRDefault="00A85061">
            <w:pPr>
              <w:jc w:val="right"/>
              <w:rPr>
                <w:rFonts w:ascii="宋体"/>
              </w:rPr>
            </w:pPr>
          </w:p>
        </w:tc>
        <w:tc>
          <w:tcPr>
            <w:tcW w:w="0" w:type="auto"/>
            <w:gridSpan w:val="3"/>
            <w:shd w:val="clear" w:color="auto" w:fill="auto"/>
            <w:vAlign w:val="bottom"/>
          </w:tcPr>
          <w:p w14:paraId="27E086DE" w14:textId="77777777" w:rsidR="00A85061" w:rsidRDefault="00A85061">
            <w:pPr>
              <w:rPr>
                <w:rFonts w:ascii="宋体"/>
                <w:vanish/>
              </w:rPr>
            </w:pPr>
          </w:p>
        </w:tc>
        <w:tc>
          <w:tcPr>
            <w:tcW w:w="0" w:type="auto"/>
            <w:gridSpan w:val="3"/>
            <w:shd w:val="clear" w:color="auto" w:fill="auto"/>
            <w:vAlign w:val="bottom"/>
          </w:tcPr>
          <w:p w14:paraId="27E086DF" w14:textId="77777777" w:rsidR="00A85061" w:rsidRDefault="00A85061">
            <w:pPr>
              <w:rPr>
                <w:rFonts w:ascii="宋体"/>
                <w:vanish/>
              </w:rPr>
            </w:pPr>
          </w:p>
        </w:tc>
        <w:tc>
          <w:tcPr>
            <w:tcW w:w="0" w:type="auto"/>
            <w:gridSpan w:val="3"/>
            <w:shd w:val="clear" w:color="auto" w:fill="auto"/>
            <w:vAlign w:val="bottom"/>
          </w:tcPr>
          <w:p w14:paraId="27E086E0" w14:textId="77777777" w:rsidR="00A85061" w:rsidRDefault="00A85061">
            <w:pPr>
              <w:rPr>
                <w:rFonts w:ascii="宋体"/>
                <w:vanish/>
              </w:rPr>
            </w:pPr>
          </w:p>
        </w:tc>
        <w:tc>
          <w:tcPr>
            <w:tcW w:w="0" w:type="auto"/>
            <w:gridSpan w:val="3"/>
            <w:shd w:val="clear" w:color="auto" w:fill="auto"/>
            <w:vAlign w:val="bottom"/>
          </w:tcPr>
          <w:p w14:paraId="27E086E1" w14:textId="77777777" w:rsidR="00A85061" w:rsidRDefault="00A85061">
            <w:pPr>
              <w:rPr>
                <w:rFonts w:ascii="宋体"/>
                <w:vanish/>
              </w:rPr>
            </w:pPr>
          </w:p>
        </w:tc>
      </w:tr>
      <w:tr w:rsidR="00A85061" w14:paraId="27E086ED" w14:textId="77777777">
        <w:tc>
          <w:tcPr>
            <w:tcW w:w="0" w:type="auto"/>
            <w:gridSpan w:val="3"/>
            <w:shd w:val="clear" w:color="auto" w:fill="E2EFD9"/>
            <w:tcMar>
              <w:top w:w="40" w:type="dxa"/>
              <w:left w:w="260" w:type="dxa"/>
              <w:bottom w:w="40" w:type="dxa"/>
              <w:right w:w="20" w:type="dxa"/>
            </w:tcMar>
            <w:vAlign w:val="bottom"/>
          </w:tcPr>
          <w:p w14:paraId="27E086E3" w14:textId="77777777" w:rsidR="00A85061" w:rsidRDefault="00F04891">
            <w:pPr>
              <w:textAlignment w:val="bottom"/>
            </w:pPr>
            <w:r>
              <w:rPr>
                <w:rFonts w:ascii="sans-serif" w:eastAsia="sans-serif" w:hAnsi="sans-serif" w:cs="sans-serif"/>
                <w:color w:val="000000"/>
                <w:sz w:val="20"/>
                <w:szCs w:val="20"/>
              </w:rPr>
              <w:t>Europe</w:t>
            </w:r>
          </w:p>
        </w:tc>
        <w:tc>
          <w:tcPr>
            <w:tcW w:w="0" w:type="auto"/>
            <w:gridSpan w:val="2"/>
            <w:shd w:val="clear" w:color="auto" w:fill="E2EFD9"/>
            <w:tcMar>
              <w:top w:w="40" w:type="dxa"/>
              <w:left w:w="20" w:type="dxa"/>
              <w:bottom w:w="40" w:type="dxa"/>
              <w:right w:w="0" w:type="dxa"/>
            </w:tcMar>
            <w:vAlign w:val="bottom"/>
          </w:tcPr>
          <w:p w14:paraId="27E086E4" w14:textId="77777777" w:rsidR="00A85061" w:rsidRDefault="00F04891">
            <w:pPr>
              <w:jc w:val="right"/>
              <w:textAlignment w:val="bottom"/>
            </w:pPr>
            <w:r>
              <w:rPr>
                <w:rFonts w:ascii="sans-serif" w:eastAsia="sans-serif" w:hAnsi="sans-serif" w:cs="sans-serif"/>
                <w:color w:val="000000"/>
                <w:sz w:val="20"/>
                <w:szCs w:val="20"/>
              </w:rPr>
              <w:t>381 </w:t>
            </w:r>
          </w:p>
        </w:tc>
        <w:tc>
          <w:tcPr>
            <w:tcW w:w="0" w:type="auto"/>
            <w:shd w:val="clear" w:color="auto" w:fill="E2EFD9"/>
            <w:tcMar>
              <w:top w:w="40" w:type="dxa"/>
              <w:left w:w="0" w:type="dxa"/>
              <w:bottom w:w="40" w:type="dxa"/>
              <w:right w:w="20" w:type="dxa"/>
            </w:tcMar>
            <w:vAlign w:val="bottom"/>
          </w:tcPr>
          <w:p w14:paraId="27E086E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E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6E7" w14:textId="77777777" w:rsidR="00A85061" w:rsidRDefault="00F04891">
            <w:pPr>
              <w:jc w:val="right"/>
              <w:textAlignment w:val="bottom"/>
            </w:pPr>
            <w:r>
              <w:rPr>
                <w:rFonts w:ascii="sans-serif" w:eastAsia="sans-serif" w:hAnsi="sans-serif" w:cs="sans-serif"/>
                <w:color w:val="000000"/>
                <w:sz w:val="20"/>
                <w:szCs w:val="20"/>
              </w:rPr>
              <w:t>254 </w:t>
            </w:r>
          </w:p>
        </w:tc>
        <w:tc>
          <w:tcPr>
            <w:tcW w:w="0" w:type="auto"/>
            <w:shd w:val="clear" w:color="auto" w:fill="E2EFD9"/>
            <w:tcMar>
              <w:top w:w="40" w:type="dxa"/>
              <w:left w:w="0" w:type="dxa"/>
              <w:bottom w:w="40" w:type="dxa"/>
              <w:right w:w="20" w:type="dxa"/>
            </w:tcMar>
            <w:vAlign w:val="bottom"/>
          </w:tcPr>
          <w:p w14:paraId="27E086E8" w14:textId="77777777" w:rsidR="00A85061" w:rsidRDefault="00A85061">
            <w:pPr>
              <w:jc w:val="right"/>
              <w:rPr>
                <w:rFonts w:ascii="宋体"/>
              </w:rPr>
            </w:pPr>
          </w:p>
        </w:tc>
        <w:tc>
          <w:tcPr>
            <w:tcW w:w="0" w:type="auto"/>
            <w:gridSpan w:val="3"/>
            <w:shd w:val="clear" w:color="auto" w:fill="auto"/>
            <w:vAlign w:val="bottom"/>
          </w:tcPr>
          <w:p w14:paraId="27E086E9" w14:textId="77777777" w:rsidR="00A85061" w:rsidRDefault="00A85061">
            <w:pPr>
              <w:rPr>
                <w:rFonts w:ascii="宋体"/>
                <w:vanish/>
              </w:rPr>
            </w:pPr>
          </w:p>
        </w:tc>
        <w:tc>
          <w:tcPr>
            <w:tcW w:w="0" w:type="auto"/>
            <w:gridSpan w:val="3"/>
            <w:shd w:val="clear" w:color="auto" w:fill="auto"/>
            <w:vAlign w:val="bottom"/>
          </w:tcPr>
          <w:p w14:paraId="27E086EA" w14:textId="77777777" w:rsidR="00A85061" w:rsidRDefault="00A85061">
            <w:pPr>
              <w:rPr>
                <w:rFonts w:ascii="宋体"/>
                <w:vanish/>
              </w:rPr>
            </w:pPr>
          </w:p>
        </w:tc>
        <w:tc>
          <w:tcPr>
            <w:tcW w:w="0" w:type="auto"/>
            <w:gridSpan w:val="3"/>
            <w:shd w:val="clear" w:color="auto" w:fill="auto"/>
            <w:vAlign w:val="bottom"/>
          </w:tcPr>
          <w:p w14:paraId="27E086EB" w14:textId="77777777" w:rsidR="00A85061" w:rsidRDefault="00A85061">
            <w:pPr>
              <w:rPr>
                <w:rFonts w:ascii="宋体"/>
                <w:vanish/>
              </w:rPr>
            </w:pPr>
          </w:p>
        </w:tc>
        <w:tc>
          <w:tcPr>
            <w:tcW w:w="0" w:type="auto"/>
            <w:gridSpan w:val="3"/>
            <w:shd w:val="clear" w:color="auto" w:fill="auto"/>
            <w:vAlign w:val="bottom"/>
          </w:tcPr>
          <w:p w14:paraId="27E086EC" w14:textId="77777777" w:rsidR="00A85061" w:rsidRDefault="00A85061">
            <w:pPr>
              <w:rPr>
                <w:rFonts w:ascii="宋体"/>
                <w:vanish/>
              </w:rPr>
            </w:pPr>
          </w:p>
        </w:tc>
      </w:tr>
      <w:tr w:rsidR="00A85061" w14:paraId="27E086F8" w14:textId="77777777">
        <w:tc>
          <w:tcPr>
            <w:tcW w:w="0" w:type="auto"/>
            <w:gridSpan w:val="3"/>
            <w:shd w:val="clear" w:color="auto" w:fill="FFFFFF"/>
            <w:tcMar>
              <w:top w:w="40" w:type="dxa"/>
              <w:left w:w="260" w:type="dxa"/>
              <w:bottom w:w="40" w:type="dxa"/>
              <w:right w:w="20" w:type="dxa"/>
            </w:tcMar>
            <w:vAlign w:val="bottom"/>
          </w:tcPr>
          <w:p w14:paraId="27E086EE" w14:textId="77777777" w:rsidR="00A85061" w:rsidRDefault="00F04891">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27E086EF" w14:textId="77777777" w:rsidR="00A85061" w:rsidRDefault="00F04891">
            <w:pPr>
              <w:jc w:val="right"/>
              <w:textAlignment w:val="bottom"/>
            </w:pPr>
            <w:r>
              <w:rPr>
                <w:rFonts w:ascii="sans-serif" w:eastAsia="sans-serif" w:hAnsi="sans-serif" w:cs="sans-serif"/>
                <w:color w:val="000000"/>
                <w:sz w:val="20"/>
                <w:szCs w:val="20"/>
              </w:rPr>
              <w:t>336 </w:t>
            </w:r>
          </w:p>
        </w:tc>
        <w:tc>
          <w:tcPr>
            <w:tcW w:w="0" w:type="auto"/>
            <w:shd w:val="clear" w:color="auto" w:fill="FFFFFF"/>
            <w:tcMar>
              <w:top w:w="40" w:type="dxa"/>
              <w:left w:w="0" w:type="dxa"/>
              <w:bottom w:w="40" w:type="dxa"/>
              <w:right w:w="20" w:type="dxa"/>
            </w:tcMar>
            <w:vAlign w:val="bottom"/>
          </w:tcPr>
          <w:p w14:paraId="27E086F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6F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6F2" w14:textId="77777777" w:rsidR="00A85061" w:rsidRDefault="00F04891">
            <w:pPr>
              <w:jc w:val="right"/>
              <w:textAlignment w:val="bottom"/>
            </w:pPr>
            <w:r>
              <w:rPr>
                <w:rFonts w:ascii="sans-serif" w:eastAsia="sans-serif" w:hAnsi="sans-serif" w:cs="sans-serif"/>
                <w:color w:val="000000"/>
                <w:sz w:val="20"/>
                <w:szCs w:val="20"/>
              </w:rPr>
              <w:t>151 </w:t>
            </w:r>
          </w:p>
        </w:tc>
        <w:tc>
          <w:tcPr>
            <w:tcW w:w="0" w:type="auto"/>
            <w:shd w:val="clear" w:color="auto" w:fill="FFFFFF"/>
            <w:tcMar>
              <w:top w:w="40" w:type="dxa"/>
              <w:left w:w="0" w:type="dxa"/>
              <w:bottom w:w="40" w:type="dxa"/>
              <w:right w:w="20" w:type="dxa"/>
            </w:tcMar>
            <w:vAlign w:val="bottom"/>
          </w:tcPr>
          <w:p w14:paraId="27E086F3" w14:textId="77777777" w:rsidR="00A85061" w:rsidRDefault="00A85061">
            <w:pPr>
              <w:jc w:val="right"/>
              <w:rPr>
                <w:rFonts w:ascii="宋体"/>
              </w:rPr>
            </w:pPr>
          </w:p>
        </w:tc>
        <w:tc>
          <w:tcPr>
            <w:tcW w:w="0" w:type="auto"/>
            <w:gridSpan w:val="3"/>
            <w:shd w:val="clear" w:color="auto" w:fill="auto"/>
            <w:vAlign w:val="bottom"/>
          </w:tcPr>
          <w:p w14:paraId="27E086F4" w14:textId="77777777" w:rsidR="00A85061" w:rsidRDefault="00A85061">
            <w:pPr>
              <w:rPr>
                <w:rFonts w:ascii="宋体"/>
                <w:vanish/>
              </w:rPr>
            </w:pPr>
          </w:p>
        </w:tc>
        <w:tc>
          <w:tcPr>
            <w:tcW w:w="0" w:type="auto"/>
            <w:gridSpan w:val="3"/>
            <w:shd w:val="clear" w:color="auto" w:fill="auto"/>
            <w:vAlign w:val="bottom"/>
          </w:tcPr>
          <w:p w14:paraId="27E086F5" w14:textId="77777777" w:rsidR="00A85061" w:rsidRDefault="00A85061">
            <w:pPr>
              <w:rPr>
                <w:rFonts w:ascii="宋体"/>
                <w:vanish/>
              </w:rPr>
            </w:pPr>
          </w:p>
        </w:tc>
        <w:tc>
          <w:tcPr>
            <w:tcW w:w="0" w:type="auto"/>
            <w:gridSpan w:val="3"/>
            <w:shd w:val="clear" w:color="auto" w:fill="auto"/>
            <w:vAlign w:val="bottom"/>
          </w:tcPr>
          <w:p w14:paraId="27E086F6" w14:textId="77777777" w:rsidR="00A85061" w:rsidRDefault="00A85061">
            <w:pPr>
              <w:rPr>
                <w:rFonts w:ascii="宋体"/>
                <w:vanish/>
              </w:rPr>
            </w:pPr>
          </w:p>
        </w:tc>
        <w:tc>
          <w:tcPr>
            <w:tcW w:w="0" w:type="auto"/>
            <w:gridSpan w:val="3"/>
            <w:shd w:val="clear" w:color="auto" w:fill="auto"/>
            <w:vAlign w:val="bottom"/>
          </w:tcPr>
          <w:p w14:paraId="27E086F7" w14:textId="77777777" w:rsidR="00A85061" w:rsidRDefault="00A85061">
            <w:pPr>
              <w:rPr>
                <w:rFonts w:ascii="宋体"/>
                <w:vanish/>
              </w:rPr>
            </w:pPr>
          </w:p>
        </w:tc>
      </w:tr>
      <w:tr w:rsidR="00A85061" w14:paraId="27E08705" w14:textId="77777777">
        <w:tc>
          <w:tcPr>
            <w:tcW w:w="0" w:type="auto"/>
            <w:gridSpan w:val="3"/>
            <w:shd w:val="clear" w:color="auto" w:fill="E2EFD9"/>
            <w:tcMar>
              <w:top w:w="40" w:type="dxa"/>
              <w:left w:w="20" w:type="dxa"/>
              <w:bottom w:w="40" w:type="dxa"/>
              <w:right w:w="20" w:type="dxa"/>
            </w:tcMar>
            <w:vAlign w:val="bottom"/>
          </w:tcPr>
          <w:p w14:paraId="27E086F9" w14:textId="77777777" w:rsidR="00A85061" w:rsidRDefault="00F04891">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6F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6FB"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6F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6FD"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6FE"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6FF"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700" w14:textId="77777777" w:rsidR="00A85061" w:rsidRDefault="00A85061">
            <w:pPr>
              <w:jc w:val="right"/>
              <w:rPr>
                <w:rFonts w:ascii="宋体"/>
              </w:rPr>
            </w:pPr>
          </w:p>
        </w:tc>
        <w:tc>
          <w:tcPr>
            <w:tcW w:w="0" w:type="auto"/>
            <w:gridSpan w:val="3"/>
            <w:shd w:val="clear" w:color="auto" w:fill="auto"/>
            <w:vAlign w:val="bottom"/>
          </w:tcPr>
          <w:p w14:paraId="27E08701" w14:textId="77777777" w:rsidR="00A85061" w:rsidRDefault="00A85061">
            <w:pPr>
              <w:rPr>
                <w:rFonts w:ascii="宋体"/>
                <w:vanish/>
              </w:rPr>
            </w:pPr>
          </w:p>
        </w:tc>
        <w:tc>
          <w:tcPr>
            <w:tcW w:w="0" w:type="auto"/>
            <w:gridSpan w:val="3"/>
            <w:shd w:val="clear" w:color="auto" w:fill="auto"/>
            <w:vAlign w:val="bottom"/>
          </w:tcPr>
          <w:p w14:paraId="27E08702" w14:textId="77777777" w:rsidR="00A85061" w:rsidRDefault="00A85061">
            <w:pPr>
              <w:rPr>
                <w:rFonts w:ascii="宋体"/>
                <w:vanish/>
              </w:rPr>
            </w:pPr>
          </w:p>
        </w:tc>
        <w:tc>
          <w:tcPr>
            <w:tcW w:w="0" w:type="auto"/>
            <w:gridSpan w:val="3"/>
            <w:shd w:val="clear" w:color="auto" w:fill="auto"/>
            <w:vAlign w:val="bottom"/>
          </w:tcPr>
          <w:p w14:paraId="27E08703" w14:textId="77777777" w:rsidR="00A85061" w:rsidRDefault="00A85061">
            <w:pPr>
              <w:rPr>
                <w:rFonts w:ascii="宋体"/>
                <w:vanish/>
              </w:rPr>
            </w:pPr>
          </w:p>
        </w:tc>
        <w:tc>
          <w:tcPr>
            <w:tcW w:w="0" w:type="auto"/>
            <w:gridSpan w:val="3"/>
            <w:shd w:val="clear" w:color="auto" w:fill="auto"/>
            <w:vAlign w:val="bottom"/>
          </w:tcPr>
          <w:p w14:paraId="27E08704" w14:textId="77777777" w:rsidR="00A85061" w:rsidRDefault="00A85061">
            <w:pPr>
              <w:rPr>
                <w:rFonts w:ascii="宋体"/>
                <w:vanish/>
              </w:rPr>
            </w:pPr>
          </w:p>
        </w:tc>
      </w:tr>
    </w:tbl>
    <w:p w14:paraId="27E08706" w14:textId="77777777" w:rsidR="00A85061" w:rsidRDefault="00F04891">
      <w:pPr>
        <w:spacing w:after="180"/>
        <w:jc w:val="both"/>
      </w:pPr>
      <w:r>
        <w:rPr>
          <w:rFonts w:ascii="sans-serif" w:eastAsia="sans-serif" w:hAnsi="sans-serif" w:cs="sans-serif"/>
          <w:color w:val="000000"/>
          <w:sz w:val="20"/>
          <w:szCs w:val="20"/>
        </w:rPr>
        <w:t>The following table summarizes information pertaining to our revenue by each of the specialized markets we serve:</w:t>
      </w:r>
    </w:p>
    <w:tbl>
      <w:tblPr>
        <w:tblW w:w="5000" w:type="pct"/>
        <w:tblCellMar>
          <w:top w:w="15" w:type="dxa"/>
          <w:left w:w="15" w:type="dxa"/>
          <w:bottom w:w="15" w:type="dxa"/>
          <w:right w:w="15" w:type="dxa"/>
        </w:tblCellMar>
        <w:tblLook w:val="04A0" w:firstRow="1" w:lastRow="0" w:firstColumn="1" w:lastColumn="0" w:noHBand="0" w:noVBand="1"/>
      </w:tblPr>
      <w:tblGrid>
        <w:gridCol w:w="39"/>
        <w:gridCol w:w="5604"/>
        <w:gridCol w:w="36"/>
        <w:gridCol w:w="122"/>
        <w:gridCol w:w="920"/>
        <w:gridCol w:w="36"/>
        <w:gridCol w:w="36"/>
        <w:gridCol w:w="36"/>
        <w:gridCol w:w="36"/>
        <w:gridCol w:w="122"/>
        <w:gridCol w:w="881"/>
        <w:gridCol w:w="36"/>
        <w:gridCol w:w="36"/>
        <w:gridCol w:w="36"/>
        <w:gridCol w:w="36"/>
        <w:gridCol w:w="36"/>
        <w:gridCol w:w="36"/>
        <w:gridCol w:w="36"/>
        <w:gridCol w:w="36"/>
        <w:gridCol w:w="36"/>
        <w:gridCol w:w="36"/>
        <w:gridCol w:w="36"/>
        <w:gridCol w:w="36"/>
        <w:gridCol w:w="36"/>
      </w:tblGrid>
      <w:tr w:rsidR="00A85061" w14:paraId="27E08717" w14:textId="77777777">
        <w:tc>
          <w:tcPr>
            <w:tcW w:w="50" w:type="pct"/>
            <w:shd w:val="clear" w:color="auto" w:fill="auto"/>
            <w:vAlign w:val="bottom"/>
          </w:tcPr>
          <w:p w14:paraId="27E08707" w14:textId="77777777" w:rsidR="00A85061" w:rsidRDefault="00A85061">
            <w:pPr>
              <w:rPr>
                <w:rFonts w:ascii="宋体"/>
              </w:rPr>
            </w:pPr>
          </w:p>
        </w:tc>
        <w:tc>
          <w:tcPr>
            <w:tcW w:w="3578" w:type="pct"/>
            <w:shd w:val="clear" w:color="auto" w:fill="auto"/>
            <w:vAlign w:val="bottom"/>
          </w:tcPr>
          <w:p w14:paraId="27E08708" w14:textId="77777777" w:rsidR="00A85061" w:rsidRDefault="00A85061">
            <w:pPr>
              <w:rPr>
                <w:rFonts w:ascii="宋体"/>
              </w:rPr>
            </w:pPr>
          </w:p>
        </w:tc>
        <w:tc>
          <w:tcPr>
            <w:tcW w:w="5" w:type="pct"/>
            <w:shd w:val="clear" w:color="auto" w:fill="auto"/>
            <w:vAlign w:val="bottom"/>
          </w:tcPr>
          <w:p w14:paraId="27E08709" w14:textId="77777777" w:rsidR="00A85061" w:rsidRDefault="00A85061">
            <w:pPr>
              <w:rPr>
                <w:rFonts w:ascii="宋体"/>
              </w:rPr>
            </w:pPr>
          </w:p>
        </w:tc>
        <w:tc>
          <w:tcPr>
            <w:tcW w:w="50" w:type="pct"/>
            <w:shd w:val="clear" w:color="auto" w:fill="auto"/>
            <w:vAlign w:val="bottom"/>
          </w:tcPr>
          <w:p w14:paraId="27E0870A" w14:textId="77777777" w:rsidR="00A85061" w:rsidRDefault="00A85061">
            <w:pPr>
              <w:rPr>
                <w:rFonts w:ascii="宋体"/>
              </w:rPr>
            </w:pPr>
          </w:p>
        </w:tc>
        <w:tc>
          <w:tcPr>
            <w:tcW w:w="610" w:type="pct"/>
            <w:shd w:val="clear" w:color="auto" w:fill="auto"/>
            <w:vAlign w:val="bottom"/>
          </w:tcPr>
          <w:p w14:paraId="27E0870B" w14:textId="77777777" w:rsidR="00A85061" w:rsidRDefault="00A85061">
            <w:pPr>
              <w:rPr>
                <w:rFonts w:ascii="宋体"/>
              </w:rPr>
            </w:pPr>
          </w:p>
        </w:tc>
        <w:tc>
          <w:tcPr>
            <w:tcW w:w="5" w:type="pct"/>
            <w:shd w:val="clear" w:color="auto" w:fill="auto"/>
            <w:vAlign w:val="bottom"/>
          </w:tcPr>
          <w:p w14:paraId="27E0870C" w14:textId="77777777" w:rsidR="00A85061" w:rsidRDefault="00A85061">
            <w:pPr>
              <w:rPr>
                <w:rFonts w:ascii="宋体"/>
              </w:rPr>
            </w:pPr>
          </w:p>
        </w:tc>
        <w:tc>
          <w:tcPr>
            <w:tcW w:w="5" w:type="pct"/>
            <w:shd w:val="clear" w:color="auto" w:fill="auto"/>
            <w:vAlign w:val="bottom"/>
          </w:tcPr>
          <w:p w14:paraId="27E0870D" w14:textId="77777777" w:rsidR="00A85061" w:rsidRDefault="00A85061">
            <w:pPr>
              <w:rPr>
                <w:rFonts w:ascii="宋体"/>
              </w:rPr>
            </w:pPr>
          </w:p>
        </w:tc>
        <w:tc>
          <w:tcPr>
            <w:tcW w:w="26" w:type="pct"/>
            <w:shd w:val="clear" w:color="auto" w:fill="auto"/>
            <w:vAlign w:val="bottom"/>
          </w:tcPr>
          <w:p w14:paraId="27E0870E" w14:textId="77777777" w:rsidR="00A85061" w:rsidRDefault="00A85061">
            <w:pPr>
              <w:rPr>
                <w:rFonts w:ascii="宋体"/>
              </w:rPr>
            </w:pPr>
          </w:p>
        </w:tc>
        <w:tc>
          <w:tcPr>
            <w:tcW w:w="5" w:type="pct"/>
            <w:shd w:val="clear" w:color="auto" w:fill="auto"/>
            <w:vAlign w:val="bottom"/>
          </w:tcPr>
          <w:p w14:paraId="27E0870F" w14:textId="77777777" w:rsidR="00A85061" w:rsidRDefault="00A85061">
            <w:pPr>
              <w:rPr>
                <w:rFonts w:ascii="宋体"/>
              </w:rPr>
            </w:pPr>
          </w:p>
        </w:tc>
        <w:tc>
          <w:tcPr>
            <w:tcW w:w="50" w:type="pct"/>
            <w:shd w:val="clear" w:color="auto" w:fill="auto"/>
            <w:vAlign w:val="bottom"/>
          </w:tcPr>
          <w:p w14:paraId="27E08710" w14:textId="77777777" w:rsidR="00A85061" w:rsidRDefault="00A85061">
            <w:pPr>
              <w:rPr>
                <w:rFonts w:ascii="宋体"/>
              </w:rPr>
            </w:pPr>
          </w:p>
        </w:tc>
        <w:tc>
          <w:tcPr>
            <w:tcW w:w="610" w:type="pct"/>
            <w:shd w:val="clear" w:color="auto" w:fill="auto"/>
            <w:vAlign w:val="bottom"/>
          </w:tcPr>
          <w:p w14:paraId="27E08711" w14:textId="77777777" w:rsidR="00A85061" w:rsidRDefault="00A85061">
            <w:pPr>
              <w:rPr>
                <w:rFonts w:ascii="宋体"/>
              </w:rPr>
            </w:pPr>
          </w:p>
        </w:tc>
        <w:tc>
          <w:tcPr>
            <w:tcW w:w="5" w:type="pct"/>
            <w:shd w:val="clear" w:color="auto" w:fill="auto"/>
            <w:vAlign w:val="bottom"/>
          </w:tcPr>
          <w:p w14:paraId="27E08712" w14:textId="77777777" w:rsidR="00A85061" w:rsidRDefault="00A85061">
            <w:pPr>
              <w:rPr>
                <w:rFonts w:ascii="宋体"/>
              </w:rPr>
            </w:pPr>
          </w:p>
        </w:tc>
        <w:tc>
          <w:tcPr>
            <w:tcW w:w="0" w:type="auto"/>
            <w:gridSpan w:val="3"/>
            <w:shd w:val="clear" w:color="auto" w:fill="auto"/>
            <w:vAlign w:val="bottom"/>
          </w:tcPr>
          <w:p w14:paraId="27E08713" w14:textId="77777777" w:rsidR="00A85061" w:rsidRDefault="00A85061">
            <w:pPr>
              <w:rPr>
                <w:rFonts w:ascii="宋体"/>
                <w:vanish/>
              </w:rPr>
            </w:pPr>
          </w:p>
        </w:tc>
        <w:tc>
          <w:tcPr>
            <w:tcW w:w="0" w:type="auto"/>
            <w:gridSpan w:val="3"/>
            <w:shd w:val="clear" w:color="auto" w:fill="auto"/>
            <w:vAlign w:val="bottom"/>
          </w:tcPr>
          <w:p w14:paraId="27E08714" w14:textId="77777777" w:rsidR="00A85061" w:rsidRDefault="00A85061">
            <w:pPr>
              <w:rPr>
                <w:rFonts w:ascii="宋体"/>
                <w:vanish/>
              </w:rPr>
            </w:pPr>
          </w:p>
        </w:tc>
        <w:tc>
          <w:tcPr>
            <w:tcW w:w="0" w:type="auto"/>
            <w:gridSpan w:val="3"/>
            <w:shd w:val="clear" w:color="auto" w:fill="auto"/>
            <w:vAlign w:val="bottom"/>
          </w:tcPr>
          <w:p w14:paraId="27E08715" w14:textId="77777777" w:rsidR="00A85061" w:rsidRDefault="00A85061">
            <w:pPr>
              <w:rPr>
                <w:rFonts w:ascii="宋体"/>
                <w:vanish/>
              </w:rPr>
            </w:pPr>
          </w:p>
        </w:tc>
        <w:tc>
          <w:tcPr>
            <w:tcW w:w="0" w:type="auto"/>
            <w:gridSpan w:val="3"/>
            <w:shd w:val="clear" w:color="auto" w:fill="auto"/>
            <w:vAlign w:val="bottom"/>
          </w:tcPr>
          <w:p w14:paraId="27E08716" w14:textId="77777777" w:rsidR="00A85061" w:rsidRDefault="00A85061">
            <w:pPr>
              <w:rPr>
                <w:rFonts w:ascii="宋体"/>
                <w:vanish/>
              </w:rPr>
            </w:pPr>
          </w:p>
        </w:tc>
      </w:tr>
      <w:tr w:rsidR="00A85061" w14:paraId="27E08722" w14:textId="77777777">
        <w:tc>
          <w:tcPr>
            <w:tcW w:w="0" w:type="auto"/>
            <w:gridSpan w:val="3"/>
            <w:shd w:val="clear" w:color="auto" w:fill="auto"/>
            <w:tcMar>
              <w:top w:w="40" w:type="dxa"/>
              <w:left w:w="20" w:type="dxa"/>
              <w:bottom w:w="40" w:type="dxa"/>
              <w:right w:w="20" w:type="dxa"/>
            </w:tcMar>
            <w:vAlign w:val="bottom"/>
          </w:tcPr>
          <w:p w14:paraId="27E08718"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719"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871A" w14:textId="77777777" w:rsidR="00A85061" w:rsidRDefault="00A85061">
            <w:pPr>
              <w:rPr>
                <w:rFonts w:ascii="宋体"/>
                <w:vanish/>
              </w:rPr>
            </w:pPr>
          </w:p>
        </w:tc>
        <w:tc>
          <w:tcPr>
            <w:tcW w:w="0" w:type="auto"/>
            <w:gridSpan w:val="3"/>
            <w:shd w:val="clear" w:color="auto" w:fill="auto"/>
            <w:vAlign w:val="bottom"/>
          </w:tcPr>
          <w:p w14:paraId="27E0871B" w14:textId="77777777" w:rsidR="00A85061" w:rsidRDefault="00A85061">
            <w:pPr>
              <w:rPr>
                <w:rFonts w:ascii="宋体"/>
                <w:vanish/>
              </w:rPr>
            </w:pPr>
          </w:p>
        </w:tc>
        <w:tc>
          <w:tcPr>
            <w:tcW w:w="0" w:type="auto"/>
            <w:shd w:val="clear" w:color="auto" w:fill="auto"/>
            <w:vAlign w:val="bottom"/>
          </w:tcPr>
          <w:p w14:paraId="27E0871C" w14:textId="77777777" w:rsidR="00A85061" w:rsidRDefault="00A85061">
            <w:pPr>
              <w:rPr>
                <w:rFonts w:ascii="宋体"/>
              </w:rPr>
            </w:pPr>
          </w:p>
        </w:tc>
        <w:tc>
          <w:tcPr>
            <w:tcW w:w="0" w:type="auto"/>
            <w:shd w:val="clear" w:color="auto" w:fill="auto"/>
            <w:vAlign w:val="bottom"/>
          </w:tcPr>
          <w:p w14:paraId="27E0871D" w14:textId="77777777" w:rsidR="00A85061" w:rsidRDefault="00A85061">
            <w:pPr>
              <w:rPr>
                <w:rFonts w:ascii="宋体"/>
              </w:rPr>
            </w:pPr>
          </w:p>
        </w:tc>
        <w:tc>
          <w:tcPr>
            <w:tcW w:w="0" w:type="auto"/>
            <w:shd w:val="clear" w:color="auto" w:fill="auto"/>
            <w:vAlign w:val="bottom"/>
          </w:tcPr>
          <w:p w14:paraId="27E0871E" w14:textId="77777777" w:rsidR="00A85061" w:rsidRDefault="00A85061">
            <w:pPr>
              <w:rPr>
                <w:rFonts w:ascii="宋体"/>
              </w:rPr>
            </w:pPr>
          </w:p>
        </w:tc>
        <w:tc>
          <w:tcPr>
            <w:tcW w:w="0" w:type="auto"/>
            <w:shd w:val="clear" w:color="auto" w:fill="auto"/>
            <w:vAlign w:val="bottom"/>
          </w:tcPr>
          <w:p w14:paraId="27E0871F" w14:textId="77777777" w:rsidR="00A85061" w:rsidRDefault="00A85061">
            <w:pPr>
              <w:rPr>
                <w:rFonts w:ascii="宋体"/>
              </w:rPr>
            </w:pPr>
          </w:p>
        </w:tc>
        <w:tc>
          <w:tcPr>
            <w:tcW w:w="0" w:type="auto"/>
            <w:shd w:val="clear" w:color="auto" w:fill="auto"/>
            <w:vAlign w:val="bottom"/>
          </w:tcPr>
          <w:p w14:paraId="27E08720" w14:textId="77777777" w:rsidR="00A85061" w:rsidRDefault="00A85061">
            <w:pPr>
              <w:rPr>
                <w:rFonts w:ascii="宋体"/>
              </w:rPr>
            </w:pPr>
          </w:p>
        </w:tc>
        <w:tc>
          <w:tcPr>
            <w:tcW w:w="0" w:type="auto"/>
            <w:shd w:val="clear" w:color="auto" w:fill="auto"/>
            <w:vAlign w:val="bottom"/>
          </w:tcPr>
          <w:p w14:paraId="27E08721" w14:textId="77777777" w:rsidR="00A85061" w:rsidRDefault="00A85061">
            <w:pPr>
              <w:rPr>
                <w:rFonts w:ascii="宋体"/>
              </w:rPr>
            </w:pPr>
          </w:p>
        </w:tc>
      </w:tr>
      <w:tr w:rsidR="00A85061" w14:paraId="27E0872B" w14:textId="77777777">
        <w:tc>
          <w:tcPr>
            <w:tcW w:w="0" w:type="auto"/>
            <w:gridSpan w:val="3"/>
            <w:shd w:val="clear" w:color="auto" w:fill="auto"/>
            <w:tcMar>
              <w:top w:w="0" w:type="dxa"/>
              <w:left w:w="20" w:type="dxa"/>
              <w:bottom w:w="0" w:type="dxa"/>
              <w:right w:w="20" w:type="dxa"/>
            </w:tcMar>
            <w:vAlign w:val="bottom"/>
          </w:tcPr>
          <w:p w14:paraId="27E08723"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24"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25"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26"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vAlign w:val="bottom"/>
          </w:tcPr>
          <w:p w14:paraId="27E08727" w14:textId="77777777" w:rsidR="00A85061" w:rsidRDefault="00A85061">
            <w:pPr>
              <w:rPr>
                <w:rFonts w:ascii="宋体"/>
                <w:vanish/>
              </w:rPr>
            </w:pPr>
          </w:p>
        </w:tc>
        <w:tc>
          <w:tcPr>
            <w:tcW w:w="0" w:type="auto"/>
            <w:gridSpan w:val="3"/>
            <w:shd w:val="clear" w:color="auto" w:fill="auto"/>
            <w:vAlign w:val="bottom"/>
          </w:tcPr>
          <w:p w14:paraId="27E08728" w14:textId="77777777" w:rsidR="00A85061" w:rsidRDefault="00A85061">
            <w:pPr>
              <w:rPr>
                <w:rFonts w:ascii="宋体"/>
                <w:vanish/>
              </w:rPr>
            </w:pPr>
          </w:p>
        </w:tc>
        <w:tc>
          <w:tcPr>
            <w:tcW w:w="0" w:type="auto"/>
            <w:gridSpan w:val="3"/>
            <w:shd w:val="clear" w:color="auto" w:fill="auto"/>
            <w:vAlign w:val="bottom"/>
          </w:tcPr>
          <w:p w14:paraId="27E08729" w14:textId="77777777" w:rsidR="00A85061" w:rsidRDefault="00A85061">
            <w:pPr>
              <w:rPr>
                <w:rFonts w:ascii="宋体"/>
                <w:vanish/>
              </w:rPr>
            </w:pPr>
          </w:p>
        </w:tc>
        <w:tc>
          <w:tcPr>
            <w:tcW w:w="0" w:type="auto"/>
            <w:gridSpan w:val="3"/>
            <w:shd w:val="clear" w:color="auto" w:fill="auto"/>
            <w:vAlign w:val="bottom"/>
          </w:tcPr>
          <w:p w14:paraId="27E0872A" w14:textId="77777777" w:rsidR="00A85061" w:rsidRDefault="00A85061">
            <w:pPr>
              <w:rPr>
                <w:rFonts w:ascii="宋体"/>
                <w:vanish/>
              </w:rPr>
            </w:pPr>
          </w:p>
        </w:tc>
      </w:tr>
      <w:tr w:rsidR="00A85061" w14:paraId="27E08734" w14:textId="77777777">
        <w:tc>
          <w:tcPr>
            <w:tcW w:w="0" w:type="auto"/>
            <w:gridSpan w:val="3"/>
            <w:shd w:val="clear" w:color="auto" w:fill="auto"/>
            <w:tcMar>
              <w:top w:w="40" w:type="dxa"/>
              <w:left w:w="20" w:type="dxa"/>
              <w:bottom w:w="40" w:type="dxa"/>
              <w:right w:w="20" w:type="dxa"/>
            </w:tcMar>
            <w:vAlign w:val="bottom"/>
          </w:tcPr>
          <w:p w14:paraId="27E0872C"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27E0872D"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72E"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72F"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vAlign w:val="bottom"/>
          </w:tcPr>
          <w:p w14:paraId="27E08730" w14:textId="77777777" w:rsidR="00A85061" w:rsidRDefault="00A85061">
            <w:pPr>
              <w:rPr>
                <w:rFonts w:ascii="宋体"/>
                <w:vanish/>
              </w:rPr>
            </w:pPr>
          </w:p>
        </w:tc>
        <w:tc>
          <w:tcPr>
            <w:tcW w:w="0" w:type="auto"/>
            <w:gridSpan w:val="3"/>
            <w:shd w:val="clear" w:color="auto" w:fill="auto"/>
            <w:vAlign w:val="bottom"/>
          </w:tcPr>
          <w:p w14:paraId="27E08731" w14:textId="77777777" w:rsidR="00A85061" w:rsidRDefault="00A85061">
            <w:pPr>
              <w:rPr>
                <w:rFonts w:ascii="宋体"/>
                <w:vanish/>
              </w:rPr>
            </w:pPr>
          </w:p>
        </w:tc>
        <w:tc>
          <w:tcPr>
            <w:tcW w:w="0" w:type="auto"/>
            <w:gridSpan w:val="3"/>
            <w:shd w:val="clear" w:color="auto" w:fill="auto"/>
            <w:vAlign w:val="bottom"/>
          </w:tcPr>
          <w:p w14:paraId="27E08732" w14:textId="77777777" w:rsidR="00A85061" w:rsidRDefault="00A85061">
            <w:pPr>
              <w:rPr>
                <w:rFonts w:ascii="宋体"/>
                <w:vanish/>
              </w:rPr>
            </w:pPr>
          </w:p>
        </w:tc>
        <w:tc>
          <w:tcPr>
            <w:tcW w:w="0" w:type="auto"/>
            <w:gridSpan w:val="3"/>
            <w:shd w:val="clear" w:color="auto" w:fill="auto"/>
            <w:vAlign w:val="bottom"/>
          </w:tcPr>
          <w:p w14:paraId="27E08733" w14:textId="77777777" w:rsidR="00A85061" w:rsidRDefault="00A85061">
            <w:pPr>
              <w:rPr>
                <w:rFonts w:ascii="宋体"/>
                <w:vanish/>
              </w:rPr>
            </w:pPr>
          </w:p>
        </w:tc>
      </w:tr>
      <w:tr w:rsidR="00A85061" w14:paraId="27E0873D" w14:textId="77777777">
        <w:trPr>
          <w:trHeight w:val="60"/>
        </w:trPr>
        <w:tc>
          <w:tcPr>
            <w:tcW w:w="0" w:type="auto"/>
            <w:gridSpan w:val="3"/>
            <w:shd w:val="clear" w:color="auto" w:fill="auto"/>
            <w:tcMar>
              <w:top w:w="0" w:type="dxa"/>
              <w:left w:w="20" w:type="dxa"/>
              <w:bottom w:w="0" w:type="dxa"/>
              <w:right w:w="20" w:type="dxa"/>
            </w:tcMar>
            <w:vAlign w:val="bottom"/>
          </w:tcPr>
          <w:p w14:paraId="27E08735"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3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737"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38" w14:textId="77777777" w:rsidR="00A85061" w:rsidRDefault="00A85061">
            <w:pPr>
              <w:rPr>
                <w:rFonts w:ascii="宋体"/>
              </w:rPr>
            </w:pPr>
          </w:p>
        </w:tc>
        <w:tc>
          <w:tcPr>
            <w:tcW w:w="0" w:type="auto"/>
            <w:gridSpan w:val="3"/>
            <w:shd w:val="clear" w:color="auto" w:fill="auto"/>
            <w:vAlign w:val="bottom"/>
          </w:tcPr>
          <w:p w14:paraId="27E08739" w14:textId="77777777" w:rsidR="00A85061" w:rsidRDefault="00A85061">
            <w:pPr>
              <w:rPr>
                <w:rFonts w:ascii="宋体"/>
                <w:vanish/>
              </w:rPr>
            </w:pPr>
          </w:p>
        </w:tc>
        <w:tc>
          <w:tcPr>
            <w:tcW w:w="0" w:type="auto"/>
            <w:gridSpan w:val="3"/>
            <w:shd w:val="clear" w:color="auto" w:fill="auto"/>
            <w:vAlign w:val="bottom"/>
          </w:tcPr>
          <w:p w14:paraId="27E0873A" w14:textId="77777777" w:rsidR="00A85061" w:rsidRDefault="00A85061">
            <w:pPr>
              <w:rPr>
                <w:rFonts w:ascii="宋体"/>
                <w:vanish/>
              </w:rPr>
            </w:pPr>
          </w:p>
        </w:tc>
        <w:tc>
          <w:tcPr>
            <w:tcW w:w="0" w:type="auto"/>
            <w:gridSpan w:val="3"/>
            <w:shd w:val="clear" w:color="auto" w:fill="auto"/>
            <w:vAlign w:val="bottom"/>
          </w:tcPr>
          <w:p w14:paraId="27E0873B" w14:textId="77777777" w:rsidR="00A85061" w:rsidRDefault="00A85061">
            <w:pPr>
              <w:rPr>
                <w:rFonts w:ascii="宋体"/>
                <w:vanish/>
              </w:rPr>
            </w:pPr>
          </w:p>
        </w:tc>
        <w:tc>
          <w:tcPr>
            <w:tcW w:w="0" w:type="auto"/>
            <w:gridSpan w:val="3"/>
            <w:shd w:val="clear" w:color="auto" w:fill="auto"/>
            <w:vAlign w:val="bottom"/>
          </w:tcPr>
          <w:p w14:paraId="27E0873C" w14:textId="77777777" w:rsidR="00A85061" w:rsidRDefault="00A85061">
            <w:pPr>
              <w:rPr>
                <w:rFonts w:ascii="宋体"/>
                <w:vanish/>
              </w:rPr>
            </w:pPr>
          </w:p>
        </w:tc>
      </w:tr>
      <w:tr w:rsidR="00A85061" w14:paraId="27E0874C" w14:textId="77777777">
        <w:tc>
          <w:tcPr>
            <w:tcW w:w="0" w:type="auto"/>
            <w:gridSpan w:val="3"/>
            <w:shd w:val="clear" w:color="auto" w:fill="auto"/>
            <w:tcMar>
              <w:top w:w="40" w:type="dxa"/>
              <w:left w:w="20" w:type="dxa"/>
              <w:bottom w:w="40" w:type="dxa"/>
              <w:right w:w="20" w:type="dxa"/>
            </w:tcMar>
            <w:vAlign w:val="bottom"/>
          </w:tcPr>
          <w:p w14:paraId="27E0873E"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73F" w14:textId="77777777" w:rsidR="00A85061" w:rsidRDefault="00F04891">
            <w:pPr>
              <w:jc w:val="center"/>
              <w:textAlignment w:val="bottom"/>
            </w:pPr>
            <w:r>
              <w:rPr>
                <w:rFonts w:ascii="sans-serif" w:eastAsia="sans-serif" w:hAnsi="sans-serif" w:cs="sans-serif"/>
                <w:i/>
                <w:iCs/>
                <w:color w:val="000000"/>
                <w:sz w:val="20"/>
                <w:szCs w:val="20"/>
              </w:rPr>
              <w:t>(In millions)</w:t>
            </w:r>
          </w:p>
        </w:tc>
        <w:tc>
          <w:tcPr>
            <w:tcW w:w="0" w:type="auto"/>
            <w:shd w:val="clear" w:color="auto" w:fill="auto"/>
            <w:vAlign w:val="bottom"/>
          </w:tcPr>
          <w:p w14:paraId="27E08740" w14:textId="77777777" w:rsidR="00A85061" w:rsidRDefault="00A85061">
            <w:pPr>
              <w:rPr>
                <w:rFonts w:ascii="宋体"/>
              </w:rPr>
            </w:pPr>
          </w:p>
        </w:tc>
        <w:tc>
          <w:tcPr>
            <w:tcW w:w="0" w:type="auto"/>
            <w:shd w:val="clear" w:color="auto" w:fill="auto"/>
            <w:vAlign w:val="bottom"/>
          </w:tcPr>
          <w:p w14:paraId="27E08741" w14:textId="77777777" w:rsidR="00A85061" w:rsidRDefault="00A85061">
            <w:pPr>
              <w:rPr>
                <w:rFonts w:ascii="宋体"/>
              </w:rPr>
            </w:pPr>
          </w:p>
        </w:tc>
        <w:tc>
          <w:tcPr>
            <w:tcW w:w="0" w:type="auto"/>
            <w:shd w:val="clear" w:color="auto" w:fill="auto"/>
            <w:vAlign w:val="bottom"/>
          </w:tcPr>
          <w:p w14:paraId="27E08742" w14:textId="77777777" w:rsidR="00A85061" w:rsidRDefault="00A85061">
            <w:pPr>
              <w:rPr>
                <w:rFonts w:ascii="宋体"/>
              </w:rPr>
            </w:pPr>
          </w:p>
        </w:tc>
        <w:tc>
          <w:tcPr>
            <w:tcW w:w="0" w:type="auto"/>
            <w:shd w:val="clear" w:color="auto" w:fill="auto"/>
            <w:vAlign w:val="bottom"/>
          </w:tcPr>
          <w:p w14:paraId="27E08743" w14:textId="77777777" w:rsidR="00A85061" w:rsidRDefault="00A85061">
            <w:pPr>
              <w:rPr>
                <w:rFonts w:ascii="宋体"/>
              </w:rPr>
            </w:pPr>
          </w:p>
        </w:tc>
        <w:tc>
          <w:tcPr>
            <w:tcW w:w="0" w:type="auto"/>
            <w:shd w:val="clear" w:color="auto" w:fill="auto"/>
            <w:vAlign w:val="bottom"/>
          </w:tcPr>
          <w:p w14:paraId="27E08744" w14:textId="77777777" w:rsidR="00A85061" w:rsidRDefault="00A85061">
            <w:pPr>
              <w:rPr>
                <w:rFonts w:ascii="宋体"/>
              </w:rPr>
            </w:pPr>
          </w:p>
        </w:tc>
        <w:tc>
          <w:tcPr>
            <w:tcW w:w="0" w:type="auto"/>
            <w:shd w:val="clear" w:color="auto" w:fill="auto"/>
            <w:vAlign w:val="bottom"/>
          </w:tcPr>
          <w:p w14:paraId="27E08745" w14:textId="77777777" w:rsidR="00A85061" w:rsidRDefault="00A85061">
            <w:pPr>
              <w:rPr>
                <w:rFonts w:ascii="宋体"/>
              </w:rPr>
            </w:pPr>
          </w:p>
        </w:tc>
        <w:tc>
          <w:tcPr>
            <w:tcW w:w="0" w:type="auto"/>
            <w:shd w:val="clear" w:color="auto" w:fill="auto"/>
            <w:vAlign w:val="bottom"/>
          </w:tcPr>
          <w:p w14:paraId="27E08746" w14:textId="77777777" w:rsidR="00A85061" w:rsidRDefault="00A85061">
            <w:pPr>
              <w:rPr>
                <w:rFonts w:ascii="宋体"/>
              </w:rPr>
            </w:pPr>
          </w:p>
        </w:tc>
        <w:tc>
          <w:tcPr>
            <w:tcW w:w="0" w:type="auto"/>
            <w:shd w:val="clear" w:color="auto" w:fill="auto"/>
            <w:vAlign w:val="bottom"/>
          </w:tcPr>
          <w:p w14:paraId="27E08747" w14:textId="77777777" w:rsidR="00A85061" w:rsidRDefault="00A85061">
            <w:pPr>
              <w:rPr>
                <w:rFonts w:ascii="宋体"/>
              </w:rPr>
            </w:pPr>
          </w:p>
        </w:tc>
        <w:tc>
          <w:tcPr>
            <w:tcW w:w="0" w:type="auto"/>
            <w:shd w:val="clear" w:color="auto" w:fill="auto"/>
            <w:vAlign w:val="bottom"/>
          </w:tcPr>
          <w:p w14:paraId="27E08748" w14:textId="77777777" w:rsidR="00A85061" w:rsidRDefault="00A85061">
            <w:pPr>
              <w:rPr>
                <w:rFonts w:ascii="宋体"/>
              </w:rPr>
            </w:pPr>
          </w:p>
        </w:tc>
        <w:tc>
          <w:tcPr>
            <w:tcW w:w="0" w:type="auto"/>
            <w:shd w:val="clear" w:color="auto" w:fill="auto"/>
            <w:vAlign w:val="bottom"/>
          </w:tcPr>
          <w:p w14:paraId="27E08749" w14:textId="77777777" w:rsidR="00A85061" w:rsidRDefault="00A85061">
            <w:pPr>
              <w:rPr>
                <w:rFonts w:ascii="宋体"/>
              </w:rPr>
            </w:pPr>
          </w:p>
        </w:tc>
        <w:tc>
          <w:tcPr>
            <w:tcW w:w="0" w:type="auto"/>
            <w:shd w:val="clear" w:color="auto" w:fill="auto"/>
            <w:vAlign w:val="bottom"/>
          </w:tcPr>
          <w:p w14:paraId="27E0874A" w14:textId="77777777" w:rsidR="00A85061" w:rsidRDefault="00A85061">
            <w:pPr>
              <w:rPr>
                <w:rFonts w:ascii="宋体"/>
              </w:rPr>
            </w:pPr>
          </w:p>
        </w:tc>
        <w:tc>
          <w:tcPr>
            <w:tcW w:w="0" w:type="auto"/>
            <w:shd w:val="clear" w:color="auto" w:fill="auto"/>
            <w:vAlign w:val="bottom"/>
          </w:tcPr>
          <w:p w14:paraId="27E0874B" w14:textId="77777777" w:rsidR="00A85061" w:rsidRDefault="00A85061">
            <w:pPr>
              <w:rPr>
                <w:rFonts w:ascii="宋体"/>
              </w:rPr>
            </w:pPr>
          </w:p>
        </w:tc>
      </w:tr>
      <w:tr w:rsidR="00A85061" w14:paraId="27E08755" w14:textId="77777777">
        <w:tc>
          <w:tcPr>
            <w:tcW w:w="0" w:type="auto"/>
            <w:gridSpan w:val="3"/>
            <w:shd w:val="clear" w:color="auto" w:fill="auto"/>
            <w:tcMar>
              <w:top w:w="40" w:type="dxa"/>
              <w:left w:w="20" w:type="dxa"/>
              <w:bottom w:w="40" w:type="dxa"/>
              <w:right w:w="20" w:type="dxa"/>
            </w:tcMar>
            <w:vAlign w:val="bottom"/>
          </w:tcPr>
          <w:p w14:paraId="27E0874D" w14:textId="77777777" w:rsidR="00A85061" w:rsidRDefault="00F04891">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27E0874E"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27E0874F"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750"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shd w:val="clear" w:color="auto" w:fill="auto"/>
            <w:vAlign w:val="bottom"/>
          </w:tcPr>
          <w:p w14:paraId="27E08751" w14:textId="77777777" w:rsidR="00A85061" w:rsidRDefault="00A85061">
            <w:pPr>
              <w:rPr>
                <w:rFonts w:ascii="宋体"/>
                <w:vanish/>
              </w:rPr>
            </w:pPr>
          </w:p>
        </w:tc>
        <w:tc>
          <w:tcPr>
            <w:tcW w:w="0" w:type="auto"/>
            <w:gridSpan w:val="3"/>
            <w:shd w:val="clear" w:color="auto" w:fill="auto"/>
            <w:vAlign w:val="bottom"/>
          </w:tcPr>
          <w:p w14:paraId="27E08752" w14:textId="77777777" w:rsidR="00A85061" w:rsidRDefault="00A85061">
            <w:pPr>
              <w:rPr>
                <w:rFonts w:ascii="宋体"/>
                <w:vanish/>
              </w:rPr>
            </w:pPr>
          </w:p>
        </w:tc>
        <w:tc>
          <w:tcPr>
            <w:tcW w:w="0" w:type="auto"/>
            <w:gridSpan w:val="3"/>
            <w:shd w:val="clear" w:color="auto" w:fill="auto"/>
            <w:vAlign w:val="bottom"/>
          </w:tcPr>
          <w:p w14:paraId="27E08753" w14:textId="77777777" w:rsidR="00A85061" w:rsidRDefault="00A85061">
            <w:pPr>
              <w:rPr>
                <w:rFonts w:ascii="宋体"/>
                <w:vanish/>
              </w:rPr>
            </w:pPr>
          </w:p>
        </w:tc>
        <w:tc>
          <w:tcPr>
            <w:tcW w:w="0" w:type="auto"/>
            <w:gridSpan w:val="3"/>
            <w:shd w:val="clear" w:color="auto" w:fill="auto"/>
            <w:vAlign w:val="bottom"/>
          </w:tcPr>
          <w:p w14:paraId="27E08754" w14:textId="77777777" w:rsidR="00A85061" w:rsidRDefault="00A85061">
            <w:pPr>
              <w:rPr>
                <w:rFonts w:ascii="宋体"/>
                <w:vanish/>
              </w:rPr>
            </w:pPr>
          </w:p>
        </w:tc>
      </w:tr>
      <w:tr w:rsidR="00A85061" w14:paraId="27E08762" w14:textId="77777777">
        <w:tc>
          <w:tcPr>
            <w:tcW w:w="0" w:type="auto"/>
            <w:gridSpan w:val="3"/>
            <w:shd w:val="clear" w:color="auto" w:fill="E2EFD9"/>
            <w:tcMar>
              <w:top w:w="40" w:type="dxa"/>
              <w:left w:w="245" w:type="dxa"/>
              <w:bottom w:w="40" w:type="dxa"/>
              <w:right w:w="20" w:type="dxa"/>
            </w:tcMar>
            <w:vAlign w:val="bottom"/>
          </w:tcPr>
          <w:p w14:paraId="27E08756" w14:textId="77777777" w:rsidR="00A85061" w:rsidRDefault="00F04891">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27E0875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758" w14:textId="77777777" w:rsidR="00A85061" w:rsidRDefault="00F04891">
            <w:pPr>
              <w:jc w:val="right"/>
              <w:textAlignment w:val="bottom"/>
            </w:pPr>
            <w:r>
              <w:rPr>
                <w:rFonts w:ascii="sans-serif" w:eastAsia="sans-serif" w:hAnsi="sans-serif" w:cs="sans-serif"/>
                <w:color w:val="000000"/>
                <w:sz w:val="20"/>
                <w:szCs w:val="20"/>
              </w:rPr>
              <w:t>2,760 </w:t>
            </w:r>
          </w:p>
        </w:tc>
        <w:tc>
          <w:tcPr>
            <w:tcW w:w="0" w:type="auto"/>
            <w:shd w:val="clear" w:color="auto" w:fill="E2EFD9"/>
            <w:tcMar>
              <w:top w:w="40" w:type="dxa"/>
              <w:left w:w="0" w:type="dxa"/>
              <w:bottom w:w="40" w:type="dxa"/>
              <w:right w:w="20" w:type="dxa"/>
            </w:tcMar>
            <w:vAlign w:val="bottom"/>
          </w:tcPr>
          <w:p w14:paraId="27E0875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75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75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75C" w14:textId="77777777" w:rsidR="00A85061" w:rsidRDefault="00F04891">
            <w:pPr>
              <w:jc w:val="right"/>
              <w:textAlignment w:val="bottom"/>
            </w:pPr>
            <w:r>
              <w:rPr>
                <w:rFonts w:ascii="sans-serif" w:eastAsia="sans-serif" w:hAnsi="sans-serif" w:cs="sans-serif"/>
                <w:color w:val="000000"/>
                <w:sz w:val="20"/>
                <w:szCs w:val="20"/>
              </w:rPr>
              <w:t>1,339 </w:t>
            </w:r>
          </w:p>
        </w:tc>
        <w:tc>
          <w:tcPr>
            <w:tcW w:w="0" w:type="auto"/>
            <w:shd w:val="clear" w:color="auto" w:fill="E2EFD9"/>
            <w:tcMar>
              <w:top w:w="40" w:type="dxa"/>
              <w:left w:w="0" w:type="dxa"/>
              <w:bottom w:w="40" w:type="dxa"/>
              <w:right w:w="20" w:type="dxa"/>
            </w:tcMar>
            <w:vAlign w:val="bottom"/>
          </w:tcPr>
          <w:p w14:paraId="27E0875D" w14:textId="77777777" w:rsidR="00A85061" w:rsidRDefault="00A85061">
            <w:pPr>
              <w:jc w:val="right"/>
              <w:rPr>
                <w:rFonts w:ascii="宋体"/>
              </w:rPr>
            </w:pPr>
          </w:p>
        </w:tc>
        <w:tc>
          <w:tcPr>
            <w:tcW w:w="0" w:type="auto"/>
            <w:gridSpan w:val="3"/>
            <w:shd w:val="clear" w:color="auto" w:fill="auto"/>
            <w:vAlign w:val="bottom"/>
          </w:tcPr>
          <w:p w14:paraId="27E0875E" w14:textId="77777777" w:rsidR="00A85061" w:rsidRDefault="00A85061">
            <w:pPr>
              <w:rPr>
                <w:rFonts w:ascii="宋体"/>
                <w:vanish/>
              </w:rPr>
            </w:pPr>
          </w:p>
        </w:tc>
        <w:tc>
          <w:tcPr>
            <w:tcW w:w="0" w:type="auto"/>
            <w:gridSpan w:val="3"/>
            <w:shd w:val="clear" w:color="auto" w:fill="auto"/>
            <w:vAlign w:val="bottom"/>
          </w:tcPr>
          <w:p w14:paraId="27E0875F" w14:textId="77777777" w:rsidR="00A85061" w:rsidRDefault="00A85061">
            <w:pPr>
              <w:rPr>
                <w:rFonts w:ascii="宋体"/>
                <w:vanish/>
              </w:rPr>
            </w:pPr>
          </w:p>
        </w:tc>
        <w:tc>
          <w:tcPr>
            <w:tcW w:w="0" w:type="auto"/>
            <w:gridSpan w:val="3"/>
            <w:shd w:val="clear" w:color="auto" w:fill="auto"/>
            <w:vAlign w:val="bottom"/>
          </w:tcPr>
          <w:p w14:paraId="27E08760" w14:textId="77777777" w:rsidR="00A85061" w:rsidRDefault="00A85061">
            <w:pPr>
              <w:rPr>
                <w:rFonts w:ascii="宋体"/>
                <w:vanish/>
              </w:rPr>
            </w:pPr>
          </w:p>
        </w:tc>
        <w:tc>
          <w:tcPr>
            <w:tcW w:w="0" w:type="auto"/>
            <w:gridSpan w:val="3"/>
            <w:shd w:val="clear" w:color="auto" w:fill="auto"/>
            <w:vAlign w:val="bottom"/>
          </w:tcPr>
          <w:p w14:paraId="27E08761" w14:textId="77777777" w:rsidR="00A85061" w:rsidRDefault="00A85061">
            <w:pPr>
              <w:rPr>
                <w:rFonts w:ascii="宋体"/>
                <w:vanish/>
              </w:rPr>
            </w:pPr>
          </w:p>
        </w:tc>
      </w:tr>
      <w:tr w:rsidR="00A85061" w14:paraId="27E0876D" w14:textId="77777777">
        <w:tc>
          <w:tcPr>
            <w:tcW w:w="0" w:type="auto"/>
            <w:gridSpan w:val="3"/>
            <w:shd w:val="clear" w:color="auto" w:fill="FFFFFF"/>
            <w:tcMar>
              <w:top w:w="40" w:type="dxa"/>
              <w:left w:w="245" w:type="dxa"/>
              <w:bottom w:w="40" w:type="dxa"/>
              <w:right w:w="20" w:type="dxa"/>
            </w:tcMar>
            <w:vAlign w:val="bottom"/>
          </w:tcPr>
          <w:p w14:paraId="27E08763" w14:textId="77777777" w:rsidR="00A85061" w:rsidRDefault="00F04891">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27E08764" w14:textId="77777777" w:rsidR="00A85061" w:rsidRDefault="00F04891">
            <w:pPr>
              <w:jc w:val="right"/>
              <w:textAlignment w:val="bottom"/>
            </w:pPr>
            <w:r>
              <w:rPr>
                <w:rFonts w:ascii="sans-serif" w:eastAsia="sans-serif" w:hAnsi="sans-serif" w:cs="sans-serif"/>
                <w:color w:val="000000"/>
                <w:sz w:val="20"/>
                <w:szCs w:val="20"/>
              </w:rPr>
              <w:t>2,048 </w:t>
            </w:r>
          </w:p>
        </w:tc>
        <w:tc>
          <w:tcPr>
            <w:tcW w:w="0" w:type="auto"/>
            <w:shd w:val="clear" w:color="auto" w:fill="FFFFFF"/>
            <w:tcMar>
              <w:top w:w="40" w:type="dxa"/>
              <w:left w:w="0" w:type="dxa"/>
              <w:bottom w:w="40" w:type="dxa"/>
              <w:right w:w="20" w:type="dxa"/>
            </w:tcMar>
            <w:vAlign w:val="bottom"/>
          </w:tcPr>
          <w:p w14:paraId="27E0876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766"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767" w14:textId="77777777" w:rsidR="00A85061" w:rsidRDefault="00F04891">
            <w:pPr>
              <w:jc w:val="right"/>
              <w:textAlignment w:val="bottom"/>
            </w:pPr>
            <w:r>
              <w:rPr>
                <w:rFonts w:ascii="sans-serif" w:eastAsia="sans-serif" w:hAnsi="sans-serif" w:cs="sans-serif"/>
                <w:color w:val="000000"/>
                <w:sz w:val="20"/>
                <w:szCs w:val="20"/>
              </w:rPr>
              <w:t>1,141 </w:t>
            </w:r>
          </w:p>
        </w:tc>
        <w:tc>
          <w:tcPr>
            <w:tcW w:w="0" w:type="auto"/>
            <w:shd w:val="clear" w:color="auto" w:fill="FFFFFF"/>
            <w:tcMar>
              <w:top w:w="40" w:type="dxa"/>
              <w:left w:w="0" w:type="dxa"/>
              <w:bottom w:w="40" w:type="dxa"/>
              <w:right w:w="20" w:type="dxa"/>
            </w:tcMar>
            <w:vAlign w:val="bottom"/>
          </w:tcPr>
          <w:p w14:paraId="27E08768" w14:textId="77777777" w:rsidR="00A85061" w:rsidRDefault="00A85061">
            <w:pPr>
              <w:jc w:val="right"/>
              <w:rPr>
                <w:rFonts w:ascii="宋体"/>
              </w:rPr>
            </w:pPr>
          </w:p>
        </w:tc>
        <w:tc>
          <w:tcPr>
            <w:tcW w:w="0" w:type="auto"/>
            <w:gridSpan w:val="3"/>
            <w:shd w:val="clear" w:color="auto" w:fill="auto"/>
            <w:vAlign w:val="bottom"/>
          </w:tcPr>
          <w:p w14:paraId="27E08769" w14:textId="77777777" w:rsidR="00A85061" w:rsidRDefault="00A85061">
            <w:pPr>
              <w:rPr>
                <w:rFonts w:ascii="宋体"/>
                <w:vanish/>
              </w:rPr>
            </w:pPr>
          </w:p>
        </w:tc>
        <w:tc>
          <w:tcPr>
            <w:tcW w:w="0" w:type="auto"/>
            <w:gridSpan w:val="3"/>
            <w:shd w:val="clear" w:color="auto" w:fill="auto"/>
            <w:vAlign w:val="bottom"/>
          </w:tcPr>
          <w:p w14:paraId="27E0876A" w14:textId="77777777" w:rsidR="00A85061" w:rsidRDefault="00A85061">
            <w:pPr>
              <w:rPr>
                <w:rFonts w:ascii="宋体"/>
                <w:vanish/>
              </w:rPr>
            </w:pPr>
          </w:p>
        </w:tc>
        <w:tc>
          <w:tcPr>
            <w:tcW w:w="0" w:type="auto"/>
            <w:gridSpan w:val="3"/>
            <w:shd w:val="clear" w:color="auto" w:fill="auto"/>
            <w:vAlign w:val="bottom"/>
          </w:tcPr>
          <w:p w14:paraId="27E0876B" w14:textId="77777777" w:rsidR="00A85061" w:rsidRDefault="00A85061">
            <w:pPr>
              <w:rPr>
                <w:rFonts w:ascii="宋体"/>
                <w:vanish/>
              </w:rPr>
            </w:pPr>
          </w:p>
        </w:tc>
        <w:tc>
          <w:tcPr>
            <w:tcW w:w="0" w:type="auto"/>
            <w:gridSpan w:val="3"/>
            <w:shd w:val="clear" w:color="auto" w:fill="auto"/>
            <w:vAlign w:val="bottom"/>
          </w:tcPr>
          <w:p w14:paraId="27E0876C" w14:textId="77777777" w:rsidR="00A85061" w:rsidRDefault="00A85061">
            <w:pPr>
              <w:rPr>
                <w:rFonts w:ascii="宋体"/>
                <w:vanish/>
              </w:rPr>
            </w:pPr>
          </w:p>
        </w:tc>
      </w:tr>
      <w:tr w:rsidR="00A85061" w14:paraId="27E08778" w14:textId="77777777">
        <w:tc>
          <w:tcPr>
            <w:tcW w:w="0" w:type="auto"/>
            <w:gridSpan w:val="3"/>
            <w:shd w:val="clear" w:color="auto" w:fill="E2EFD9"/>
            <w:tcMar>
              <w:top w:w="40" w:type="dxa"/>
              <w:left w:w="245" w:type="dxa"/>
              <w:bottom w:w="40" w:type="dxa"/>
              <w:right w:w="20" w:type="dxa"/>
            </w:tcMar>
            <w:vAlign w:val="bottom"/>
          </w:tcPr>
          <w:p w14:paraId="27E0876E" w14:textId="77777777" w:rsidR="00A85061" w:rsidRDefault="00F04891">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27E0876F" w14:textId="77777777" w:rsidR="00A85061" w:rsidRDefault="00F04891">
            <w:pPr>
              <w:jc w:val="right"/>
              <w:textAlignment w:val="bottom"/>
            </w:pPr>
            <w:r>
              <w:rPr>
                <w:rFonts w:ascii="sans-serif" w:eastAsia="sans-serif" w:hAnsi="sans-serif" w:cs="sans-serif"/>
                <w:color w:val="000000"/>
                <w:sz w:val="20"/>
                <w:szCs w:val="20"/>
              </w:rPr>
              <w:t>372 </w:t>
            </w:r>
          </w:p>
        </w:tc>
        <w:tc>
          <w:tcPr>
            <w:tcW w:w="0" w:type="auto"/>
            <w:shd w:val="clear" w:color="auto" w:fill="E2EFD9"/>
            <w:tcMar>
              <w:top w:w="40" w:type="dxa"/>
              <w:left w:w="0" w:type="dxa"/>
              <w:bottom w:w="40" w:type="dxa"/>
              <w:right w:w="20" w:type="dxa"/>
            </w:tcMar>
            <w:vAlign w:val="bottom"/>
          </w:tcPr>
          <w:p w14:paraId="27E0877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77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772" w14:textId="77777777" w:rsidR="00A85061" w:rsidRDefault="00F04891">
            <w:pPr>
              <w:jc w:val="right"/>
              <w:textAlignment w:val="bottom"/>
            </w:pPr>
            <w:r>
              <w:rPr>
                <w:rFonts w:ascii="sans-serif" w:eastAsia="sans-serif" w:hAnsi="sans-serif" w:cs="sans-serif"/>
                <w:color w:val="000000"/>
                <w:sz w:val="20"/>
                <w:szCs w:val="20"/>
              </w:rPr>
              <w:t>307 </w:t>
            </w:r>
          </w:p>
        </w:tc>
        <w:tc>
          <w:tcPr>
            <w:tcW w:w="0" w:type="auto"/>
            <w:shd w:val="clear" w:color="auto" w:fill="E2EFD9"/>
            <w:tcMar>
              <w:top w:w="40" w:type="dxa"/>
              <w:left w:w="0" w:type="dxa"/>
              <w:bottom w:w="40" w:type="dxa"/>
              <w:right w:w="20" w:type="dxa"/>
            </w:tcMar>
            <w:vAlign w:val="bottom"/>
          </w:tcPr>
          <w:p w14:paraId="27E08773" w14:textId="77777777" w:rsidR="00A85061" w:rsidRDefault="00A85061">
            <w:pPr>
              <w:jc w:val="right"/>
              <w:rPr>
                <w:rFonts w:ascii="宋体"/>
              </w:rPr>
            </w:pPr>
          </w:p>
        </w:tc>
        <w:tc>
          <w:tcPr>
            <w:tcW w:w="0" w:type="auto"/>
            <w:gridSpan w:val="3"/>
            <w:shd w:val="clear" w:color="auto" w:fill="auto"/>
            <w:vAlign w:val="bottom"/>
          </w:tcPr>
          <w:p w14:paraId="27E08774" w14:textId="77777777" w:rsidR="00A85061" w:rsidRDefault="00A85061">
            <w:pPr>
              <w:rPr>
                <w:rFonts w:ascii="宋体"/>
                <w:vanish/>
              </w:rPr>
            </w:pPr>
          </w:p>
        </w:tc>
        <w:tc>
          <w:tcPr>
            <w:tcW w:w="0" w:type="auto"/>
            <w:gridSpan w:val="3"/>
            <w:shd w:val="clear" w:color="auto" w:fill="auto"/>
            <w:vAlign w:val="bottom"/>
          </w:tcPr>
          <w:p w14:paraId="27E08775" w14:textId="77777777" w:rsidR="00A85061" w:rsidRDefault="00A85061">
            <w:pPr>
              <w:rPr>
                <w:rFonts w:ascii="宋体"/>
                <w:vanish/>
              </w:rPr>
            </w:pPr>
          </w:p>
        </w:tc>
        <w:tc>
          <w:tcPr>
            <w:tcW w:w="0" w:type="auto"/>
            <w:gridSpan w:val="3"/>
            <w:shd w:val="clear" w:color="auto" w:fill="auto"/>
            <w:vAlign w:val="bottom"/>
          </w:tcPr>
          <w:p w14:paraId="27E08776" w14:textId="77777777" w:rsidR="00A85061" w:rsidRDefault="00A85061">
            <w:pPr>
              <w:rPr>
                <w:rFonts w:ascii="宋体"/>
                <w:vanish/>
              </w:rPr>
            </w:pPr>
          </w:p>
        </w:tc>
        <w:tc>
          <w:tcPr>
            <w:tcW w:w="0" w:type="auto"/>
            <w:gridSpan w:val="3"/>
            <w:shd w:val="clear" w:color="auto" w:fill="auto"/>
            <w:vAlign w:val="bottom"/>
          </w:tcPr>
          <w:p w14:paraId="27E08777" w14:textId="77777777" w:rsidR="00A85061" w:rsidRDefault="00A85061">
            <w:pPr>
              <w:rPr>
                <w:rFonts w:ascii="宋体"/>
                <w:vanish/>
              </w:rPr>
            </w:pPr>
          </w:p>
        </w:tc>
      </w:tr>
      <w:tr w:rsidR="00A85061" w14:paraId="27E08783" w14:textId="77777777">
        <w:tc>
          <w:tcPr>
            <w:tcW w:w="0" w:type="auto"/>
            <w:gridSpan w:val="3"/>
            <w:shd w:val="clear" w:color="auto" w:fill="FFFFFF"/>
            <w:tcMar>
              <w:top w:w="40" w:type="dxa"/>
              <w:left w:w="245" w:type="dxa"/>
              <w:bottom w:w="40" w:type="dxa"/>
              <w:right w:w="20" w:type="dxa"/>
            </w:tcMar>
            <w:vAlign w:val="bottom"/>
          </w:tcPr>
          <w:p w14:paraId="27E08779" w14:textId="77777777" w:rsidR="00A85061" w:rsidRDefault="00F04891">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27E0877A" w14:textId="77777777" w:rsidR="00A85061" w:rsidRDefault="00F04891">
            <w:pPr>
              <w:jc w:val="right"/>
              <w:textAlignment w:val="bottom"/>
            </w:pPr>
            <w:r>
              <w:rPr>
                <w:rFonts w:ascii="sans-serif" w:eastAsia="sans-serif" w:hAnsi="sans-serif" w:cs="sans-serif"/>
                <w:color w:val="000000"/>
                <w:sz w:val="20"/>
                <w:szCs w:val="20"/>
              </w:rPr>
              <w:t>154 </w:t>
            </w:r>
          </w:p>
        </w:tc>
        <w:tc>
          <w:tcPr>
            <w:tcW w:w="0" w:type="auto"/>
            <w:shd w:val="clear" w:color="auto" w:fill="FFFFFF"/>
            <w:tcMar>
              <w:top w:w="40" w:type="dxa"/>
              <w:left w:w="0" w:type="dxa"/>
              <w:bottom w:w="40" w:type="dxa"/>
              <w:right w:w="20" w:type="dxa"/>
            </w:tcMar>
            <w:vAlign w:val="bottom"/>
          </w:tcPr>
          <w:p w14:paraId="27E0877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77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77D" w14:textId="77777777" w:rsidR="00A85061" w:rsidRDefault="00F04891">
            <w:pPr>
              <w:jc w:val="right"/>
              <w:textAlignment w:val="bottom"/>
            </w:pPr>
            <w:r>
              <w:rPr>
                <w:rFonts w:ascii="sans-serif" w:eastAsia="sans-serif" w:hAnsi="sans-serif" w:cs="sans-serif"/>
                <w:color w:val="000000"/>
                <w:sz w:val="20"/>
                <w:szCs w:val="20"/>
              </w:rPr>
              <w:t>155 </w:t>
            </w:r>
          </w:p>
        </w:tc>
        <w:tc>
          <w:tcPr>
            <w:tcW w:w="0" w:type="auto"/>
            <w:shd w:val="clear" w:color="auto" w:fill="FFFFFF"/>
            <w:tcMar>
              <w:top w:w="40" w:type="dxa"/>
              <w:left w:w="0" w:type="dxa"/>
              <w:bottom w:w="40" w:type="dxa"/>
              <w:right w:w="20" w:type="dxa"/>
            </w:tcMar>
            <w:vAlign w:val="bottom"/>
          </w:tcPr>
          <w:p w14:paraId="27E0877E" w14:textId="77777777" w:rsidR="00A85061" w:rsidRDefault="00A85061">
            <w:pPr>
              <w:jc w:val="right"/>
              <w:rPr>
                <w:rFonts w:ascii="宋体"/>
              </w:rPr>
            </w:pPr>
          </w:p>
        </w:tc>
        <w:tc>
          <w:tcPr>
            <w:tcW w:w="0" w:type="auto"/>
            <w:gridSpan w:val="3"/>
            <w:shd w:val="clear" w:color="auto" w:fill="auto"/>
            <w:vAlign w:val="bottom"/>
          </w:tcPr>
          <w:p w14:paraId="27E0877F" w14:textId="77777777" w:rsidR="00A85061" w:rsidRDefault="00A85061">
            <w:pPr>
              <w:rPr>
                <w:rFonts w:ascii="宋体"/>
                <w:vanish/>
              </w:rPr>
            </w:pPr>
          </w:p>
        </w:tc>
        <w:tc>
          <w:tcPr>
            <w:tcW w:w="0" w:type="auto"/>
            <w:gridSpan w:val="3"/>
            <w:shd w:val="clear" w:color="auto" w:fill="auto"/>
            <w:vAlign w:val="bottom"/>
          </w:tcPr>
          <w:p w14:paraId="27E08780" w14:textId="77777777" w:rsidR="00A85061" w:rsidRDefault="00A85061">
            <w:pPr>
              <w:rPr>
                <w:rFonts w:ascii="宋体"/>
                <w:vanish/>
              </w:rPr>
            </w:pPr>
          </w:p>
        </w:tc>
        <w:tc>
          <w:tcPr>
            <w:tcW w:w="0" w:type="auto"/>
            <w:gridSpan w:val="3"/>
            <w:shd w:val="clear" w:color="auto" w:fill="auto"/>
            <w:vAlign w:val="bottom"/>
          </w:tcPr>
          <w:p w14:paraId="27E08781" w14:textId="77777777" w:rsidR="00A85061" w:rsidRDefault="00A85061">
            <w:pPr>
              <w:rPr>
                <w:rFonts w:ascii="宋体"/>
                <w:vanish/>
              </w:rPr>
            </w:pPr>
          </w:p>
        </w:tc>
        <w:tc>
          <w:tcPr>
            <w:tcW w:w="0" w:type="auto"/>
            <w:gridSpan w:val="3"/>
            <w:shd w:val="clear" w:color="auto" w:fill="auto"/>
            <w:vAlign w:val="bottom"/>
          </w:tcPr>
          <w:p w14:paraId="27E08782" w14:textId="77777777" w:rsidR="00A85061" w:rsidRDefault="00A85061">
            <w:pPr>
              <w:rPr>
                <w:rFonts w:ascii="宋体"/>
                <w:vanish/>
              </w:rPr>
            </w:pPr>
          </w:p>
        </w:tc>
      </w:tr>
      <w:tr w:rsidR="00A85061" w14:paraId="27E0878E" w14:textId="77777777">
        <w:tc>
          <w:tcPr>
            <w:tcW w:w="0" w:type="auto"/>
            <w:gridSpan w:val="3"/>
            <w:shd w:val="clear" w:color="auto" w:fill="E2EFD9"/>
            <w:tcMar>
              <w:top w:w="40" w:type="dxa"/>
              <w:left w:w="245" w:type="dxa"/>
              <w:bottom w:w="40" w:type="dxa"/>
              <w:right w:w="20" w:type="dxa"/>
            </w:tcMar>
            <w:vAlign w:val="bottom"/>
          </w:tcPr>
          <w:p w14:paraId="27E08784" w14:textId="77777777" w:rsidR="00A85061" w:rsidRDefault="00F04891">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27E08785" w14:textId="77777777" w:rsidR="00A85061" w:rsidRDefault="00F04891">
            <w:pPr>
              <w:jc w:val="right"/>
              <w:textAlignment w:val="bottom"/>
            </w:pPr>
            <w:r>
              <w:rPr>
                <w:rFonts w:ascii="sans-serif" w:eastAsia="sans-serif" w:hAnsi="sans-serif" w:cs="sans-serif"/>
                <w:color w:val="000000"/>
                <w:sz w:val="20"/>
                <w:szCs w:val="20"/>
              </w:rPr>
              <w:t>327 </w:t>
            </w:r>
          </w:p>
        </w:tc>
        <w:tc>
          <w:tcPr>
            <w:tcW w:w="0" w:type="auto"/>
            <w:shd w:val="clear" w:color="auto" w:fill="E2EFD9"/>
            <w:tcMar>
              <w:top w:w="40" w:type="dxa"/>
              <w:left w:w="0" w:type="dxa"/>
              <w:bottom w:w="40" w:type="dxa"/>
              <w:right w:w="20" w:type="dxa"/>
            </w:tcMar>
            <w:vAlign w:val="bottom"/>
          </w:tcPr>
          <w:p w14:paraId="27E0878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78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788" w14:textId="77777777" w:rsidR="00A85061" w:rsidRDefault="00F04891">
            <w:pPr>
              <w:jc w:val="right"/>
              <w:textAlignment w:val="bottom"/>
            </w:pPr>
            <w:r>
              <w:rPr>
                <w:rFonts w:ascii="sans-serif" w:eastAsia="sans-serif" w:hAnsi="sans-serif" w:cs="sans-serif"/>
                <w:color w:val="000000"/>
                <w:sz w:val="20"/>
                <w:szCs w:val="20"/>
              </w:rPr>
              <w:t>138 </w:t>
            </w:r>
          </w:p>
        </w:tc>
        <w:tc>
          <w:tcPr>
            <w:tcW w:w="0" w:type="auto"/>
            <w:shd w:val="clear" w:color="auto" w:fill="E2EFD9"/>
            <w:tcMar>
              <w:top w:w="40" w:type="dxa"/>
              <w:left w:w="0" w:type="dxa"/>
              <w:bottom w:w="40" w:type="dxa"/>
              <w:right w:w="20" w:type="dxa"/>
            </w:tcMar>
            <w:vAlign w:val="bottom"/>
          </w:tcPr>
          <w:p w14:paraId="27E08789" w14:textId="77777777" w:rsidR="00A85061" w:rsidRDefault="00A85061">
            <w:pPr>
              <w:jc w:val="right"/>
              <w:rPr>
                <w:rFonts w:ascii="宋体"/>
              </w:rPr>
            </w:pPr>
          </w:p>
        </w:tc>
        <w:tc>
          <w:tcPr>
            <w:tcW w:w="0" w:type="auto"/>
            <w:gridSpan w:val="3"/>
            <w:shd w:val="clear" w:color="auto" w:fill="auto"/>
            <w:vAlign w:val="bottom"/>
          </w:tcPr>
          <w:p w14:paraId="27E0878A" w14:textId="77777777" w:rsidR="00A85061" w:rsidRDefault="00A85061">
            <w:pPr>
              <w:rPr>
                <w:rFonts w:ascii="宋体"/>
                <w:vanish/>
              </w:rPr>
            </w:pPr>
          </w:p>
        </w:tc>
        <w:tc>
          <w:tcPr>
            <w:tcW w:w="0" w:type="auto"/>
            <w:gridSpan w:val="3"/>
            <w:shd w:val="clear" w:color="auto" w:fill="auto"/>
            <w:vAlign w:val="bottom"/>
          </w:tcPr>
          <w:p w14:paraId="27E0878B" w14:textId="77777777" w:rsidR="00A85061" w:rsidRDefault="00A85061">
            <w:pPr>
              <w:rPr>
                <w:rFonts w:ascii="宋体"/>
                <w:vanish/>
              </w:rPr>
            </w:pPr>
          </w:p>
        </w:tc>
        <w:tc>
          <w:tcPr>
            <w:tcW w:w="0" w:type="auto"/>
            <w:gridSpan w:val="3"/>
            <w:shd w:val="clear" w:color="auto" w:fill="auto"/>
            <w:vAlign w:val="bottom"/>
          </w:tcPr>
          <w:p w14:paraId="27E0878C" w14:textId="77777777" w:rsidR="00A85061" w:rsidRDefault="00A85061">
            <w:pPr>
              <w:rPr>
                <w:rFonts w:ascii="宋体"/>
                <w:vanish/>
              </w:rPr>
            </w:pPr>
          </w:p>
        </w:tc>
        <w:tc>
          <w:tcPr>
            <w:tcW w:w="0" w:type="auto"/>
            <w:gridSpan w:val="3"/>
            <w:shd w:val="clear" w:color="auto" w:fill="auto"/>
            <w:vAlign w:val="bottom"/>
          </w:tcPr>
          <w:p w14:paraId="27E0878D" w14:textId="77777777" w:rsidR="00A85061" w:rsidRDefault="00A85061">
            <w:pPr>
              <w:rPr>
                <w:rFonts w:ascii="宋体"/>
                <w:vanish/>
              </w:rPr>
            </w:pPr>
          </w:p>
        </w:tc>
      </w:tr>
      <w:tr w:rsidR="00A85061" w14:paraId="27E0879B" w14:textId="77777777">
        <w:tc>
          <w:tcPr>
            <w:tcW w:w="0" w:type="auto"/>
            <w:gridSpan w:val="3"/>
            <w:shd w:val="clear" w:color="auto" w:fill="FFFFFF"/>
            <w:tcMar>
              <w:top w:w="40" w:type="dxa"/>
              <w:left w:w="20" w:type="dxa"/>
              <w:bottom w:w="40" w:type="dxa"/>
              <w:right w:w="20" w:type="dxa"/>
            </w:tcMar>
            <w:vAlign w:val="bottom"/>
          </w:tcPr>
          <w:p w14:paraId="27E0878F" w14:textId="77777777" w:rsidR="00A85061" w:rsidRDefault="00F04891">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790"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791"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79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793" w14:textId="77777777" w:rsidR="00A85061" w:rsidRDefault="00A8506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27E0879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27E08795"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27E08796" w14:textId="77777777" w:rsidR="00A85061" w:rsidRDefault="00A85061">
            <w:pPr>
              <w:jc w:val="right"/>
              <w:rPr>
                <w:rFonts w:ascii="宋体"/>
              </w:rPr>
            </w:pPr>
          </w:p>
        </w:tc>
        <w:tc>
          <w:tcPr>
            <w:tcW w:w="0" w:type="auto"/>
            <w:gridSpan w:val="3"/>
            <w:shd w:val="clear" w:color="auto" w:fill="auto"/>
            <w:vAlign w:val="bottom"/>
          </w:tcPr>
          <w:p w14:paraId="27E08797" w14:textId="77777777" w:rsidR="00A85061" w:rsidRDefault="00A85061">
            <w:pPr>
              <w:rPr>
                <w:rFonts w:ascii="宋体"/>
                <w:vanish/>
              </w:rPr>
            </w:pPr>
          </w:p>
        </w:tc>
        <w:tc>
          <w:tcPr>
            <w:tcW w:w="0" w:type="auto"/>
            <w:gridSpan w:val="3"/>
            <w:shd w:val="clear" w:color="auto" w:fill="auto"/>
            <w:vAlign w:val="bottom"/>
          </w:tcPr>
          <w:p w14:paraId="27E08798" w14:textId="77777777" w:rsidR="00A85061" w:rsidRDefault="00A85061">
            <w:pPr>
              <w:rPr>
                <w:rFonts w:ascii="宋体"/>
                <w:vanish/>
              </w:rPr>
            </w:pPr>
          </w:p>
        </w:tc>
        <w:tc>
          <w:tcPr>
            <w:tcW w:w="0" w:type="auto"/>
            <w:gridSpan w:val="3"/>
            <w:shd w:val="clear" w:color="auto" w:fill="auto"/>
            <w:vAlign w:val="bottom"/>
          </w:tcPr>
          <w:p w14:paraId="27E08799" w14:textId="77777777" w:rsidR="00A85061" w:rsidRDefault="00A85061">
            <w:pPr>
              <w:rPr>
                <w:rFonts w:ascii="宋体"/>
                <w:vanish/>
              </w:rPr>
            </w:pPr>
          </w:p>
        </w:tc>
        <w:tc>
          <w:tcPr>
            <w:tcW w:w="0" w:type="auto"/>
            <w:gridSpan w:val="3"/>
            <w:shd w:val="clear" w:color="auto" w:fill="auto"/>
            <w:vAlign w:val="bottom"/>
          </w:tcPr>
          <w:p w14:paraId="27E0879A" w14:textId="77777777" w:rsidR="00A85061" w:rsidRDefault="00A85061">
            <w:pPr>
              <w:rPr>
                <w:rFonts w:ascii="宋体"/>
                <w:vanish/>
              </w:rPr>
            </w:pPr>
          </w:p>
        </w:tc>
      </w:tr>
    </w:tbl>
    <w:p w14:paraId="27E0879C" w14:textId="77777777" w:rsidR="00A85061" w:rsidRDefault="00F04891">
      <w:pPr>
        <w:spacing w:before="180" w:after="180"/>
        <w:jc w:val="both"/>
      </w:pPr>
      <w:r>
        <w:rPr>
          <w:rFonts w:ascii="sans-serif" w:eastAsia="sans-serif" w:hAnsi="sans-serif" w:cs="sans-serif"/>
          <w:color w:val="000000"/>
          <w:sz w:val="20"/>
          <w:szCs w:val="20"/>
        </w:rPr>
        <w:t xml:space="preserve">No customer </w:t>
      </w:r>
      <w:r>
        <w:rPr>
          <w:rFonts w:ascii="sans-serif" w:eastAsia="sans-serif" w:hAnsi="sans-serif" w:cs="sans-serif"/>
          <w:color w:val="000000"/>
          <w:sz w:val="20"/>
          <w:szCs w:val="20"/>
        </w:rPr>
        <w:t>represented 10% or more of total revenue for the first quarter of fiscal years 2022 or 2021.</w:t>
      </w:r>
    </w:p>
    <w:p w14:paraId="27E0879D" w14:textId="77777777" w:rsidR="00A85061" w:rsidRDefault="00F04891">
      <w:pPr>
        <w:spacing w:after="180"/>
        <w:jc w:val="center"/>
      </w:pPr>
      <w:r>
        <w:rPr>
          <w:rFonts w:ascii="sans-serif" w:eastAsia="sans-serif" w:hAnsi="sans-serif" w:cs="sans-serif"/>
          <w:color w:val="000000"/>
          <w:sz w:val="20"/>
          <w:szCs w:val="20"/>
        </w:rPr>
        <w:t>21</w:t>
      </w:r>
    </w:p>
    <w:p w14:paraId="27E0879E" w14:textId="77777777" w:rsidR="00A85061" w:rsidRDefault="00F04891">
      <w:r>
        <w:pict w14:anchorId="27E08F06">
          <v:rect id="_x0000_i1045" style="width:415.3pt;height:1.5pt" o:hralign="center" o:hrstd="t" o:hr="t" fillcolor="#a0a0a0" stroked="f"/>
        </w:pict>
      </w:r>
    </w:p>
    <w:p w14:paraId="27E0879F" w14:textId="77777777" w:rsidR="00A85061" w:rsidRDefault="00F04891">
      <w:pPr>
        <w:jc w:val="center"/>
      </w:pPr>
      <w:r>
        <w:rPr>
          <w:rFonts w:ascii="sans-serif" w:eastAsia="sans-serif" w:hAnsi="sans-serif" w:cs="sans-serif"/>
          <w:b/>
          <w:bCs/>
          <w:color w:val="000000"/>
          <w:sz w:val="20"/>
          <w:szCs w:val="20"/>
        </w:rPr>
        <w:t>NVIDIA CORPORATION AND SUBSIDIARIES</w:t>
      </w:r>
    </w:p>
    <w:p w14:paraId="27E087A0" w14:textId="77777777" w:rsidR="00A85061" w:rsidRDefault="00F04891">
      <w:pPr>
        <w:jc w:val="center"/>
      </w:pPr>
      <w:r>
        <w:rPr>
          <w:rFonts w:ascii="sans-serif" w:eastAsia="sans-serif" w:hAnsi="sans-serif" w:cs="sans-serif"/>
          <w:b/>
          <w:bCs/>
          <w:color w:val="000000"/>
          <w:sz w:val="20"/>
          <w:szCs w:val="20"/>
        </w:rPr>
        <w:t>NOTES TO CONDENSED CONSOLIDATED FINANCIAL STATEMENTS (Continued)</w:t>
      </w:r>
    </w:p>
    <w:p w14:paraId="27E087A1" w14:textId="77777777" w:rsidR="00A85061" w:rsidRDefault="00F04891">
      <w:pPr>
        <w:jc w:val="center"/>
      </w:pPr>
      <w:r>
        <w:rPr>
          <w:rFonts w:ascii="sans-serif" w:eastAsia="sans-serif" w:hAnsi="sans-serif" w:cs="sans-serif"/>
          <w:b/>
          <w:bCs/>
          <w:color w:val="000000"/>
          <w:sz w:val="20"/>
          <w:szCs w:val="20"/>
        </w:rPr>
        <w:t>(Unaudited)</w:t>
      </w:r>
    </w:p>
    <w:p w14:paraId="27E087A2" w14:textId="77777777" w:rsidR="00A85061" w:rsidRDefault="00A85061">
      <w:pPr>
        <w:spacing w:after="180"/>
        <w:jc w:val="both"/>
      </w:pPr>
    </w:p>
    <w:p w14:paraId="27E087A3" w14:textId="77777777" w:rsidR="00A85061" w:rsidRDefault="00A85061">
      <w:pPr>
        <w:spacing w:after="180"/>
        <w:jc w:val="both"/>
      </w:pPr>
    </w:p>
    <w:p w14:paraId="27E087A4" w14:textId="77777777" w:rsidR="00A85061" w:rsidRDefault="00F04891">
      <w:pPr>
        <w:spacing w:after="180"/>
        <w:jc w:val="both"/>
      </w:pPr>
      <w:r>
        <w:rPr>
          <w:rFonts w:ascii="sans-serif" w:eastAsia="sans-serif" w:hAnsi="sans-serif" w:cs="sans-serif"/>
          <w:color w:val="000000"/>
          <w:sz w:val="20"/>
          <w:szCs w:val="20"/>
        </w:rPr>
        <w:t xml:space="preserve">One customer represented 13% and 16% of </w:t>
      </w:r>
      <w:r>
        <w:rPr>
          <w:rFonts w:ascii="sans-serif" w:eastAsia="sans-serif" w:hAnsi="sans-serif" w:cs="sans-serif"/>
          <w:color w:val="000000"/>
          <w:sz w:val="20"/>
          <w:szCs w:val="20"/>
        </w:rPr>
        <w:t>our accounts receivable balance as of May 2, 2021 and January 31, 2021, respectively.</w:t>
      </w:r>
    </w:p>
    <w:p w14:paraId="27E087A5" w14:textId="77777777" w:rsidR="00A85061" w:rsidRDefault="00F04891">
      <w:pPr>
        <w:spacing w:before="240" w:after="120"/>
        <w:jc w:val="both"/>
      </w:pPr>
      <w:r>
        <w:rPr>
          <w:rFonts w:ascii="sans-serif" w:eastAsia="sans-serif" w:hAnsi="sans-serif" w:cs="sans-serif"/>
          <w:b/>
          <w:bCs/>
          <w:color w:val="76B900"/>
          <w:sz w:val="22"/>
          <w:szCs w:val="22"/>
        </w:rPr>
        <w:t>Note 16 – Subsequent Event</w:t>
      </w:r>
    </w:p>
    <w:p w14:paraId="27E087A6" w14:textId="77777777" w:rsidR="00A85061" w:rsidRDefault="00F04891">
      <w:pPr>
        <w:spacing w:after="180"/>
        <w:jc w:val="both"/>
      </w:pPr>
      <w:r>
        <w:rPr>
          <w:rFonts w:ascii="sans-serif" w:eastAsia="sans-serif" w:hAnsi="sans-serif" w:cs="sans-serif"/>
          <w:color w:val="000000"/>
          <w:sz w:val="20"/>
          <w:szCs w:val="20"/>
        </w:rPr>
        <w:t>On May 21, 2021, our Board of Directors declared a four-for-one split of our common stock in the form of a stock dividend, conditioned on obtai</w:t>
      </w:r>
      <w:r>
        <w:rPr>
          <w:rFonts w:ascii="sans-serif" w:eastAsia="sans-serif" w:hAnsi="sans-serif" w:cs="sans-serif"/>
          <w:color w:val="000000"/>
          <w:sz w:val="20"/>
          <w:szCs w:val="20"/>
        </w:rPr>
        <w:t>ning stockholder approval at our 2021 Annual Meeting of Stockholders to be held on June 3, 2021, of an amendment to our Amended and Restated Certificate of Incorporation to increase the number of authorized shares of common stock from 2 billion to 4 billio</w:t>
      </w:r>
      <w:r>
        <w:rPr>
          <w:rFonts w:ascii="sans-serif" w:eastAsia="sans-serif" w:hAnsi="sans-serif" w:cs="sans-serif"/>
          <w:color w:val="000000"/>
          <w:sz w:val="20"/>
          <w:szCs w:val="20"/>
        </w:rPr>
        <w:t>n. The following table reflects basic and diluted weighted average shares and net income per share on an unaudited pro forma basis giving effect to the four-for-one stock split as if it had been effective for all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61"/>
        <w:gridCol w:w="1255"/>
        <w:gridCol w:w="36"/>
        <w:gridCol w:w="36"/>
        <w:gridCol w:w="36"/>
        <w:gridCol w:w="36"/>
        <w:gridCol w:w="36"/>
        <w:gridCol w:w="122"/>
        <w:gridCol w:w="1036"/>
        <w:gridCol w:w="36"/>
        <w:gridCol w:w="36"/>
        <w:gridCol w:w="36"/>
        <w:gridCol w:w="36"/>
        <w:gridCol w:w="122"/>
        <w:gridCol w:w="1036"/>
        <w:gridCol w:w="36"/>
        <w:gridCol w:w="36"/>
        <w:gridCol w:w="36"/>
        <w:gridCol w:w="36"/>
        <w:gridCol w:w="123"/>
        <w:gridCol w:w="1037"/>
        <w:gridCol w:w="36"/>
        <w:gridCol w:w="36"/>
        <w:gridCol w:w="36"/>
        <w:gridCol w:w="36"/>
        <w:gridCol w:w="123"/>
        <w:gridCol w:w="1037"/>
        <w:gridCol w:w="36"/>
        <w:gridCol w:w="36"/>
        <w:gridCol w:w="36"/>
        <w:gridCol w:w="36"/>
        <w:gridCol w:w="123"/>
        <w:gridCol w:w="1037"/>
        <w:gridCol w:w="36"/>
        <w:gridCol w:w="36"/>
        <w:gridCol w:w="36"/>
        <w:gridCol w:w="36"/>
        <w:gridCol w:w="36"/>
        <w:gridCol w:w="36"/>
        <w:gridCol w:w="36"/>
        <w:gridCol w:w="36"/>
        <w:gridCol w:w="36"/>
        <w:gridCol w:w="36"/>
        <w:gridCol w:w="36"/>
        <w:gridCol w:w="36"/>
        <w:gridCol w:w="36"/>
      </w:tblGrid>
      <w:tr w:rsidR="00A85061" w14:paraId="27E087CD" w14:textId="77777777">
        <w:tc>
          <w:tcPr>
            <w:tcW w:w="50" w:type="pct"/>
            <w:shd w:val="clear" w:color="auto" w:fill="auto"/>
            <w:vAlign w:val="bottom"/>
          </w:tcPr>
          <w:p w14:paraId="27E087A7" w14:textId="77777777" w:rsidR="00A85061" w:rsidRDefault="00A85061">
            <w:pPr>
              <w:rPr>
                <w:rFonts w:ascii="宋体"/>
              </w:rPr>
            </w:pPr>
          </w:p>
        </w:tc>
        <w:tc>
          <w:tcPr>
            <w:tcW w:w="917" w:type="pct"/>
            <w:shd w:val="clear" w:color="auto" w:fill="auto"/>
            <w:vAlign w:val="bottom"/>
          </w:tcPr>
          <w:p w14:paraId="27E087A8" w14:textId="77777777" w:rsidR="00A85061" w:rsidRDefault="00A85061">
            <w:pPr>
              <w:rPr>
                <w:rFonts w:ascii="宋体"/>
              </w:rPr>
            </w:pPr>
          </w:p>
        </w:tc>
        <w:tc>
          <w:tcPr>
            <w:tcW w:w="5" w:type="pct"/>
            <w:shd w:val="clear" w:color="auto" w:fill="auto"/>
            <w:vAlign w:val="bottom"/>
          </w:tcPr>
          <w:p w14:paraId="27E087A9" w14:textId="77777777" w:rsidR="00A85061" w:rsidRDefault="00A85061">
            <w:pPr>
              <w:rPr>
                <w:rFonts w:ascii="宋体"/>
              </w:rPr>
            </w:pPr>
          </w:p>
        </w:tc>
        <w:tc>
          <w:tcPr>
            <w:tcW w:w="0" w:type="auto"/>
            <w:shd w:val="clear" w:color="auto" w:fill="auto"/>
            <w:vAlign w:val="bottom"/>
          </w:tcPr>
          <w:p w14:paraId="27E087AA" w14:textId="77777777" w:rsidR="00A85061" w:rsidRDefault="00A85061">
            <w:pPr>
              <w:rPr>
                <w:rFonts w:ascii="宋体"/>
                <w:vanish/>
              </w:rPr>
            </w:pPr>
          </w:p>
        </w:tc>
        <w:tc>
          <w:tcPr>
            <w:tcW w:w="0" w:type="auto"/>
            <w:shd w:val="clear" w:color="auto" w:fill="auto"/>
            <w:vAlign w:val="bottom"/>
          </w:tcPr>
          <w:p w14:paraId="27E087AB" w14:textId="77777777" w:rsidR="00A85061" w:rsidRDefault="00A85061">
            <w:pPr>
              <w:rPr>
                <w:rFonts w:ascii="宋体"/>
                <w:vanish/>
              </w:rPr>
            </w:pPr>
          </w:p>
        </w:tc>
        <w:tc>
          <w:tcPr>
            <w:tcW w:w="0" w:type="auto"/>
            <w:shd w:val="clear" w:color="auto" w:fill="auto"/>
            <w:vAlign w:val="bottom"/>
          </w:tcPr>
          <w:p w14:paraId="27E087AC" w14:textId="77777777" w:rsidR="00A85061" w:rsidRDefault="00A85061">
            <w:pPr>
              <w:rPr>
                <w:rFonts w:ascii="宋体"/>
                <w:vanish/>
              </w:rPr>
            </w:pPr>
          </w:p>
        </w:tc>
        <w:tc>
          <w:tcPr>
            <w:tcW w:w="0" w:type="auto"/>
            <w:shd w:val="clear" w:color="auto" w:fill="auto"/>
            <w:vAlign w:val="bottom"/>
          </w:tcPr>
          <w:p w14:paraId="27E087AD" w14:textId="77777777" w:rsidR="00A85061" w:rsidRDefault="00A85061">
            <w:pPr>
              <w:rPr>
                <w:rFonts w:ascii="宋体"/>
                <w:vanish/>
              </w:rPr>
            </w:pPr>
          </w:p>
        </w:tc>
        <w:tc>
          <w:tcPr>
            <w:tcW w:w="50" w:type="pct"/>
            <w:shd w:val="clear" w:color="auto" w:fill="auto"/>
            <w:vAlign w:val="bottom"/>
          </w:tcPr>
          <w:p w14:paraId="27E087AE" w14:textId="77777777" w:rsidR="00A85061" w:rsidRDefault="00A85061">
            <w:pPr>
              <w:rPr>
                <w:rFonts w:ascii="宋体"/>
              </w:rPr>
            </w:pPr>
          </w:p>
        </w:tc>
        <w:tc>
          <w:tcPr>
            <w:tcW w:w="727" w:type="pct"/>
            <w:shd w:val="clear" w:color="auto" w:fill="auto"/>
            <w:vAlign w:val="bottom"/>
          </w:tcPr>
          <w:p w14:paraId="27E087AF" w14:textId="77777777" w:rsidR="00A85061" w:rsidRDefault="00A85061">
            <w:pPr>
              <w:rPr>
                <w:rFonts w:ascii="宋体"/>
              </w:rPr>
            </w:pPr>
          </w:p>
        </w:tc>
        <w:tc>
          <w:tcPr>
            <w:tcW w:w="5" w:type="pct"/>
            <w:shd w:val="clear" w:color="auto" w:fill="auto"/>
            <w:vAlign w:val="bottom"/>
          </w:tcPr>
          <w:p w14:paraId="27E087B0" w14:textId="77777777" w:rsidR="00A85061" w:rsidRDefault="00A85061">
            <w:pPr>
              <w:rPr>
                <w:rFonts w:ascii="宋体"/>
              </w:rPr>
            </w:pPr>
          </w:p>
        </w:tc>
        <w:tc>
          <w:tcPr>
            <w:tcW w:w="5" w:type="pct"/>
            <w:shd w:val="clear" w:color="auto" w:fill="auto"/>
            <w:vAlign w:val="bottom"/>
          </w:tcPr>
          <w:p w14:paraId="27E087B1" w14:textId="77777777" w:rsidR="00A85061" w:rsidRDefault="00A85061">
            <w:pPr>
              <w:rPr>
                <w:rFonts w:ascii="宋体"/>
              </w:rPr>
            </w:pPr>
          </w:p>
        </w:tc>
        <w:tc>
          <w:tcPr>
            <w:tcW w:w="19" w:type="pct"/>
            <w:shd w:val="clear" w:color="auto" w:fill="auto"/>
            <w:vAlign w:val="bottom"/>
          </w:tcPr>
          <w:p w14:paraId="27E087B2" w14:textId="77777777" w:rsidR="00A85061" w:rsidRDefault="00A85061">
            <w:pPr>
              <w:rPr>
                <w:rFonts w:ascii="宋体"/>
              </w:rPr>
            </w:pPr>
          </w:p>
        </w:tc>
        <w:tc>
          <w:tcPr>
            <w:tcW w:w="5" w:type="pct"/>
            <w:shd w:val="clear" w:color="auto" w:fill="auto"/>
            <w:vAlign w:val="bottom"/>
          </w:tcPr>
          <w:p w14:paraId="27E087B3" w14:textId="77777777" w:rsidR="00A85061" w:rsidRDefault="00A85061">
            <w:pPr>
              <w:rPr>
                <w:rFonts w:ascii="宋体"/>
              </w:rPr>
            </w:pPr>
          </w:p>
        </w:tc>
        <w:tc>
          <w:tcPr>
            <w:tcW w:w="50" w:type="pct"/>
            <w:shd w:val="clear" w:color="auto" w:fill="auto"/>
            <w:vAlign w:val="bottom"/>
          </w:tcPr>
          <w:p w14:paraId="27E087B4" w14:textId="77777777" w:rsidR="00A85061" w:rsidRDefault="00A85061">
            <w:pPr>
              <w:rPr>
                <w:rFonts w:ascii="宋体"/>
              </w:rPr>
            </w:pPr>
          </w:p>
        </w:tc>
        <w:tc>
          <w:tcPr>
            <w:tcW w:w="727" w:type="pct"/>
            <w:shd w:val="clear" w:color="auto" w:fill="auto"/>
            <w:vAlign w:val="bottom"/>
          </w:tcPr>
          <w:p w14:paraId="27E087B5" w14:textId="77777777" w:rsidR="00A85061" w:rsidRDefault="00A85061">
            <w:pPr>
              <w:rPr>
                <w:rFonts w:ascii="宋体"/>
              </w:rPr>
            </w:pPr>
          </w:p>
        </w:tc>
        <w:tc>
          <w:tcPr>
            <w:tcW w:w="5" w:type="pct"/>
            <w:shd w:val="clear" w:color="auto" w:fill="auto"/>
            <w:vAlign w:val="bottom"/>
          </w:tcPr>
          <w:p w14:paraId="27E087B6" w14:textId="77777777" w:rsidR="00A85061" w:rsidRDefault="00A85061">
            <w:pPr>
              <w:rPr>
                <w:rFonts w:ascii="宋体"/>
              </w:rPr>
            </w:pPr>
          </w:p>
        </w:tc>
        <w:tc>
          <w:tcPr>
            <w:tcW w:w="5" w:type="pct"/>
            <w:shd w:val="clear" w:color="auto" w:fill="auto"/>
            <w:vAlign w:val="bottom"/>
          </w:tcPr>
          <w:p w14:paraId="27E087B7" w14:textId="77777777" w:rsidR="00A85061" w:rsidRDefault="00A85061">
            <w:pPr>
              <w:rPr>
                <w:rFonts w:ascii="宋体"/>
              </w:rPr>
            </w:pPr>
          </w:p>
        </w:tc>
        <w:tc>
          <w:tcPr>
            <w:tcW w:w="19" w:type="pct"/>
            <w:shd w:val="clear" w:color="auto" w:fill="auto"/>
            <w:vAlign w:val="bottom"/>
          </w:tcPr>
          <w:p w14:paraId="27E087B8" w14:textId="77777777" w:rsidR="00A85061" w:rsidRDefault="00A85061">
            <w:pPr>
              <w:rPr>
                <w:rFonts w:ascii="宋体"/>
              </w:rPr>
            </w:pPr>
          </w:p>
        </w:tc>
        <w:tc>
          <w:tcPr>
            <w:tcW w:w="5" w:type="pct"/>
            <w:shd w:val="clear" w:color="auto" w:fill="auto"/>
            <w:vAlign w:val="bottom"/>
          </w:tcPr>
          <w:p w14:paraId="27E087B9" w14:textId="77777777" w:rsidR="00A85061" w:rsidRDefault="00A85061">
            <w:pPr>
              <w:rPr>
                <w:rFonts w:ascii="宋体"/>
              </w:rPr>
            </w:pPr>
          </w:p>
        </w:tc>
        <w:tc>
          <w:tcPr>
            <w:tcW w:w="50" w:type="pct"/>
            <w:shd w:val="clear" w:color="auto" w:fill="auto"/>
            <w:vAlign w:val="bottom"/>
          </w:tcPr>
          <w:p w14:paraId="27E087BA" w14:textId="77777777" w:rsidR="00A85061" w:rsidRDefault="00A85061">
            <w:pPr>
              <w:rPr>
                <w:rFonts w:ascii="宋体"/>
              </w:rPr>
            </w:pPr>
          </w:p>
        </w:tc>
        <w:tc>
          <w:tcPr>
            <w:tcW w:w="727" w:type="pct"/>
            <w:shd w:val="clear" w:color="auto" w:fill="auto"/>
            <w:vAlign w:val="bottom"/>
          </w:tcPr>
          <w:p w14:paraId="27E087BB" w14:textId="77777777" w:rsidR="00A85061" w:rsidRDefault="00A85061">
            <w:pPr>
              <w:rPr>
                <w:rFonts w:ascii="宋体"/>
              </w:rPr>
            </w:pPr>
          </w:p>
        </w:tc>
        <w:tc>
          <w:tcPr>
            <w:tcW w:w="5" w:type="pct"/>
            <w:shd w:val="clear" w:color="auto" w:fill="auto"/>
            <w:vAlign w:val="bottom"/>
          </w:tcPr>
          <w:p w14:paraId="27E087BC" w14:textId="77777777" w:rsidR="00A85061" w:rsidRDefault="00A85061">
            <w:pPr>
              <w:rPr>
                <w:rFonts w:ascii="宋体"/>
              </w:rPr>
            </w:pPr>
          </w:p>
        </w:tc>
        <w:tc>
          <w:tcPr>
            <w:tcW w:w="5" w:type="pct"/>
            <w:shd w:val="clear" w:color="auto" w:fill="auto"/>
            <w:vAlign w:val="bottom"/>
          </w:tcPr>
          <w:p w14:paraId="27E087BD" w14:textId="77777777" w:rsidR="00A85061" w:rsidRDefault="00A85061">
            <w:pPr>
              <w:rPr>
                <w:rFonts w:ascii="宋体"/>
              </w:rPr>
            </w:pPr>
          </w:p>
        </w:tc>
        <w:tc>
          <w:tcPr>
            <w:tcW w:w="19" w:type="pct"/>
            <w:shd w:val="clear" w:color="auto" w:fill="auto"/>
            <w:vAlign w:val="bottom"/>
          </w:tcPr>
          <w:p w14:paraId="27E087BE" w14:textId="77777777" w:rsidR="00A85061" w:rsidRDefault="00A85061">
            <w:pPr>
              <w:rPr>
                <w:rFonts w:ascii="宋体"/>
              </w:rPr>
            </w:pPr>
          </w:p>
        </w:tc>
        <w:tc>
          <w:tcPr>
            <w:tcW w:w="5" w:type="pct"/>
            <w:shd w:val="clear" w:color="auto" w:fill="auto"/>
            <w:vAlign w:val="bottom"/>
          </w:tcPr>
          <w:p w14:paraId="27E087BF" w14:textId="77777777" w:rsidR="00A85061" w:rsidRDefault="00A85061">
            <w:pPr>
              <w:rPr>
                <w:rFonts w:ascii="宋体"/>
              </w:rPr>
            </w:pPr>
          </w:p>
        </w:tc>
        <w:tc>
          <w:tcPr>
            <w:tcW w:w="50" w:type="pct"/>
            <w:shd w:val="clear" w:color="auto" w:fill="auto"/>
            <w:vAlign w:val="bottom"/>
          </w:tcPr>
          <w:p w14:paraId="27E087C0" w14:textId="77777777" w:rsidR="00A85061" w:rsidRDefault="00A85061">
            <w:pPr>
              <w:rPr>
                <w:rFonts w:ascii="宋体"/>
              </w:rPr>
            </w:pPr>
          </w:p>
        </w:tc>
        <w:tc>
          <w:tcPr>
            <w:tcW w:w="727" w:type="pct"/>
            <w:shd w:val="clear" w:color="auto" w:fill="auto"/>
            <w:vAlign w:val="bottom"/>
          </w:tcPr>
          <w:p w14:paraId="27E087C1" w14:textId="77777777" w:rsidR="00A85061" w:rsidRDefault="00A85061">
            <w:pPr>
              <w:rPr>
                <w:rFonts w:ascii="宋体"/>
              </w:rPr>
            </w:pPr>
          </w:p>
        </w:tc>
        <w:tc>
          <w:tcPr>
            <w:tcW w:w="5" w:type="pct"/>
            <w:shd w:val="clear" w:color="auto" w:fill="auto"/>
            <w:vAlign w:val="bottom"/>
          </w:tcPr>
          <w:p w14:paraId="27E087C2" w14:textId="77777777" w:rsidR="00A85061" w:rsidRDefault="00A85061">
            <w:pPr>
              <w:rPr>
                <w:rFonts w:ascii="宋体"/>
              </w:rPr>
            </w:pPr>
          </w:p>
        </w:tc>
        <w:tc>
          <w:tcPr>
            <w:tcW w:w="5" w:type="pct"/>
            <w:shd w:val="clear" w:color="auto" w:fill="auto"/>
            <w:vAlign w:val="bottom"/>
          </w:tcPr>
          <w:p w14:paraId="27E087C3" w14:textId="77777777" w:rsidR="00A85061" w:rsidRDefault="00A85061">
            <w:pPr>
              <w:rPr>
                <w:rFonts w:ascii="宋体"/>
              </w:rPr>
            </w:pPr>
          </w:p>
        </w:tc>
        <w:tc>
          <w:tcPr>
            <w:tcW w:w="19" w:type="pct"/>
            <w:shd w:val="clear" w:color="auto" w:fill="auto"/>
            <w:vAlign w:val="bottom"/>
          </w:tcPr>
          <w:p w14:paraId="27E087C4" w14:textId="77777777" w:rsidR="00A85061" w:rsidRDefault="00A85061">
            <w:pPr>
              <w:rPr>
                <w:rFonts w:ascii="宋体"/>
              </w:rPr>
            </w:pPr>
          </w:p>
        </w:tc>
        <w:tc>
          <w:tcPr>
            <w:tcW w:w="5" w:type="pct"/>
            <w:shd w:val="clear" w:color="auto" w:fill="auto"/>
            <w:vAlign w:val="bottom"/>
          </w:tcPr>
          <w:p w14:paraId="27E087C5" w14:textId="77777777" w:rsidR="00A85061" w:rsidRDefault="00A85061">
            <w:pPr>
              <w:rPr>
                <w:rFonts w:ascii="宋体"/>
              </w:rPr>
            </w:pPr>
          </w:p>
        </w:tc>
        <w:tc>
          <w:tcPr>
            <w:tcW w:w="50" w:type="pct"/>
            <w:shd w:val="clear" w:color="auto" w:fill="auto"/>
            <w:vAlign w:val="bottom"/>
          </w:tcPr>
          <w:p w14:paraId="27E087C6" w14:textId="77777777" w:rsidR="00A85061" w:rsidRDefault="00A85061">
            <w:pPr>
              <w:rPr>
                <w:rFonts w:ascii="宋体"/>
              </w:rPr>
            </w:pPr>
          </w:p>
        </w:tc>
        <w:tc>
          <w:tcPr>
            <w:tcW w:w="727" w:type="pct"/>
            <w:shd w:val="clear" w:color="auto" w:fill="auto"/>
            <w:vAlign w:val="bottom"/>
          </w:tcPr>
          <w:p w14:paraId="27E087C7" w14:textId="77777777" w:rsidR="00A85061" w:rsidRDefault="00A85061">
            <w:pPr>
              <w:rPr>
                <w:rFonts w:ascii="宋体"/>
              </w:rPr>
            </w:pPr>
          </w:p>
        </w:tc>
        <w:tc>
          <w:tcPr>
            <w:tcW w:w="5" w:type="pct"/>
            <w:shd w:val="clear" w:color="auto" w:fill="auto"/>
            <w:vAlign w:val="bottom"/>
          </w:tcPr>
          <w:p w14:paraId="27E087C8" w14:textId="77777777" w:rsidR="00A85061" w:rsidRDefault="00A85061">
            <w:pPr>
              <w:rPr>
                <w:rFonts w:ascii="宋体"/>
              </w:rPr>
            </w:pPr>
          </w:p>
        </w:tc>
        <w:tc>
          <w:tcPr>
            <w:tcW w:w="0" w:type="auto"/>
            <w:gridSpan w:val="3"/>
            <w:shd w:val="clear" w:color="auto" w:fill="auto"/>
            <w:vAlign w:val="bottom"/>
          </w:tcPr>
          <w:p w14:paraId="27E087C9" w14:textId="77777777" w:rsidR="00A85061" w:rsidRDefault="00A85061">
            <w:pPr>
              <w:rPr>
                <w:rFonts w:ascii="宋体"/>
                <w:vanish/>
              </w:rPr>
            </w:pPr>
          </w:p>
        </w:tc>
        <w:tc>
          <w:tcPr>
            <w:tcW w:w="0" w:type="auto"/>
            <w:gridSpan w:val="3"/>
            <w:shd w:val="clear" w:color="auto" w:fill="auto"/>
            <w:vAlign w:val="bottom"/>
          </w:tcPr>
          <w:p w14:paraId="27E087CA" w14:textId="77777777" w:rsidR="00A85061" w:rsidRDefault="00A85061">
            <w:pPr>
              <w:rPr>
                <w:rFonts w:ascii="宋体"/>
                <w:vanish/>
              </w:rPr>
            </w:pPr>
          </w:p>
        </w:tc>
        <w:tc>
          <w:tcPr>
            <w:tcW w:w="0" w:type="auto"/>
            <w:gridSpan w:val="3"/>
            <w:shd w:val="clear" w:color="auto" w:fill="auto"/>
            <w:vAlign w:val="bottom"/>
          </w:tcPr>
          <w:p w14:paraId="27E087CB" w14:textId="77777777" w:rsidR="00A85061" w:rsidRDefault="00A85061">
            <w:pPr>
              <w:rPr>
                <w:rFonts w:ascii="宋体"/>
                <w:vanish/>
              </w:rPr>
            </w:pPr>
          </w:p>
        </w:tc>
        <w:tc>
          <w:tcPr>
            <w:tcW w:w="0" w:type="auto"/>
            <w:gridSpan w:val="3"/>
            <w:shd w:val="clear" w:color="auto" w:fill="auto"/>
            <w:vAlign w:val="bottom"/>
          </w:tcPr>
          <w:p w14:paraId="27E087CC" w14:textId="77777777" w:rsidR="00A85061" w:rsidRDefault="00A85061">
            <w:pPr>
              <w:rPr>
                <w:rFonts w:ascii="宋体"/>
                <w:vanish/>
              </w:rPr>
            </w:pPr>
          </w:p>
        </w:tc>
      </w:tr>
      <w:tr w:rsidR="00A85061" w14:paraId="27E087DC" w14:textId="77777777">
        <w:tc>
          <w:tcPr>
            <w:tcW w:w="0" w:type="auto"/>
            <w:gridSpan w:val="3"/>
            <w:shd w:val="clear" w:color="auto" w:fill="auto"/>
            <w:tcMar>
              <w:top w:w="0" w:type="dxa"/>
              <w:left w:w="20" w:type="dxa"/>
              <w:bottom w:w="0" w:type="dxa"/>
              <w:right w:w="20" w:type="dxa"/>
            </w:tcMar>
            <w:vAlign w:val="bottom"/>
          </w:tcPr>
          <w:p w14:paraId="27E087CE" w14:textId="77777777" w:rsidR="00A85061" w:rsidRDefault="00A85061">
            <w:pPr>
              <w:rPr>
                <w:rFonts w:ascii="宋体"/>
              </w:rPr>
            </w:pPr>
          </w:p>
        </w:tc>
        <w:tc>
          <w:tcPr>
            <w:tcW w:w="0" w:type="auto"/>
            <w:shd w:val="clear" w:color="auto" w:fill="auto"/>
            <w:vAlign w:val="bottom"/>
          </w:tcPr>
          <w:p w14:paraId="27E087CF" w14:textId="77777777" w:rsidR="00A85061" w:rsidRDefault="00A85061">
            <w:pPr>
              <w:rPr>
                <w:rFonts w:ascii="宋体"/>
                <w:vanish/>
              </w:rPr>
            </w:pPr>
          </w:p>
        </w:tc>
        <w:tc>
          <w:tcPr>
            <w:tcW w:w="0" w:type="auto"/>
            <w:shd w:val="clear" w:color="auto" w:fill="auto"/>
            <w:vAlign w:val="bottom"/>
          </w:tcPr>
          <w:p w14:paraId="27E087D0" w14:textId="77777777" w:rsidR="00A85061" w:rsidRDefault="00A85061">
            <w:pPr>
              <w:rPr>
                <w:rFonts w:ascii="宋体"/>
                <w:vanish/>
              </w:rPr>
            </w:pPr>
          </w:p>
        </w:tc>
        <w:tc>
          <w:tcPr>
            <w:tcW w:w="0" w:type="auto"/>
            <w:gridSpan w:val="23"/>
            <w:tcBorders>
              <w:bottom w:val="single" w:sz="8" w:space="0" w:color="000000"/>
            </w:tcBorders>
            <w:shd w:val="clear" w:color="auto" w:fill="auto"/>
            <w:tcMar>
              <w:top w:w="40" w:type="dxa"/>
              <w:left w:w="20" w:type="dxa"/>
              <w:bottom w:w="40" w:type="dxa"/>
              <w:right w:w="20" w:type="dxa"/>
            </w:tcMar>
            <w:vAlign w:val="bottom"/>
          </w:tcPr>
          <w:p w14:paraId="27E087D1" w14:textId="77777777" w:rsidR="00A85061" w:rsidRDefault="00F04891">
            <w:pPr>
              <w:jc w:val="center"/>
              <w:textAlignment w:val="bottom"/>
            </w:pPr>
            <w:r>
              <w:rPr>
                <w:rFonts w:ascii="sans-serif" w:eastAsia="sans-serif" w:hAnsi="sans-serif" w:cs="sans-serif"/>
                <w:b/>
                <w:bCs/>
                <w:color w:val="000000"/>
                <w:sz w:val="20"/>
                <w:szCs w:val="20"/>
              </w:rPr>
              <w:t>Pro Forma (Unaudited)</w:t>
            </w:r>
          </w:p>
        </w:tc>
        <w:tc>
          <w:tcPr>
            <w:tcW w:w="0" w:type="auto"/>
            <w:gridSpan w:val="3"/>
            <w:shd w:val="clear" w:color="auto" w:fill="auto"/>
            <w:vAlign w:val="bottom"/>
          </w:tcPr>
          <w:p w14:paraId="27E087D2" w14:textId="77777777" w:rsidR="00A85061" w:rsidRDefault="00A85061">
            <w:pPr>
              <w:rPr>
                <w:rFonts w:ascii="宋体"/>
                <w:vanish/>
              </w:rPr>
            </w:pPr>
          </w:p>
        </w:tc>
        <w:tc>
          <w:tcPr>
            <w:tcW w:w="0" w:type="auto"/>
            <w:gridSpan w:val="3"/>
            <w:shd w:val="clear" w:color="auto" w:fill="auto"/>
            <w:vAlign w:val="bottom"/>
          </w:tcPr>
          <w:p w14:paraId="27E087D3" w14:textId="77777777" w:rsidR="00A85061" w:rsidRDefault="00A85061">
            <w:pPr>
              <w:rPr>
                <w:rFonts w:ascii="宋体"/>
                <w:vanish/>
              </w:rPr>
            </w:pPr>
          </w:p>
        </w:tc>
        <w:tc>
          <w:tcPr>
            <w:tcW w:w="0" w:type="auto"/>
            <w:gridSpan w:val="3"/>
            <w:shd w:val="clear" w:color="auto" w:fill="auto"/>
            <w:vAlign w:val="bottom"/>
          </w:tcPr>
          <w:p w14:paraId="27E087D4" w14:textId="77777777" w:rsidR="00A85061" w:rsidRDefault="00A85061">
            <w:pPr>
              <w:rPr>
                <w:rFonts w:ascii="宋体"/>
                <w:vanish/>
              </w:rPr>
            </w:pPr>
          </w:p>
        </w:tc>
        <w:tc>
          <w:tcPr>
            <w:tcW w:w="0" w:type="auto"/>
            <w:gridSpan w:val="3"/>
            <w:shd w:val="clear" w:color="auto" w:fill="auto"/>
            <w:vAlign w:val="bottom"/>
          </w:tcPr>
          <w:p w14:paraId="27E087D5" w14:textId="77777777" w:rsidR="00A85061" w:rsidRDefault="00A85061">
            <w:pPr>
              <w:rPr>
                <w:rFonts w:ascii="宋体"/>
                <w:vanish/>
              </w:rPr>
            </w:pPr>
          </w:p>
        </w:tc>
        <w:tc>
          <w:tcPr>
            <w:tcW w:w="0" w:type="auto"/>
            <w:shd w:val="clear" w:color="auto" w:fill="auto"/>
            <w:vAlign w:val="bottom"/>
          </w:tcPr>
          <w:p w14:paraId="27E087D6" w14:textId="77777777" w:rsidR="00A85061" w:rsidRDefault="00A85061">
            <w:pPr>
              <w:rPr>
                <w:rFonts w:ascii="宋体"/>
              </w:rPr>
            </w:pPr>
          </w:p>
        </w:tc>
        <w:tc>
          <w:tcPr>
            <w:tcW w:w="0" w:type="auto"/>
            <w:shd w:val="clear" w:color="auto" w:fill="auto"/>
            <w:vAlign w:val="bottom"/>
          </w:tcPr>
          <w:p w14:paraId="27E087D7" w14:textId="77777777" w:rsidR="00A85061" w:rsidRDefault="00A85061">
            <w:pPr>
              <w:rPr>
                <w:rFonts w:ascii="宋体"/>
              </w:rPr>
            </w:pPr>
          </w:p>
        </w:tc>
        <w:tc>
          <w:tcPr>
            <w:tcW w:w="0" w:type="auto"/>
            <w:shd w:val="clear" w:color="auto" w:fill="auto"/>
            <w:vAlign w:val="bottom"/>
          </w:tcPr>
          <w:p w14:paraId="27E087D8" w14:textId="77777777" w:rsidR="00A85061" w:rsidRDefault="00A85061">
            <w:pPr>
              <w:rPr>
                <w:rFonts w:ascii="宋体"/>
              </w:rPr>
            </w:pPr>
          </w:p>
        </w:tc>
        <w:tc>
          <w:tcPr>
            <w:tcW w:w="0" w:type="auto"/>
            <w:shd w:val="clear" w:color="auto" w:fill="auto"/>
            <w:vAlign w:val="bottom"/>
          </w:tcPr>
          <w:p w14:paraId="27E087D9" w14:textId="77777777" w:rsidR="00A85061" w:rsidRDefault="00A85061">
            <w:pPr>
              <w:rPr>
                <w:rFonts w:ascii="宋体"/>
              </w:rPr>
            </w:pPr>
          </w:p>
        </w:tc>
        <w:tc>
          <w:tcPr>
            <w:tcW w:w="0" w:type="auto"/>
            <w:shd w:val="clear" w:color="auto" w:fill="auto"/>
            <w:vAlign w:val="bottom"/>
          </w:tcPr>
          <w:p w14:paraId="27E087DA" w14:textId="77777777" w:rsidR="00A85061" w:rsidRDefault="00A85061">
            <w:pPr>
              <w:rPr>
                <w:rFonts w:ascii="宋体"/>
              </w:rPr>
            </w:pPr>
          </w:p>
        </w:tc>
        <w:tc>
          <w:tcPr>
            <w:tcW w:w="0" w:type="auto"/>
            <w:shd w:val="clear" w:color="auto" w:fill="auto"/>
            <w:vAlign w:val="bottom"/>
          </w:tcPr>
          <w:p w14:paraId="27E087DB" w14:textId="77777777" w:rsidR="00A85061" w:rsidRDefault="00A85061">
            <w:pPr>
              <w:rPr>
                <w:rFonts w:ascii="宋体"/>
              </w:rPr>
            </w:pPr>
          </w:p>
        </w:tc>
      </w:tr>
      <w:tr w:rsidR="00A85061" w14:paraId="27E087F1" w14:textId="77777777">
        <w:tc>
          <w:tcPr>
            <w:tcW w:w="0" w:type="auto"/>
            <w:gridSpan w:val="3"/>
            <w:shd w:val="clear" w:color="auto" w:fill="auto"/>
            <w:tcMar>
              <w:top w:w="40" w:type="dxa"/>
              <w:left w:w="20" w:type="dxa"/>
              <w:bottom w:w="40" w:type="dxa"/>
              <w:right w:w="20" w:type="dxa"/>
            </w:tcMar>
            <w:vAlign w:val="bottom"/>
          </w:tcPr>
          <w:p w14:paraId="27E087DD" w14:textId="77777777" w:rsidR="00A85061" w:rsidRDefault="00F04891">
            <w:pPr>
              <w:textAlignment w:val="bottom"/>
            </w:pPr>
            <w:r>
              <w:rPr>
                <w:rFonts w:ascii="sans-serif" w:eastAsia="sans-serif" w:hAnsi="sans-serif" w:cs="sans-serif"/>
                <w:color w:val="000000"/>
                <w:sz w:val="20"/>
                <w:szCs w:val="20"/>
              </w:rPr>
              <w:t> </w:t>
            </w:r>
          </w:p>
        </w:tc>
        <w:tc>
          <w:tcPr>
            <w:tcW w:w="0" w:type="auto"/>
            <w:shd w:val="clear" w:color="auto" w:fill="auto"/>
            <w:vAlign w:val="bottom"/>
          </w:tcPr>
          <w:p w14:paraId="27E087DE" w14:textId="77777777" w:rsidR="00A85061" w:rsidRDefault="00A85061">
            <w:pPr>
              <w:rPr>
                <w:rFonts w:ascii="宋体"/>
                <w:vanish/>
              </w:rPr>
            </w:pPr>
          </w:p>
        </w:tc>
        <w:tc>
          <w:tcPr>
            <w:tcW w:w="0" w:type="auto"/>
            <w:shd w:val="clear" w:color="auto" w:fill="auto"/>
            <w:vAlign w:val="bottom"/>
          </w:tcPr>
          <w:p w14:paraId="27E087DF" w14:textId="77777777" w:rsidR="00A85061" w:rsidRDefault="00A85061">
            <w:pPr>
              <w:rPr>
                <w:rFonts w:ascii="宋体"/>
                <w:vanish/>
              </w:rPr>
            </w:pPr>
          </w:p>
        </w:tc>
        <w:tc>
          <w:tcPr>
            <w:tcW w:w="0" w:type="auto"/>
            <w:gridSpan w:val="5"/>
            <w:tcBorders>
              <w:top w:val="single" w:sz="8" w:space="0" w:color="000000"/>
            </w:tcBorders>
            <w:shd w:val="clear" w:color="auto" w:fill="auto"/>
            <w:tcMar>
              <w:top w:w="40" w:type="dxa"/>
              <w:left w:w="20" w:type="dxa"/>
              <w:bottom w:w="40" w:type="dxa"/>
              <w:right w:w="20" w:type="dxa"/>
            </w:tcMar>
            <w:vAlign w:val="bottom"/>
          </w:tcPr>
          <w:p w14:paraId="27E087E0"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E1" w14:textId="77777777" w:rsidR="00A85061" w:rsidRDefault="00A8506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27E087E2" w14:textId="77777777" w:rsidR="00A85061" w:rsidRDefault="00F04891">
            <w:pPr>
              <w:jc w:val="center"/>
              <w:textAlignment w:val="bottom"/>
            </w:pPr>
            <w:r>
              <w:rPr>
                <w:rFonts w:ascii="sans-serif" w:eastAsia="sans-serif" w:hAnsi="sans-serif" w:cs="sans-serif"/>
                <w:b/>
                <w:bCs/>
                <w:color w:val="000000"/>
                <w:sz w:val="20"/>
                <w:szCs w:val="20"/>
              </w:rPr>
              <w:t>Twelve Months Ended</w:t>
            </w:r>
          </w:p>
        </w:tc>
        <w:tc>
          <w:tcPr>
            <w:tcW w:w="0" w:type="auto"/>
            <w:gridSpan w:val="3"/>
            <w:shd w:val="clear" w:color="auto" w:fill="auto"/>
            <w:vAlign w:val="bottom"/>
          </w:tcPr>
          <w:p w14:paraId="27E087E3" w14:textId="77777777" w:rsidR="00A85061" w:rsidRDefault="00A85061">
            <w:pPr>
              <w:rPr>
                <w:rFonts w:ascii="宋体"/>
                <w:vanish/>
              </w:rPr>
            </w:pPr>
          </w:p>
        </w:tc>
        <w:tc>
          <w:tcPr>
            <w:tcW w:w="0" w:type="auto"/>
            <w:gridSpan w:val="3"/>
            <w:shd w:val="clear" w:color="auto" w:fill="auto"/>
            <w:vAlign w:val="bottom"/>
          </w:tcPr>
          <w:p w14:paraId="27E087E4" w14:textId="77777777" w:rsidR="00A85061" w:rsidRDefault="00A85061">
            <w:pPr>
              <w:rPr>
                <w:rFonts w:ascii="宋体"/>
                <w:vanish/>
              </w:rPr>
            </w:pPr>
          </w:p>
        </w:tc>
        <w:tc>
          <w:tcPr>
            <w:tcW w:w="0" w:type="auto"/>
            <w:shd w:val="clear" w:color="auto" w:fill="auto"/>
            <w:vAlign w:val="bottom"/>
          </w:tcPr>
          <w:p w14:paraId="27E087E5" w14:textId="77777777" w:rsidR="00A85061" w:rsidRDefault="00A85061">
            <w:pPr>
              <w:rPr>
                <w:rFonts w:ascii="宋体"/>
              </w:rPr>
            </w:pPr>
          </w:p>
        </w:tc>
        <w:tc>
          <w:tcPr>
            <w:tcW w:w="0" w:type="auto"/>
            <w:shd w:val="clear" w:color="auto" w:fill="auto"/>
            <w:vAlign w:val="bottom"/>
          </w:tcPr>
          <w:p w14:paraId="27E087E6" w14:textId="77777777" w:rsidR="00A85061" w:rsidRDefault="00A85061">
            <w:pPr>
              <w:rPr>
                <w:rFonts w:ascii="宋体"/>
              </w:rPr>
            </w:pPr>
          </w:p>
        </w:tc>
        <w:tc>
          <w:tcPr>
            <w:tcW w:w="0" w:type="auto"/>
            <w:shd w:val="clear" w:color="auto" w:fill="auto"/>
            <w:vAlign w:val="bottom"/>
          </w:tcPr>
          <w:p w14:paraId="27E087E7" w14:textId="77777777" w:rsidR="00A85061" w:rsidRDefault="00A85061">
            <w:pPr>
              <w:rPr>
                <w:rFonts w:ascii="宋体"/>
              </w:rPr>
            </w:pPr>
          </w:p>
        </w:tc>
        <w:tc>
          <w:tcPr>
            <w:tcW w:w="0" w:type="auto"/>
            <w:shd w:val="clear" w:color="auto" w:fill="auto"/>
            <w:vAlign w:val="bottom"/>
          </w:tcPr>
          <w:p w14:paraId="27E087E8" w14:textId="77777777" w:rsidR="00A85061" w:rsidRDefault="00A85061">
            <w:pPr>
              <w:rPr>
                <w:rFonts w:ascii="宋体"/>
              </w:rPr>
            </w:pPr>
          </w:p>
        </w:tc>
        <w:tc>
          <w:tcPr>
            <w:tcW w:w="0" w:type="auto"/>
            <w:shd w:val="clear" w:color="auto" w:fill="auto"/>
            <w:vAlign w:val="bottom"/>
          </w:tcPr>
          <w:p w14:paraId="27E087E9" w14:textId="77777777" w:rsidR="00A85061" w:rsidRDefault="00A85061">
            <w:pPr>
              <w:rPr>
                <w:rFonts w:ascii="宋体"/>
              </w:rPr>
            </w:pPr>
          </w:p>
        </w:tc>
        <w:tc>
          <w:tcPr>
            <w:tcW w:w="0" w:type="auto"/>
            <w:shd w:val="clear" w:color="auto" w:fill="auto"/>
            <w:vAlign w:val="bottom"/>
          </w:tcPr>
          <w:p w14:paraId="27E087EA" w14:textId="77777777" w:rsidR="00A85061" w:rsidRDefault="00A85061">
            <w:pPr>
              <w:rPr>
                <w:rFonts w:ascii="宋体"/>
              </w:rPr>
            </w:pPr>
          </w:p>
        </w:tc>
        <w:tc>
          <w:tcPr>
            <w:tcW w:w="0" w:type="auto"/>
            <w:shd w:val="clear" w:color="auto" w:fill="auto"/>
            <w:vAlign w:val="bottom"/>
          </w:tcPr>
          <w:p w14:paraId="27E087EB" w14:textId="77777777" w:rsidR="00A85061" w:rsidRDefault="00A85061">
            <w:pPr>
              <w:rPr>
                <w:rFonts w:ascii="宋体"/>
              </w:rPr>
            </w:pPr>
          </w:p>
        </w:tc>
        <w:tc>
          <w:tcPr>
            <w:tcW w:w="0" w:type="auto"/>
            <w:shd w:val="clear" w:color="auto" w:fill="auto"/>
            <w:vAlign w:val="bottom"/>
          </w:tcPr>
          <w:p w14:paraId="27E087EC" w14:textId="77777777" w:rsidR="00A85061" w:rsidRDefault="00A85061">
            <w:pPr>
              <w:rPr>
                <w:rFonts w:ascii="宋体"/>
              </w:rPr>
            </w:pPr>
          </w:p>
        </w:tc>
        <w:tc>
          <w:tcPr>
            <w:tcW w:w="0" w:type="auto"/>
            <w:shd w:val="clear" w:color="auto" w:fill="auto"/>
            <w:vAlign w:val="bottom"/>
          </w:tcPr>
          <w:p w14:paraId="27E087ED" w14:textId="77777777" w:rsidR="00A85061" w:rsidRDefault="00A85061">
            <w:pPr>
              <w:rPr>
                <w:rFonts w:ascii="宋体"/>
              </w:rPr>
            </w:pPr>
          </w:p>
        </w:tc>
        <w:tc>
          <w:tcPr>
            <w:tcW w:w="0" w:type="auto"/>
            <w:shd w:val="clear" w:color="auto" w:fill="auto"/>
            <w:vAlign w:val="bottom"/>
          </w:tcPr>
          <w:p w14:paraId="27E087EE" w14:textId="77777777" w:rsidR="00A85061" w:rsidRDefault="00A85061">
            <w:pPr>
              <w:rPr>
                <w:rFonts w:ascii="宋体"/>
              </w:rPr>
            </w:pPr>
          </w:p>
        </w:tc>
        <w:tc>
          <w:tcPr>
            <w:tcW w:w="0" w:type="auto"/>
            <w:shd w:val="clear" w:color="auto" w:fill="auto"/>
            <w:vAlign w:val="bottom"/>
          </w:tcPr>
          <w:p w14:paraId="27E087EF" w14:textId="77777777" w:rsidR="00A85061" w:rsidRDefault="00A85061">
            <w:pPr>
              <w:rPr>
                <w:rFonts w:ascii="宋体"/>
              </w:rPr>
            </w:pPr>
          </w:p>
        </w:tc>
        <w:tc>
          <w:tcPr>
            <w:tcW w:w="0" w:type="auto"/>
            <w:shd w:val="clear" w:color="auto" w:fill="auto"/>
            <w:vAlign w:val="bottom"/>
          </w:tcPr>
          <w:p w14:paraId="27E087F0" w14:textId="77777777" w:rsidR="00A85061" w:rsidRDefault="00A85061">
            <w:pPr>
              <w:rPr>
                <w:rFonts w:ascii="宋体"/>
              </w:rPr>
            </w:pPr>
          </w:p>
        </w:tc>
      </w:tr>
      <w:tr w:rsidR="00A85061" w14:paraId="27E08804" w14:textId="77777777">
        <w:tc>
          <w:tcPr>
            <w:tcW w:w="0" w:type="auto"/>
            <w:gridSpan w:val="3"/>
            <w:shd w:val="clear" w:color="auto" w:fill="auto"/>
            <w:tcMar>
              <w:top w:w="0" w:type="dxa"/>
              <w:left w:w="20" w:type="dxa"/>
              <w:bottom w:w="0" w:type="dxa"/>
              <w:right w:w="20" w:type="dxa"/>
            </w:tcMar>
            <w:vAlign w:val="bottom"/>
          </w:tcPr>
          <w:p w14:paraId="27E087F2" w14:textId="77777777" w:rsidR="00A85061" w:rsidRDefault="00A85061">
            <w:pPr>
              <w:rPr>
                <w:rFonts w:ascii="宋体"/>
              </w:rPr>
            </w:pPr>
          </w:p>
        </w:tc>
        <w:tc>
          <w:tcPr>
            <w:tcW w:w="0" w:type="auto"/>
            <w:shd w:val="clear" w:color="auto" w:fill="auto"/>
            <w:vAlign w:val="bottom"/>
          </w:tcPr>
          <w:p w14:paraId="27E087F3" w14:textId="77777777" w:rsidR="00A85061" w:rsidRDefault="00A85061">
            <w:pPr>
              <w:rPr>
                <w:rFonts w:ascii="宋体"/>
                <w:vanish/>
              </w:rPr>
            </w:pPr>
          </w:p>
        </w:tc>
        <w:tc>
          <w:tcPr>
            <w:tcW w:w="0" w:type="auto"/>
            <w:shd w:val="clear" w:color="auto" w:fill="auto"/>
            <w:vAlign w:val="bottom"/>
          </w:tcPr>
          <w:p w14:paraId="27E087F4" w14:textId="77777777" w:rsidR="00A85061" w:rsidRDefault="00A85061">
            <w:pPr>
              <w:rPr>
                <w:rFonts w:ascii="宋体"/>
                <w:vanish/>
              </w:rPr>
            </w:pPr>
          </w:p>
        </w:tc>
        <w:tc>
          <w:tcPr>
            <w:tcW w:w="0" w:type="auto"/>
            <w:shd w:val="clear" w:color="auto" w:fill="auto"/>
            <w:vAlign w:val="bottom"/>
          </w:tcPr>
          <w:p w14:paraId="27E087F5" w14:textId="77777777" w:rsidR="00A85061" w:rsidRDefault="00A85061">
            <w:pPr>
              <w:rPr>
                <w:rFonts w:ascii="宋体"/>
                <w:vanish/>
              </w:rPr>
            </w:pPr>
          </w:p>
        </w:tc>
        <w:tc>
          <w:tcPr>
            <w:tcW w:w="0" w:type="auto"/>
            <w:shd w:val="clear" w:color="auto" w:fill="auto"/>
            <w:vAlign w:val="bottom"/>
          </w:tcPr>
          <w:p w14:paraId="27E087F6" w14:textId="77777777" w:rsidR="00A85061" w:rsidRDefault="00A8506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F7" w14:textId="77777777" w:rsidR="00A85061" w:rsidRDefault="00F04891">
            <w:pPr>
              <w:jc w:val="center"/>
              <w:textAlignment w:val="bottom"/>
            </w:pPr>
            <w:r>
              <w:rPr>
                <w:rFonts w:ascii="sans-serif" w:eastAsia="sans-serif" w:hAnsi="sans-serif" w:cs="sans-serif"/>
                <w:b/>
                <w:bCs/>
                <w:color w:val="000000"/>
                <w:sz w:val="20"/>
                <w:szCs w:val="20"/>
              </w:rPr>
              <w:t>May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F8"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F9" w14:textId="77777777" w:rsidR="00A85061" w:rsidRDefault="00F04891">
            <w:pPr>
              <w:jc w:val="center"/>
              <w:textAlignment w:val="bottom"/>
            </w:pPr>
            <w:r>
              <w:rPr>
                <w:rFonts w:ascii="sans-serif" w:eastAsia="sans-serif" w:hAnsi="sans-serif" w:cs="sans-serif"/>
                <w:b/>
                <w:bCs/>
                <w:color w:val="000000"/>
                <w:sz w:val="20"/>
                <w:szCs w:val="20"/>
              </w:rPr>
              <w:t>April 26,</w:t>
            </w:r>
          </w:p>
        </w:tc>
        <w:tc>
          <w:tcPr>
            <w:tcW w:w="0" w:type="auto"/>
            <w:gridSpan w:val="3"/>
            <w:shd w:val="clear" w:color="auto" w:fill="auto"/>
            <w:tcMar>
              <w:top w:w="0" w:type="dxa"/>
              <w:left w:w="20" w:type="dxa"/>
              <w:bottom w:w="0" w:type="dxa"/>
              <w:right w:w="20" w:type="dxa"/>
            </w:tcMar>
            <w:vAlign w:val="bottom"/>
          </w:tcPr>
          <w:p w14:paraId="27E087FA"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FB" w14:textId="77777777" w:rsidR="00A85061" w:rsidRDefault="00F04891">
            <w:pPr>
              <w:jc w:val="center"/>
              <w:textAlignment w:val="bottom"/>
            </w:pPr>
            <w:r>
              <w:rPr>
                <w:rFonts w:ascii="sans-serif" w:eastAsia="sans-serif" w:hAnsi="sans-serif" w:cs="sans-serif"/>
                <w:b/>
                <w:bCs/>
                <w:color w:val="000000"/>
                <w:sz w:val="20"/>
                <w:szCs w:val="20"/>
              </w:rPr>
              <w:t>January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FC"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FD" w14:textId="77777777" w:rsidR="00A85061" w:rsidRDefault="00F04891">
            <w:pPr>
              <w:jc w:val="center"/>
              <w:textAlignment w:val="bottom"/>
            </w:pPr>
            <w:r>
              <w:rPr>
                <w:rFonts w:ascii="sans-serif" w:eastAsia="sans-serif" w:hAnsi="sans-serif" w:cs="sans-serif"/>
                <w:b/>
                <w:bCs/>
                <w:color w:val="000000"/>
                <w:sz w:val="20"/>
                <w:szCs w:val="20"/>
              </w:rPr>
              <w:t>January 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7FE"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7FF" w14:textId="77777777" w:rsidR="00A85061" w:rsidRDefault="00F04891">
            <w:pPr>
              <w:jc w:val="center"/>
              <w:textAlignment w:val="bottom"/>
            </w:pPr>
            <w:r>
              <w:rPr>
                <w:rFonts w:ascii="sans-serif" w:eastAsia="sans-serif" w:hAnsi="sans-serif" w:cs="sans-serif"/>
                <w:b/>
                <w:bCs/>
                <w:color w:val="000000"/>
                <w:sz w:val="20"/>
                <w:szCs w:val="20"/>
              </w:rPr>
              <w:t>January 27,</w:t>
            </w:r>
          </w:p>
        </w:tc>
        <w:tc>
          <w:tcPr>
            <w:tcW w:w="0" w:type="auto"/>
            <w:gridSpan w:val="3"/>
            <w:shd w:val="clear" w:color="auto" w:fill="auto"/>
            <w:vAlign w:val="bottom"/>
          </w:tcPr>
          <w:p w14:paraId="27E08800" w14:textId="77777777" w:rsidR="00A85061" w:rsidRDefault="00A85061">
            <w:pPr>
              <w:rPr>
                <w:rFonts w:ascii="宋体"/>
                <w:vanish/>
              </w:rPr>
            </w:pPr>
          </w:p>
        </w:tc>
        <w:tc>
          <w:tcPr>
            <w:tcW w:w="0" w:type="auto"/>
            <w:gridSpan w:val="3"/>
            <w:shd w:val="clear" w:color="auto" w:fill="auto"/>
            <w:vAlign w:val="bottom"/>
          </w:tcPr>
          <w:p w14:paraId="27E08801" w14:textId="77777777" w:rsidR="00A85061" w:rsidRDefault="00A85061">
            <w:pPr>
              <w:rPr>
                <w:rFonts w:ascii="宋体"/>
                <w:vanish/>
              </w:rPr>
            </w:pPr>
          </w:p>
        </w:tc>
        <w:tc>
          <w:tcPr>
            <w:tcW w:w="0" w:type="auto"/>
            <w:gridSpan w:val="3"/>
            <w:shd w:val="clear" w:color="auto" w:fill="auto"/>
            <w:vAlign w:val="bottom"/>
          </w:tcPr>
          <w:p w14:paraId="27E08802" w14:textId="77777777" w:rsidR="00A85061" w:rsidRDefault="00A85061">
            <w:pPr>
              <w:rPr>
                <w:rFonts w:ascii="宋体"/>
                <w:vanish/>
              </w:rPr>
            </w:pPr>
          </w:p>
        </w:tc>
        <w:tc>
          <w:tcPr>
            <w:tcW w:w="0" w:type="auto"/>
            <w:gridSpan w:val="3"/>
            <w:shd w:val="clear" w:color="auto" w:fill="auto"/>
            <w:vAlign w:val="bottom"/>
          </w:tcPr>
          <w:p w14:paraId="27E08803" w14:textId="77777777" w:rsidR="00A85061" w:rsidRDefault="00A85061">
            <w:pPr>
              <w:rPr>
                <w:rFonts w:ascii="宋体"/>
                <w:vanish/>
              </w:rPr>
            </w:pPr>
          </w:p>
        </w:tc>
      </w:tr>
      <w:tr w:rsidR="00A85061" w14:paraId="27E08817" w14:textId="77777777">
        <w:tc>
          <w:tcPr>
            <w:tcW w:w="0" w:type="auto"/>
            <w:gridSpan w:val="3"/>
            <w:shd w:val="clear" w:color="auto" w:fill="auto"/>
            <w:tcMar>
              <w:top w:w="0" w:type="dxa"/>
              <w:left w:w="20" w:type="dxa"/>
              <w:bottom w:w="0" w:type="dxa"/>
              <w:right w:w="20" w:type="dxa"/>
            </w:tcMar>
            <w:vAlign w:val="bottom"/>
          </w:tcPr>
          <w:p w14:paraId="27E08805" w14:textId="77777777" w:rsidR="00A85061" w:rsidRDefault="00A85061">
            <w:pPr>
              <w:rPr>
                <w:rFonts w:ascii="宋体"/>
              </w:rPr>
            </w:pPr>
          </w:p>
        </w:tc>
        <w:tc>
          <w:tcPr>
            <w:tcW w:w="0" w:type="auto"/>
            <w:shd w:val="clear" w:color="auto" w:fill="auto"/>
            <w:vAlign w:val="bottom"/>
          </w:tcPr>
          <w:p w14:paraId="27E08806" w14:textId="77777777" w:rsidR="00A85061" w:rsidRDefault="00A85061">
            <w:pPr>
              <w:rPr>
                <w:rFonts w:ascii="宋体"/>
                <w:vanish/>
              </w:rPr>
            </w:pPr>
          </w:p>
        </w:tc>
        <w:tc>
          <w:tcPr>
            <w:tcW w:w="0" w:type="auto"/>
            <w:shd w:val="clear" w:color="auto" w:fill="auto"/>
            <w:vAlign w:val="bottom"/>
          </w:tcPr>
          <w:p w14:paraId="27E08807" w14:textId="77777777" w:rsidR="00A85061" w:rsidRDefault="00A85061">
            <w:pPr>
              <w:rPr>
                <w:rFonts w:ascii="宋体"/>
                <w:vanish/>
              </w:rPr>
            </w:pPr>
          </w:p>
        </w:tc>
        <w:tc>
          <w:tcPr>
            <w:tcW w:w="0" w:type="auto"/>
            <w:shd w:val="clear" w:color="auto" w:fill="auto"/>
            <w:vAlign w:val="bottom"/>
          </w:tcPr>
          <w:p w14:paraId="27E08808" w14:textId="77777777" w:rsidR="00A85061" w:rsidRDefault="00A85061">
            <w:pPr>
              <w:rPr>
                <w:rFonts w:ascii="宋体"/>
                <w:vanish/>
              </w:rPr>
            </w:pPr>
          </w:p>
        </w:tc>
        <w:tc>
          <w:tcPr>
            <w:tcW w:w="0" w:type="auto"/>
            <w:shd w:val="clear" w:color="auto" w:fill="auto"/>
            <w:vAlign w:val="bottom"/>
          </w:tcPr>
          <w:p w14:paraId="27E08809" w14:textId="77777777" w:rsidR="00A85061" w:rsidRDefault="00A85061">
            <w:pPr>
              <w:rPr>
                <w:rFonts w:ascii="宋体"/>
                <w:vanish/>
              </w:rPr>
            </w:pPr>
          </w:p>
        </w:tc>
        <w:tc>
          <w:tcPr>
            <w:tcW w:w="0" w:type="auto"/>
            <w:gridSpan w:val="3"/>
            <w:shd w:val="clear" w:color="auto" w:fill="auto"/>
            <w:tcMar>
              <w:top w:w="40" w:type="dxa"/>
              <w:left w:w="20" w:type="dxa"/>
              <w:bottom w:w="40" w:type="dxa"/>
              <w:right w:w="20" w:type="dxa"/>
            </w:tcMar>
            <w:vAlign w:val="bottom"/>
          </w:tcPr>
          <w:p w14:paraId="27E0880A"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80B"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80C"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27E0880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80E" w14:textId="77777777" w:rsidR="00A85061" w:rsidRDefault="00F04891">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27E0880F"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810" w14:textId="77777777" w:rsidR="00A85061" w:rsidRDefault="00F04891">
            <w:pPr>
              <w:jc w:val="center"/>
              <w:textAlignment w:val="bottom"/>
            </w:pPr>
            <w:r>
              <w:rPr>
                <w:rFonts w:ascii="sans-serif" w:eastAsia="sans-serif" w:hAnsi="sans-serif" w:cs="sans-serif"/>
                <w:b/>
                <w:bCs/>
                <w:color w:val="000000"/>
                <w:sz w:val="20"/>
                <w:szCs w:val="20"/>
              </w:rPr>
              <w:t>2020</w:t>
            </w:r>
          </w:p>
        </w:tc>
        <w:tc>
          <w:tcPr>
            <w:tcW w:w="0" w:type="auto"/>
            <w:gridSpan w:val="3"/>
            <w:shd w:val="clear" w:color="auto" w:fill="auto"/>
            <w:tcMar>
              <w:top w:w="0" w:type="dxa"/>
              <w:left w:w="20" w:type="dxa"/>
              <w:bottom w:w="0" w:type="dxa"/>
              <w:right w:w="20" w:type="dxa"/>
            </w:tcMar>
            <w:vAlign w:val="bottom"/>
          </w:tcPr>
          <w:p w14:paraId="27E0881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812" w14:textId="77777777" w:rsidR="00A85061" w:rsidRDefault="00F04891">
            <w:pPr>
              <w:jc w:val="center"/>
              <w:textAlignment w:val="bottom"/>
            </w:pPr>
            <w:r>
              <w:rPr>
                <w:rFonts w:ascii="sans-serif" w:eastAsia="sans-serif" w:hAnsi="sans-serif" w:cs="sans-serif"/>
                <w:b/>
                <w:bCs/>
                <w:color w:val="000000"/>
                <w:sz w:val="20"/>
                <w:szCs w:val="20"/>
              </w:rPr>
              <w:t>2019</w:t>
            </w:r>
          </w:p>
        </w:tc>
        <w:tc>
          <w:tcPr>
            <w:tcW w:w="0" w:type="auto"/>
            <w:gridSpan w:val="3"/>
            <w:shd w:val="clear" w:color="auto" w:fill="auto"/>
            <w:vAlign w:val="bottom"/>
          </w:tcPr>
          <w:p w14:paraId="27E08813" w14:textId="77777777" w:rsidR="00A85061" w:rsidRDefault="00A85061">
            <w:pPr>
              <w:rPr>
                <w:rFonts w:ascii="宋体"/>
                <w:vanish/>
              </w:rPr>
            </w:pPr>
          </w:p>
        </w:tc>
        <w:tc>
          <w:tcPr>
            <w:tcW w:w="0" w:type="auto"/>
            <w:gridSpan w:val="3"/>
            <w:shd w:val="clear" w:color="auto" w:fill="auto"/>
            <w:vAlign w:val="bottom"/>
          </w:tcPr>
          <w:p w14:paraId="27E08814" w14:textId="77777777" w:rsidR="00A85061" w:rsidRDefault="00A85061">
            <w:pPr>
              <w:rPr>
                <w:rFonts w:ascii="宋体"/>
                <w:vanish/>
              </w:rPr>
            </w:pPr>
          </w:p>
        </w:tc>
        <w:tc>
          <w:tcPr>
            <w:tcW w:w="0" w:type="auto"/>
            <w:gridSpan w:val="3"/>
            <w:shd w:val="clear" w:color="auto" w:fill="auto"/>
            <w:vAlign w:val="bottom"/>
          </w:tcPr>
          <w:p w14:paraId="27E08815" w14:textId="77777777" w:rsidR="00A85061" w:rsidRDefault="00A85061">
            <w:pPr>
              <w:rPr>
                <w:rFonts w:ascii="宋体"/>
                <w:vanish/>
              </w:rPr>
            </w:pPr>
          </w:p>
        </w:tc>
        <w:tc>
          <w:tcPr>
            <w:tcW w:w="0" w:type="auto"/>
            <w:gridSpan w:val="3"/>
            <w:shd w:val="clear" w:color="auto" w:fill="auto"/>
            <w:vAlign w:val="bottom"/>
          </w:tcPr>
          <w:p w14:paraId="27E08816" w14:textId="77777777" w:rsidR="00A85061" w:rsidRDefault="00A85061">
            <w:pPr>
              <w:rPr>
                <w:rFonts w:ascii="宋体"/>
                <w:vanish/>
              </w:rPr>
            </w:pPr>
          </w:p>
        </w:tc>
      </w:tr>
      <w:tr w:rsidR="00A85061" w14:paraId="27E0882A" w14:textId="77777777">
        <w:trPr>
          <w:trHeight w:val="60"/>
        </w:trPr>
        <w:tc>
          <w:tcPr>
            <w:tcW w:w="0" w:type="auto"/>
            <w:gridSpan w:val="3"/>
            <w:shd w:val="clear" w:color="auto" w:fill="auto"/>
            <w:tcMar>
              <w:top w:w="0" w:type="dxa"/>
              <w:left w:w="20" w:type="dxa"/>
              <w:bottom w:w="0" w:type="dxa"/>
              <w:right w:w="20" w:type="dxa"/>
            </w:tcMar>
            <w:vAlign w:val="bottom"/>
          </w:tcPr>
          <w:p w14:paraId="27E08818" w14:textId="77777777" w:rsidR="00A85061" w:rsidRDefault="00A85061">
            <w:pPr>
              <w:rPr>
                <w:rFonts w:ascii="宋体"/>
              </w:rPr>
            </w:pPr>
          </w:p>
        </w:tc>
        <w:tc>
          <w:tcPr>
            <w:tcW w:w="0" w:type="auto"/>
            <w:shd w:val="clear" w:color="auto" w:fill="auto"/>
            <w:vAlign w:val="bottom"/>
          </w:tcPr>
          <w:p w14:paraId="27E08819" w14:textId="77777777" w:rsidR="00A85061" w:rsidRDefault="00A85061">
            <w:pPr>
              <w:rPr>
                <w:rFonts w:ascii="宋体"/>
                <w:vanish/>
              </w:rPr>
            </w:pPr>
          </w:p>
        </w:tc>
        <w:tc>
          <w:tcPr>
            <w:tcW w:w="0" w:type="auto"/>
            <w:shd w:val="clear" w:color="auto" w:fill="auto"/>
            <w:vAlign w:val="bottom"/>
          </w:tcPr>
          <w:p w14:paraId="27E0881A" w14:textId="77777777" w:rsidR="00A85061" w:rsidRDefault="00A85061">
            <w:pPr>
              <w:rPr>
                <w:rFonts w:ascii="宋体"/>
                <w:vanish/>
              </w:rPr>
            </w:pPr>
          </w:p>
        </w:tc>
        <w:tc>
          <w:tcPr>
            <w:tcW w:w="0" w:type="auto"/>
            <w:shd w:val="clear" w:color="auto" w:fill="auto"/>
            <w:vAlign w:val="bottom"/>
          </w:tcPr>
          <w:p w14:paraId="27E0881B" w14:textId="77777777" w:rsidR="00A85061" w:rsidRDefault="00A85061">
            <w:pPr>
              <w:rPr>
                <w:rFonts w:ascii="宋体"/>
                <w:vanish/>
              </w:rPr>
            </w:pPr>
          </w:p>
        </w:tc>
        <w:tc>
          <w:tcPr>
            <w:tcW w:w="0" w:type="auto"/>
            <w:shd w:val="clear" w:color="auto" w:fill="auto"/>
            <w:vAlign w:val="bottom"/>
          </w:tcPr>
          <w:p w14:paraId="27E0881C" w14:textId="77777777" w:rsidR="00A85061" w:rsidRDefault="00A8506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81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81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81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82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82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82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82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82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825" w14:textId="77777777" w:rsidR="00A85061" w:rsidRDefault="00A85061">
            <w:pPr>
              <w:rPr>
                <w:rFonts w:ascii="宋体"/>
              </w:rPr>
            </w:pPr>
          </w:p>
        </w:tc>
        <w:tc>
          <w:tcPr>
            <w:tcW w:w="0" w:type="auto"/>
            <w:gridSpan w:val="3"/>
            <w:shd w:val="clear" w:color="auto" w:fill="auto"/>
            <w:vAlign w:val="bottom"/>
          </w:tcPr>
          <w:p w14:paraId="27E08826" w14:textId="77777777" w:rsidR="00A85061" w:rsidRDefault="00A85061">
            <w:pPr>
              <w:rPr>
                <w:rFonts w:ascii="宋体"/>
                <w:vanish/>
              </w:rPr>
            </w:pPr>
          </w:p>
        </w:tc>
        <w:tc>
          <w:tcPr>
            <w:tcW w:w="0" w:type="auto"/>
            <w:gridSpan w:val="3"/>
            <w:shd w:val="clear" w:color="auto" w:fill="auto"/>
            <w:vAlign w:val="bottom"/>
          </w:tcPr>
          <w:p w14:paraId="27E08827" w14:textId="77777777" w:rsidR="00A85061" w:rsidRDefault="00A85061">
            <w:pPr>
              <w:rPr>
                <w:rFonts w:ascii="宋体"/>
                <w:vanish/>
              </w:rPr>
            </w:pPr>
          </w:p>
        </w:tc>
        <w:tc>
          <w:tcPr>
            <w:tcW w:w="0" w:type="auto"/>
            <w:gridSpan w:val="3"/>
            <w:shd w:val="clear" w:color="auto" w:fill="auto"/>
            <w:vAlign w:val="bottom"/>
          </w:tcPr>
          <w:p w14:paraId="27E08828" w14:textId="77777777" w:rsidR="00A85061" w:rsidRDefault="00A85061">
            <w:pPr>
              <w:rPr>
                <w:rFonts w:ascii="宋体"/>
                <w:vanish/>
              </w:rPr>
            </w:pPr>
          </w:p>
        </w:tc>
        <w:tc>
          <w:tcPr>
            <w:tcW w:w="0" w:type="auto"/>
            <w:gridSpan w:val="3"/>
            <w:shd w:val="clear" w:color="auto" w:fill="auto"/>
            <w:vAlign w:val="bottom"/>
          </w:tcPr>
          <w:p w14:paraId="27E08829" w14:textId="77777777" w:rsidR="00A85061" w:rsidRDefault="00A85061">
            <w:pPr>
              <w:rPr>
                <w:rFonts w:ascii="宋体"/>
                <w:vanish/>
              </w:rPr>
            </w:pPr>
          </w:p>
        </w:tc>
      </w:tr>
      <w:tr w:rsidR="00A85061" w14:paraId="27E0883D" w14:textId="77777777">
        <w:tc>
          <w:tcPr>
            <w:tcW w:w="0" w:type="auto"/>
            <w:gridSpan w:val="3"/>
            <w:shd w:val="clear" w:color="auto" w:fill="auto"/>
            <w:tcMar>
              <w:top w:w="40" w:type="dxa"/>
              <w:left w:w="20" w:type="dxa"/>
              <w:bottom w:w="40" w:type="dxa"/>
              <w:right w:w="20" w:type="dxa"/>
            </w:tcMar>
            <w:vAlign w:val="bottom"/>
          </w:tcPr>
          <w:p w14:paraId="27E0882B" w14:textId="77777777" w:rsidR="00A85061" w:rsidRDefault="00F04891">
            <w:pPr>
              <w:textAlignment w:val="bottom"/>
            </w:pPr>
            <w:r>
              <w:rPr>
                <w:rFonts w:ascii="sans-serif" w:eastAsia="sans-serif" w:hAnsi="sans-serif" w:cs="sans-serif"/>
                <w:color w:val="000000"/>
                <w:sz w:val="20"/>
                <w:szCs w:val="20"/>
              </w:rPr>
              <w:t> </w:t>
            </w:r>
          </w:p>
        </w:tc>
        <w:tc>
          <w:tcPr>
            <w:tcW w:w="0" w:type="auto"/>
            <w:shd w:val="clear" w:color="auto" w:fill="auto"/>
            <w:vAlign w:val="bottom"/>
          </w:tcPr>
          <w:p w14:paraId="27E0882C" w14:textId="77777777" w:rsidR="00A85061" w:rsidRDefault="00A85061">
            <w:pPr>
              <w:rPr>
                <w:rFonts w:ascii="宋体"/>
                <w:vanish/>
              </w:rPr>
            </w:pPr>
          </w:p>
        </w:tc>
        <w:tc>
          <w:tcPr>
            <w:tcW w:w="0" w:type="auto"/>
            <w:shd w:val="clear" w:color="auto" w:fill="auto"/>
            <w:vAlign w:val="bottom"/>
          </w:tcPr>
          <w:p w14:paraId="27E0882D" w14:textId="77777777" w:rsidR="00A85061" w:rsidRDefault="00A85061">
            <w:pPr>
              <w:rPr>
                <w:rFonts w:ascii="宋体"/>
                <w:vanish/>
              </w:rPr>
            </w:pPr>
          </w:p>
        </w:tc>
        <w:tc>
          <w:tcPr>
            <w:tcW w:w="0" w:type="auto"/>
            <w:shd w:val="clear" w:color="auto" w:fill="auto"/>
            <w:vAlign w:val="bottom"/>
          </w:tcPr>
          <w:p w14:paraId="27E0882E" w14:textId="77777777" w:rsidR="00A85061" w:rsidRDefault="00A85061">
            <w:pPr>
              <w:rPr>
                <w:rFonts w:ascii="宋体"/>
                <w:vanish/>
              </w:rPr>
            </w:pPr>
          </w:p>
        </w:tc>
        <w:tc>
          <w:tcPr>
            <w:tcW w:w="0" w:type="auto"/>
            <w:shd w:val="clear" w:color="auto" w:fill="auto"/>
            <w:vAlign w:val="bottom"/>
          </w:tcPr>
          <w:p w14:paraId="27E0882F" w14:textId="77777777" w:rsidR="00A85061" w:rsidRDefault="00A85061">
            <w:pPr>
              <w:rPr>
                <w:rFonts w:ascii="宋体"/>
                <w:vanish/>
              </w:rPr>
            </w:pPr>
          </w:p>
        </w:tc>
        <w:tc>
          <w:tcPr>
            <w:tcW w:w="0" w:type="auto"/>
            <w:gridSpan w:val="27"/>
            <w:shd w:val="clear" w:color="auto" w:fill="auto"/>
            <w:tcMar>
              <w:top w:w="40" w:type="dxa"/>
              <w:left w:w="20" w:type="dxa"/>
              <w:bottom w:w="40" w:type="dxa"/>
              <w:right w:w="20" w:type="dxa"/>
            </w:tcMar>
            <w:vAlign w:val="bottom"/>
          </w:tcPr>
          <w:p w14:paraId="27E08830" w14:textId="77777777" w:rsidR="00A85061" w:rsidRDefault="00F04891">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27E08831" w14:textId="77777777" w:rsidR="00A85061" w:rsidRDefault="00A85061">
            <w:pPr>
              <w:rPr>
                <w:rFonts w:ascii="宋体"/>
              </w:rPr>
            </w:pPr>
          </w:p>
        </w:tc>
        <w:tc>
          <w:tcPr>
            <w:tcW w:w="0" w:type="auto"/>
            <w:shd w:val="clear" w:color="auto" w:fill="auto"/>
            <w:vAlign w:val="bottom"/>
          </w:tcPr>
          <w:p w14:paraId="27E08832" w14:textId="77777777" w:rsidR="00A85061" w:rsidRDefault="00A85061">
            <w:pPr>
              <w:rPr>
                <w:rFonts w:ascii="宋体"/>
              </w:rPr>
            </w:pPr>
          </w:p>
        </w:tc>
        <w:tc>
          <w:tcPr>
            <w:tcW w:w="0" w:type="auto"/>
            <w:shd w:val="clear" w:color="auto" w:fill="auto"/>
            <w:vAlign w:val="bottom"/>
          </w:tcPr>
          <w:p w14:paraId="27E08833" w14:textId="77777777" w:rsidR="00A85061" w:rsidRDefault="00A85061">
            <w:pPr>
              <w:rPr>
                <w:rFonts w:ascii="宋体"/>
              </w:rPr>
            </w:pPr>
          </w:p>
        </w:tc>
        <w:tc>
          <w:tcPr>
            <w:tcW w:w="0" w:type="auto"/>
            <w:shd w:val="clear" w:color="auto" w:fill="auto"/>
            <w:vAlign w:val="bottom"/>
          </w:tcPr>
          <w:p w14:paraId="27E08834" w14:textId="77777777" w:rsidR="00A85061" w:rsidRDefault="00A85061">
            <w:pPr>
              <w:rPr>
                <w:rFonts w:ascii="宋体"/>
              </w:rPr>
            </w:pPr>
          </w:p>
        </w:tc>
        <w:tc>
          <w:tcPr>
            <w:tcW w:w="0" w:type="auto"/>
            <w:shd w:val="clear" w:color="auto" w:fill="auto"/>
            <w:vAlign w:val="bottom"/>
          </w:tcPr>
          <w:p w14:paraId="27E08835" w14:textId="77777777" w:rsidR="00A85061" w:rsidRDefault="00A85061">
            <w:pPr>
              <w:rPr>
                <w:rFonts w:ascii="宋体"/>
              </w:rPr>
            </w:pPr>
          </w:p>
        </w:tc>
        <w:tc>
          <w:tcPr>
            <w:tcW w:w="0" w:type="auto"/>
            <w:shd w:val="clear" w:color="auto" w:fill="auto"/>
            <w:vAlign w:val="bottom"/>
          </w:tcPr>
          <w:p w14:paraId="27E08836" w14:textId="77777777" w:rsidR="00A85061" w:rsidRDefault="00A85061">
            <w:pPr>
              <w:rPr>
                <w:rFonts w:ascii="宋体"/>
              </w:rPr>
            </w:pPr>
          </w:p>
        </w:tc>
        <w:tc>
          <w:tcPr>
            <w:tcW w:w="0" w:type="auto"/>
            <w:shd w:val="clear" w:color="auto" w:fill="auto"/>
            <w:vAlign w:val="bottom"/>
          </w:tcPr>
          <w:p w14:paraId="27E08837" w14:textId="77777777" w:rsidR="00A85061" w:rsidRDefault="00A85061">
            <w:pPr>
              <w:rPr>
                <w:rFonts w:ascii="宋体"/>
              </w:rPr>
            </w:pPr>
          </w:p>
        </w:tc>
        <w:tc>
          <w:tcPr>
            <w:tcW w:w="0" w:type="auto"/>
            <w:shd w:val="clear" w:color="auto" w:fill="auto"/>
            <w:vAlign w:val="bottom"/>
          </w:tcPr>
          <w:p w14:paraId="27E08838" w14:textId="77777777" w:rsidR="00A85061" w:rsidRDefault="00A85061">
            <w:pPr>
              <w:rPr>
                <w:rFonts w:ascii="宋体"/>
              </w:rPr>
            </w:pPr>
          </w:p>
        </w:tc>
        <w:tc>
          <w:tcPr>
            <w:tcW w:w="0" w:type="auto"/>
            <w:shd w:val="clear" w:color="auto" w:fill="auto"/>
            <w:vAlign w:val="bottom"/>
          </w:tcPr>
          <w:p w14:paraId="27E08839" w14:textId="77777777" w:rsidR="00A85061" w:rsidRDefault="00A85061">
            <w:pPr>
              <w:rPr>
                <w:rFonts w:ascii="宋体"/>
              </w:rPr>
            </w:pPr>
          </w:p>
        </w:tc>
        <w:tc>
          <w:tcPr>
            <w:tcW w:w="0" w:type="auto"/>
            <w:shd w:val="clear" w:color="auto" w:fill="auto"/>
            <w:vAlign w:val="bottom"/>
          </w:tcPr>
          <w:p w14:paraId="27E0883A" w14:textId="77777777" w:rsidR="00A85061" w:rsidRDefault="00A85061">
            <w:pPr>
              <w:rPr>
                <w:rFonts w:ascii="宋体"/>
              </w:rPr>
            </w:pPr>
          </w:p>
        </w:tc>
        <w:tc>
          <w:tcPr>
            <w:tcW w:w="0" w:type="auto"/>
            <w:shd w:val="clear" w:color="auto" w:fill="auto"/>
            <w:vAlign w:val="bottom"/>
          </w:tcPr>
          <w:p w14:paraId="27E0883B" w14:textId="77777777" w:rsidR="00A85061" w:rsidRDefault="00A85061">
            <w:pPr>
              <w:rPr>
                <w:rFonts w:ascii="宋体"/>
              </w:rPr>
            </w:pPr>
          </w:p>
        </w:tc>
        <w:tc>
          <w:tcPr>
            <w:tcW w:w="0" w:type="auto"/>
            <w:shd w:val="clear" w:color="auto" w:fill="auto"/>
            <w:vAlign w:val="bottom"/>
          </w:tcPr>
          <w:p w14:paraId="27E0883C" w14:textId="77777777" w:rsidR="00A85061" w:rsidRDefault="00A85061">
            <w:pPr>
              <w:rPr>
                <w:rFonts w:ascii="宋体"/>
              </w:rPr>
            </w:pPr>
          </w:p>
        </w:tc>
      </w:tr>
      <w:tr w:rsidR="00A85061" w14:paraId="27E08850" w14:textId="77777777">
        <w:tc>
          <w:tcPr>
            <w:tcW w:w="0" w:type="auto"/>
            <w:gridSpan w:val="3"/>
            <w:shd w:val="clear" w:color="auto" w:fill="E2EFD9"/>
            <w:tcMar>
              <w:top w:w="40" w:type="dxa"/>
              <w:left w:w="20" w:type="dxa"/>
              <w:bottom w:w="40" w:type="dxa"/>
              <w:right w:w="20" w:type="dxa"/>
            </w:tcMar>
            <w:vAlign w:val="bottom"/>
          </w:tcPr>
          <w:p w14:paraId="27E0883E" w14:textId="77777777" w:rsidR="00A85061" w:rsidRDefault="00F04891">
            <w:pPr>
              <w:textAlignment w:val="bottom"/>
            </w:pPr>
            <w:r>
              <w:rPr>
                <w:rFonts w:ascii="sans-serif" w:eastAsia="sans-serif" w:hAnsi="sans-serif" w:cs="sans-serif"/>
                <w:color w:val="000000"/>
                <w:sz w:val="20"/>
                <w:szCs w:val="20"/>
              </w:rPr>
              <w:t>Numerator:</w:t>
            </w:r>
          </w:p>
        </w:tc>
        <w:tc>
          <w:tcPr>
            <w:tcW w:w="0" w:type="auto"/>
            <w:shd w:val="clear" w:color="auto" w:fill="auto"/>
            <w:vAlign w:val="bottom"/>
          </w:tcPr>
          <w:p w14:paraId="27E0883F" w14:textId="77777777" w:rsidR="00A85061" w:rsidRDefault="00A85061">
            <w:pPr>
              <w:rPr>
                <w:rFonts w:ascii="宋体"/>
                <w:vanish/>
              </w:rPr>
            </w:pPr>
          </w:p>
        </w:tc>
        <w:tc>
          <w:tcPr>
            <w:tcW w:w="0" w:type="auto"/>
            <w:shd w:val="clear" w:color="auto" w:fill="auto"/>
            <w:vAlign w:val="bottom"/>
          </w:tcPr>
          <w:p w14:paraId="27E08840" w14:textId="77777777" w:rsidR="00A85061" w:rsidRDefault="00A85061">
            <w:pPr>
              <w:rPr>
                <w:rFonts w:ascii="宋体"/>
                <w:vanish/>
              </w:rPr>
            </w:pPr>
          </w:p>
        </w:tc>
        <w:tc>
          <w:tcPr>
            <w:tcW w:w="0" w:type="auto"/>
            <w:shd w:val="clear" w:color="auto" w:fill="auto"/>
            <w:vAlign w:val="bottom"/>
          </w:tcPr>
          <w:p w14:paraId="27E08841" w14:textId="77777777" w:rsidR="00A85061" w:rsidRDefault="00A85061">
            <w:pPr>
              <w:rPr>
                <w:rFonts w:ascii="宋体"/>
                <w:vanish/>
              </w:rPr>
            </w:pPr>
          </w:p>
        </w:tc>
        <w:tc>
          <w:tcPr>
            <w:tcW w:w="0" w:type="auto"/>
            <w:shd w:val="clear" w:color="auto" w:fill="auto"/>
            <w:vAlign w:val="bottom"/>
          </w:tcPr>
          <w:p w14:paraId="27E08842" w14:textId="77777777" w:rsidR="00A85061" w:rsidRDefault="00A85061">
            <w:pPr>
              <w:rPr>
                <w:rFonts w:ascii="宋体"/>
                <w:vanish/>
              </w:rPr>
            </w:pPr>
          </w:p>
        </w:tc>
        <w:tc>
          <w:tcPr>
            <w:tcW w:w="0" w:type="auto"/>
            <w:gridSpan w:val="3"/>
            <w:shd w:val="clear" w:color="auto" w:fill="E2EFD9"/>
            <w:tcMar>
              <w:top w:w="0" w:type="dxa"/>
              <w:left w:w="20" w:type="dxa"/>
              <w:bottom w:w="0" w:type="dxa"/>
              <w:right w:w="20" w:type="dxa"/>
            </w:tcMar>
            <w:vAlign w:val="bottom"/>
          </w:tcPr>
          <w:p w14:paraId="27E08843"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4"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5"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6"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7"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8"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9"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A"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4B" w14:textId="77777777" w:rsidR="00A85061" w:rsidRDefault="00A85061">
            <w:pPr>
              <w:rPr>
                <w:rFonts w:ascii="宋体"/>
              </w:rPr>
            </w:pPr>
          </w:p>
        </w:tc>
        <w:tc>
          <w:tcPr>
            <w:tcW w:w="0" w:type="auto"/>
            <w:gridSpan w:val="3"/>
            <w:shd w:val="clear" w:color="auto" w:fill="auto"/>
            <w:vAlign w:val="bottom"/>
          </w:tcPr>
          <w:p w14:paraId="27E0884C" w14:textId="77777777" w:rsidR="00A85061" w:rsidRDefault="00A85061">
            <w:pPr>
              <w:rPr>
                <w:rFonts w:ascii="宋体"/>
                <w:vanish/>
              </w:rPr>
            </w:pPr>
          </w:p>
        </w:tc>
        <w:tc>
          <w:tcPr>
            <w:tcW w:w="0" w:type="auto"/>
            <w:gridSpan w:val="3"/>
            <w:shd w:val="clear" w:color="auto" w:fill="auto"/>
            <w:vAlign w:val="bottom"/>
          </w:tcPr>
          <w:p w14:paraId="27E0884D" w14:textId="77777777" w:rsidR="00A85061" w:rsidRDefault="00A85061">
            <w:pPr>
              <w:rPr>
                <w:rFonts w:ascii="宋体"/>
                <w:vanish/>
              </w:rPr>
            </w:pPr>
          </w:p>
        </w:tc>
        <w:tc>
          <w:tcPr>
            <w:tcW w:w="0" w:type="auto"/>
            <w:gridSpan w:val="3"/>
            <w:shd w:val="clear" w:color="auto" w:fill="auto"/>
            <w:vAlign w:val="bottom"/>
          </w:tcPr>
          <w:p w14:paraId="27E0884E" w14:textId="77777777" w:rsidR="00A85061" w:rsidRDefault="00A85061">
            <w:pPr>
              <w:rPr>
                <w:rFonts w:ascii="宋体"/>
                <w:vanish/>
              </w:rPr>
            </w:pPr>
          </w:p>
        </w:tc>
        <w:tc>
          <w:tcPr>
            <w:tcW w:w="0" w:type="auto"/>
            <w:gridSpan w:val="3"/>
            <w:shd w:val="clear" w:color="auto" w:fill="auto"/>
            <w:vAlign w:val="bottom"/>
          </w:tcPr>
          <w:p w14:paraId="27E0884F" w14:textId="77777777" w:rsidR="00A85061" w:rsidRDefault="00A85061">
            <w:pPr>
              <w:rPr>
                <w:rFonts w:ascii="宋体"/>
                <w:vanish/>
              </w:rPr>
            </w:pPr>
          </w:p>
        </w:tc>
      </w:tr>
      <w:tr w:rsidR="00A85061" w14:paraId="27E0886D" w14:textId="77777777">
        <w:tc>
          <w:tcPr>
            <w:tcW w:w="0" w:type="auto"/>
            <w:gridSpan w:val="3"/>
            <w:shd w:val="clear" w:color="auto" w:fill="FFFFFF"/>
            <w:tcMar>
              <w:top w:w="40" w:type="dxa"/>
              <w:left w:w="20" w:type="dxa"/>
              <w:bottom w:w="40" w:type="dxa"/>
              <w:right w:w="20" w:type="dxa"/>
            </w:tcMar>
            <w:vAlign w:val="bottom"/>
          </w:tcPr>
          <w:p w14:paraId="27E08851" w14:textId="77777777" w:rsidR="00A85061" w:rsidRDefault="00F04891">
            <w:pPr>
              <w:ind w:firstLine="180"/>
              <w:textAlignment w:val="bottom"/>
            </w:pPr>
            <w:r>
              <w:rPr>
                <w:rFonts w:ascii="sans-serif" w:eastAsia="sans-serif" w:hAnsi="sans-serif" w:cs="sans-serif"/>
                <w:color w:val="000000"/>
                <w:sz w:val="20"/>
                <w:szCs w:val="20"/>
              </w:rPr>
              <w:t>Net income</w:t>
            </w:r>
          </w:p>
        </w:tc>
        <w:tc>
          <w:tcPr>
            <w:tcW w:w="0" w:type="auto"/>
            <w:shd w:val="clear" w:color="auto" w:fill="auto"/>
            <w:vAlign w:val="bottom"/>
          </w:tcPr>
          <w:p w14:paraId="27E08852" w14:textId="77777777" w:rsidR="00A85061" w:rsidRDefault="00A85061">
            <w:pPr>
              <w:rPr>
                <w:rFonts w:ascii="宋体"/>
                <w:vanish/>
              </w:rPr>
            </w:pPr>
          </w:p>
        </w:tc>
        <w:tc>
          <w:tcPr>
            <w:tcW w:w="0" w:type="auto"/>
            <w:shd w:val="clear" w:color="auto" w:fill="auto"/>
            <w:vAlign w:val="bottom"/>
          </w:tcPr>
          <w:p w14:paraId="27E08853" w14:textId="77777777" w:rsidR="00A85061" w:rsidRDefault="00A85061">
            <w:pPr>
              <w:rPr>
                <w:rFonts w:ascii="宋体"/>
                <w:vanish/>
              </w:rPr>
            </w:pPr>
          </w:p>
        </w:tc>
        <w:tc>
          <w:tcPr>
            <w:tcW w:w="0" w:type="auto"/>
            <w:shd w:val="clear" w:color="auto" w:fill="auto"/>
            <w:vAlign w:val="bottom"/>
          </w:tcPr>
          <w:p w14:paraId="27E08854" w14:textId="77777777" w:rsidR="00A85061" w:rsidRDefault="00A85061">
            <w:pPr>
              <w:rPr>
                <w:rFonts w:ascii="宋体"/>
                <w:vanish/>
              </w:rPr>
            </w:pPr>
          </w:p>
        </w:tc>
        <w:tc>
          <w:tcPr>
            <w:tcW w:w="0" w:type="auto"/>
            <w:shd w:val="clear" w:color="auto" w:fill="auto"/>
            <w:vAlign w:val="bottom"/>
          </w:tcPr>
          <w:p w14:paraId="27E08855" w14:textId="77777777" w:rsidR="00A85061" w:rsidRDefault="00A85061">
            <w:pPr>
              <w:rPr>
                <w:rFonts w:ascii="宋体"/>
                <w:vanish/>
              </w:rPr>
            </w:pPr>
          </w:p>
        </w:tc>
        <w:tc>
          <w:tcPr>
            <w:tcW w:w="0" w:type="auto"/>
            <w:shd w:val="clear" w:color="auto" w:fill="FFFFFF"/>
            <w:tcMar>
              <w:top w:w="40" w:type="dxa"/>
              <w:left w:w="20" w:type="dxa"/>
              <w:bottom w:w="40" w:type="dxa"/>
              <w:right w:w="0" w:type="dxa"/>
            </w:tcMar>
            <w:vAlign w:val="bottom"/>
          </w:tcPr>
          <w:p w14:paraId="27E0885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857" w14:textId="77777777" w:rsidR="00A85061" w:rsidRDefault="00F04891">
            <w:pPr>
              <w:jc w:val="right"/>
              <w:textAlignment w:val="bottom"/>
            </w:pPr>
            <w:r>
              <w:rPr>
                <w:rFonts w:ascii="sans-serif" w:eastAsia="sans-serif" w:hAnsi="sans-serif" w:cs="sans-serif"/>
                <w:color w:val="000000"/>
                <w:sz w:val="20"/>
                <w:szCs w:val="20"/>
              </w:rPr>
              <w:t>1,912 </w:t>
            </w:r>
          </w:p>
        </w:tc>
        <w:tc>
          <w:tcPr>
            <w:tcW w:w="0" w:type="auto"/>
            <w:shd w:val="clear" w:color="auto" w:fill="FFFFFF"/>
            <w:tcMar>
              <w:top w:w="40" w:type="dxa"/>
              <w:left w:w="0" w:type="dxa"/>
              <w:bottom w:w="40" w:type="dxa"/>
              <w:right w:w="20" w:type="dxa"/>
            </w:tcMar>
            <w:vAlign w:val="bottom"/>
          </w:tcPr>
          <w:p w14:paraId="27E0885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59"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85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85B" w14:textId="77777777" w:rsidR="00A85061" w:rsidRDefault="00F04891">
            <w:pPr>
              <w:jc w:val="right"/>
              <w:textAlignment w:val="bottom"/>
            </w:pPr>
            <w:r>
              <w:rPr>
                <w:rFonts w:ascii="sans-serif" w:eastAsia="sans-serif" w:hAnsi="sans-serif" w:cs="sans-serif"/>
                <w:color w:val="000000"/>
                <w:sz w:val="20"/>
                <w:szCs w:val="20"/>
              </w:rPr>
              <w:t>917 </w:t>
            </w:r>
          </w:p>
        </w:tc>
        <w:tc>
          <w:tcPr>
            <w:tcW w:w="0" w:type="auto"/>
            <w:shd w:val="clear" w:color="auto" w:fill="FFFFFF"/>
            <w:tcMar>
              <w:top w:w="40" w:type="dxa"/>
              <w:left w:w="0" w:type="dxa"/>
              <w:bottom w:w="40" w:type="dxa"/>
              <w:right w:w="20" w:type="dxa"/>
            </w:tcMar>
            <w:vAlign w:val="bottom"/>
          </w:tcPr>
          <w:p w14:paraId="27E0885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5D"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85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85F" w14:textId="77777777" w:rsidR="00A85061" w:rsidRDefault="00F04891">
            <w:pPr>
              <w:jc w:val="right"/>
              <w:textAlignment w:val="bottom"/>
            </w:pPr>
            <w:r>
              <w:rPr>
                <w:rFonts w:ascii="sans-serif" w:eastAsia="sans-serif" w:hAnsi="sans-serif" w:cs="sans-serif"/>
                <w:color w:val="000000"/>
                <w:sz w:val="20"/>
                <w:szCs w:val="20"/>
              </w:rPr>
              <w:t>4,332 </w:t>
            </w:r>
          </w:p>
        </w:tc>
        <w:tc>
          <w:tcPr>
            <w:tcW w:w="0" w:type="auto"/>
            <w:shd w:val="clear" w:color="auto" w:fill="FFFFFF"/>
            <w:tcMar>
              <w:top w:w="40" w:type="dxa"/>
              <w:left w:w="0" w:type="dxa"/>
              <w:bottom w:w="40" w:type="dxa"/>
              <w:right w:w="20" w:type="dxa"/>
            </w:tcMar>
            <w:vAlign w:val="bottom"/>
          </w:tcPr>
          <w:p w14:paraId="27E0886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61"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86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863" w14:textId="77777777" w:rsidR="00A85061" w:rsidRDefault="00F04891">
            <w:pPr>
              <w:jc w:val="right"/>
              <w:textAlignment w:val="bottom"/>
            </w:pPr>
            <w:r>
              <w:rPr>
                <w:rFonts w:ascii="sans-serif" w:eastAsia="sans-serif" w:hAnsi="sans-serif" w:cs="sans-serif"/>
                <w:color w:val="000000"/>
                <w:sz w:val="20"/>
                <w:szCs w:val="20"/>
              </w:rPr>
              <w:t>2,796 </w:t>
            </w:r>
          </w:p>
        </w:tc>
        <w:tc>
          <w:tcPr>
            <w:tcW w:w="0" w:type="auto"/>
            <w:shd w:val="clear" w:color="auto" w:fill="FFFFFF"/>
            <w:tcMar>
              <w:top w:w="40" w:type="dxa"/>
              <w:left w:w="0" w:type="dxa"/>
              <w:bottom w:w="40" w:type="dxa"/>
              <w:right w:w="20" w:type="dxa"/>
            </w:tcMar>
            <w:vAlign w:val="bottom"/>
          </w:tcPr>
          <w:p w14:paraId="27E08864"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65"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86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867" w14:textId="77777777" w:rsidR="00A85061" w:rsidRDefault="00F04891">
            <w:pPr>
              <w:jc w:val="right"/>
              <w:textAlignment w:val="bottom"/>
            </w:pPr>
            <w:r>
              <w:rPr>
                <w:rFonts w:ascii="sans-serif" w:eastAsia="sans-serif" w:hAnsi="sans-serif" w:cs="sans-serif"/>
                <w:color w:val="000000"/>
                <w:sz w:val="20"/>
                <w:szCs w:val="20"/>
              </w:rPr>
              <w:t>4,141 </w:t>
            </w:r>
          </w:p>
        </w:tc>
        <w:tc>
          <w:tcPr>
            <w:tcW w:w="0" w:type="auto"/>
            <w:shd w:val="clear" w:color="auto" w:fill="FFFFFF"/>
            <w:tcMar>
              <w:top w:w="40" w:type="dxa"/>
              <w:left w:w="0" w:type="dxa"/>
              <w:bottom w:w="40" w:type="dxa"/>
              <w:right w:w="20" w:type="dxa"/>
            </w:tcMar>
            <w:vAlign w:val="bottom"/>
          </w:tcPr>
          <w:p w14:paraId="27E08868" w14:textId="77777777" w:rsidR="00A85061" w:rsidRDefault="00A85061">
            <w:pPr>
              <w:jc w:val="right"/>
              <w:rPr>
                <w:rFonts w:ascii="宋体"/>
              </w:rPr>
            </w:pPr>
          </w:p>
        </w:tc>
        <w:tc>
          <w:tcPr>
            <w:tcW w:w="0" w:type="auto"/>
            <w:gridSpan w:val="3"/>
            <w:shd w:val="clear" w:color="auto" w:fill="auto"/>
            <w:vAlign w:val="bottom"/>
          </w:tcPr>
          <w:p w14:paraId="27E08869" w14:textId="77777777" w:rsidR="00A85061" w:rsidRDefault="00A85061">
            <w:pPr>
              <w:rPr>
                <w:rFonts w:ascii="宋体"/>
                <w:vanish/>
              </w:rPr>
            </w:pPr>
          </w:p>
        </w:tc>
        <w:tc>
          <w:tcPr>
            <w:tcW w:w="0" w:type="auto"/>
            <w:gridSpan w:val="3"/>
            <w:shd w:val="clear" w:color="auto" w:fill="auto"/>
            <w:vAlign w:val="bottom"/>
          </w:tcPr>
          <w:p w14:paraId="27E0886A" w14:textId="77777777" w:rsidR="00A85061" w:rsidRDefault="00A85061">
            <w:pPr>
              <w:rPr>
                <w:rFonts w:ascii="宋体"/>
                <w:vanish/>
              </w:rPr>
            </w:pPr>
          </w:p>
        </w:tc>
        <w:tc>
          <w:tcPr>
            <w:tcW w:w="0" w:type="auto"/>
            <w:gridSpan w:val="3"/>
            <w:shd w:val="clear" w:color="auto" w:fill="auto"/>
            <w:vAlign w:val="bottom"/>
          </w:tcPr>
          <w:p w14:paraId="27E0886B" w14:textId="77777777" w:rsidR="00A85061" w:rsidRDefault="00A85061">
            <w:pPr>
              <w:rPr>
                <w:rFonts w:ascii="宋体"/>
                <w:vanish/>
              </w:rPr>
            </w:pPr>
          </w:p>
        </w:tc>
        <w:tc>
          <w:tcPr>
            <w:tcW w:w="0" w:type="auto"/>
            <w:gridSpan w:val="3"/>
            <w:shd w:val="clear" w:color="auto" w:fill="auto"/>
            <w:vAlign w:val="bottom"/>
          </w:tcPr>
          <w:p w14:paraId="27E0886C" w14:textId="77777777" w:rsidR="00A85061" w:rsidRDefault="00A85061">
            <w:pPr>
              <w:rPr>
                <w:rFonts w:ascii="宋体"/>
                <w:vanish/>
              </w:rPr>
            </w:pPr>
          </w:p>
        </w:tc>
      </w:tr>
      <w:tr w:rsidR="00A85061" w14:paraId="27E08880" w14:textId="77777777">
        <w:tc>
          <w:tcPr>
            <w:tcW w:w="0" w:type="auto"/>
            <w:gridSpan w:val="3"/>
            <w:shd w:val="clear" w:color="auto" w:fill="E2EFD9"/>
            <w:tcMar>
              <w:top w:w="40" w:type="dxa"/>
              <w:left w:w="20" w:type="dxa"/>
              <w:bottom w:w="40" w:type="dxa"/>
              <w:right w:w="20" w:type="dxa"/>
            </w:tcMar>
            <w:vAlign w:val="bottom"/>
          </w:tcPr>
          <w:p w14:paraId="27E0886E" w14:textId="77777777" w:rsidR="00A85061" w:rsidRDefault="00F04891">
            <w:pPr>
              <w:textAlignment w:val="bottom"/>
            </w:pPr>
            <w:r>
              <w:rPr>
                <w:rFonts w:ascii="sans-serif" w:eastAsia="sans-serif" w:hAnsi="sans-serif" w:cs="sans-serif"/>
                <w:color w:val="000000"/>
                <w:sz w:val="20"/>
                <w:szCs w:val="20"/>
              </w:rPr>
              <w:t>Denominator:</w:t>
            </w:r>
          </w:p>
        </w:tc>
        <w:tc>
          <w:tcPr>
            <w:tcW w:w="0" w:type="auto"/>
            <w:shd w:val="clear" w:color="auto" w:fill="auto"/>
            <w:vAlign w:val="bottom"/>
          </w:tcPr>
          <w:p w14:paraId="27E0886F" w14:textId="77777777" w:rsidR="00A85061" w:rsidRDefault="00A85061">
            <w:pPr>
              <w:rPr>
                <w:rFonts w:ascii="宋体"/>
                <w:vanish/>
              </w:rPr>
            </w:pPr>
          </w:p>
        </w:tc>
        <w:tc>
          <w:tcPr>
            <w:tcW w:w="0" w:type="auto"/>
            <w:shd w:val="clear" w:color="auto" w:fill="auto"/>
            <w:vAlign w:val="bottom"/>
          </w:tcPr>
          <w:p w14:paraId="27E08870" w14:textId="77777777" w:rsidR="00A85061" w:rsidRDefault="00A85061">
            <w:pPr>
              <w:rPr>
                <w:rFonts w:ascii="宋体"/>
                <w:vanish/>
              </w:rPr>
            </w:pPr>
          </w:p>
        </w:tc>
        <w:tc>
          <w:tcPr>
            <w:tcW w:w="0" w:type="auto"/>
            <w:shd w:val="clear" w:color="auto" w:fill="auto"/>
            <w:vAlign w:val="bottom"/>
          </w:tcPr>
          <w:p w14:paraId="27E08871" w14:textId="77777777" w:rsidR="00A85061" w:rsidRDefault="00A85061">
            <w:pPr>
              <w:rPr>
                <w:rFonts w:ascii="宋体"/>
                <w:vanish/>
              </w:rPr>
            </w:pPr>
          </w:p>
        </w:tc>
        <w:tc>
          <w:tcPr>
            <w:tcW w:w="0" w:type="auto"/>
            <w:shd w:val="clear" w:color="auto" w:fill="auto"/>
            <w:vAlign w:val="bottom"/>
          </w:tcPr>
          <w:p w14:paraId="27E08872" w14:textId="77777777" w:rsidR="00A85061" w:rsidRDefault="00A85061">
            <w:pPr>
              <w:rPr>
                <w:rFonts w:ascii="宋体"/>
                <w:vanish/>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73"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74"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75"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76"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77"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78"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79"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7A"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7B" w14:textId="77777777" w:rsidR="00A85061" w:rsidRDefault="00A85061">
            <w:pPr>
              <w:rPr>
                <w:rFonts w:ascii="宋体"/>
              </w:rPr>
            </w:pPr>
          </w:p>
        </w:tc>
        <w:tc>
          <w:tcPr>
            <w:tcW w:w="0" w:type="auto"/>
            <w:gridSpan w:val="3"/>
            <w:shd w:val="clear" w:color="auto" w:fill="auto"/>
            <w:vAlign w:val="bottom"/>
          </w:tcPr>
          <w:p w14:paraId="27E0887C" w14:textId="77777777" w:rsidR="00A85061" w:rsidRDefault="00A85061">
            <w:pPr>
              <w:rPr>
                <w:rFonts w:ascii="宋体"/>
                <w:vanish/>
              </w:rPr>
            </w:pPr>
          </w:p>
        </w:tc>
        <w:tc>
          <w:tcPr>
            <w:tcW w:w="0" w:type="auto"/>
            <w:gridSpan w:val="3"/>
            <w:shd w:val="clear" w:color="auto" w:fill="auto"/>
            <w:vAlign w:val="bottom"/>
          </w:tcPr>
          <w:p w14:paraId="27E0887D" w14:textId="77777777" w:rsidR="00A85061" w:rsidRDefault="00A85061">
            <w:pPr>
              <w:rPr>
                <w:rFonts w:ascii="宋体"/>
                <w:vanish/>
              </w:rPr>
            </w:pPr>
          </w:p>
        </w:tc>
        <w:tc>
          <w:tcPr>
            <w:tcW w:w="0" w:type="auto"/>
            <w:gridSpan w:val="3"/>
            <w:shd w:val="clear" w:color="auto" w:fill="auto"/>
            <w:vAlign w:val="bottom"/>
          </w:tcPr>
          <w:p w14:paraId="27E0887E" w14:textId="77777777" w:rsidR="00A85061" w:rsidRDefault="00A85061">
            <w:pPr>
              <w:rPr>
                <w:rFonts w:ascii="宋体"/>
                <w:vanish/>
              </w:rPr>
            </w:pPr>
          </w:p>
        </w:tc>
        <w:tc>
          <w:tcPr>
            <w:tcW w:w="0" w:type="auto"/>
            <w:gridSpan w:val="3"/>
            <w:shd w:val="clear" w:color="auto" w:fill="auto"/>
            <w:vAlign w:val="bottom"/>
          </w:tcPr>
          <w:p w14:paraId="27E0887F" w14:textId="77777777" w:rsidR="00A85061" w:rsidRDefault="00A85061">
            <w:pPr>
              <w:rPr>
                <w:rFonts w:ascii="宋体"/>
                <w:vanish/>
              </w:rPr>
            </w:pPr>
          </w:p>
        </w:tc>
      </w:tr>
      <w:tr w:rsidR="00A85061" w14:paraId="27E08898" w14:textId="77777777">
        <w:tc>
          <w:tcPr>
            <w:tcW w:w="0" w:type="auto"/>
            <w:gridSpan w:val="3"/>
            <w:shd w:val="clear" w:color="auto" w:fill="FFFFFF"/>
            <w:tcMar>
              <w:top w:w="40" w:type="dxa"/>
              <w:left w:w="20" w:type="dxa"/>
              <w:bottom w:w="40" w:type="dxa"/>
              <w:right w:w="20" w:type="dxa"/>
            </w:tcMar>
            <w:vAlign w:val="bottom"/>
          </w:tcPr>
          <w:p w14:paraId="27E08881" w14:textId="77777777" w:rsidR="00A85061" w:rsidRDefault="00F04891">
            <w:pPr>
              <w:ind w:firstLine="180"/>
              <w:textAlignment w:val="bottom"/>
            </w:pPr>
            <w:r>
              <w:rPr>
                <w:rFonts w:ascii="sans-serif" w:eastAsia="sans-serif" w:hAnsi="sans-serif" w:cs="sans-serif"/>
                <w:color w:val="000000"/>
                <w:sz w:val="20"/>
                <w:szCs w:val="20"/>
              </w:rPr>
              <w:t xml:space="preserve">Basic </w:t>
            </w:r>
            <w:r>
              <w:rPr>
                <w:rFonts w:ascii="sans-serif" w:eastAsia="sans-serif" w:hAnsi="sans-serif" w:cs="sans-serif"/>
                <w:color w:val="000000"/>
                <w:sz w:val="20"/>
                <w:szCs w:val="20"/>
              </w:rPr>
              <w:t>weighted average shares</w:t>
            </w:r>
          </w:p>
        </w:tc>
        <w:tc>
          <w:tcPr>
            <w:tcW w:w="0" w:type="auto"/>
            <w:shd w:val="clear" w:color="auto" w:fill="auto"/>
            <w:vAlign w:val="bottom"/>
          </w:tcPr>
          <w:p w14:paraId="27E08882" w14:textId="77777777" w:rsidR="00A85061" w:rsidRDefault="00A85061">
            <w:pPr>
              <w:rPr>
                <w:rFonts w:ascii="宋体"/>
                <w:vanish/>
              </w:rPr>
            </w:pPr>
          </w:p>
        </w:tc>
        <w:tc>
          <w:tcPr>
            <w:tcW w:w="0" w:type="auto"/>
            <w:shd w:val="clear" w:color="auto" w:fill="auto"/>
            <w:vAlign w:val="bottom"/>
          </w:tcPr>
          <w:p w14:paraId="27E08883" w14:textId="77777777" w:rsidR="00A85061" w:rsidRDefault="00A85061">
            <w:pPr>
              <w:rPr>
                <w:rFonts w:ascii="宋体"/>
                <w:vanish/>
              </w:rPr>
            </w:pPr>
          </w:p>
        </w:tc>
        <w:tc>
          <w:tcPr>
            <w:tcW w:w="0" w:type="auto"/>
            <w:shd w:val="clear" w:color="auto" w:fill="auto"/>
            <w:vAlign w:val="bottom"/>
          </w:tcPr>
          <w:p w14:paraId="27E08884" w14:textId="77777777" w:rsidR="00A85061" w:rsidRDefault="00A85061">
            <w:pPr>
              <w:rPr>
                <w:rFonts w:ascii="宋体"/>
                <w:vanish/>
              </w:rPr>
            </w:pPr>
          </w:p>
        </w:tc>
        <w:tc>
          <w:tcPr>
            <w:tcW w:w="0" w:type="auto"/>
            <w:shd w:val="clear" w:color="auto" w:fill="auto"/>
            <w:vAlign w:val="bottom"/>
          </w:tcPr>
          <w:p w14:paraId="27E08885" w14:textId="77777777" w:rsidR="00A85061" w:rsidRDefault="00A85061">
            <w:pPr>
              <w:rPr>
                <w:rFonts w:ascii="宋体"/>
                <w:vanish/>
              </w:rPr>
            </w:pPr>
          </w:p>
        </w:tc>
        <w:tc>
          <w:tcPr>
            <w:tcW w:w="0" w:type="auto"/>
            <w:gridSpan w:val="2"/>
            <w:shd w:val="clear" w:color="auto" w:fill="FFFFFF"/>
            <w:tcMar>
              <w:top w:w="40" w:type="dxa"/>
              <w:left w:w="20" w:type="dxa"/>
              <w:bottom w:w="40" w:type="dxa"/>
              <w:right w:w="0" w:type="dxa"/>
            </w:tcMar>
            <w:vAlign w:val="bottom"/>
          </w:tcPr>
          <w:p w14:paraId="27E08886" w14:textId="77777777" w:rsidR="00A85061" w:rsidRDefault="00F04891">
            <w:pPr>
              <w:jc w:val="right"/>
              <w:textAlignment w:val="bottom"/>
            </w:pPr>
            <w:r>
              <w:rPr>
                <w:rFonts w:ascii="sans-serif" w:eastAsia="sans-serif" w:hAnsi="sans-serif" w:cs="sans-serif"/>
                <w:color w:val="000000"/>
                <w:sz w:val="20"/>
                <w:szCs w:val="20"/>
              </w:rPr>
              <w:t>2,484 </w:t>
            </w:r>
          </w:p>
        </w:tc>
        <w:tc>
          <w:tcPr>
            <w:tcW w:w="0" w:type="auto"/>
            <w:shd w:val="clear" w:color="auto" w:fill="FFFFFF"/>
            <w:tcMar>
              <w:top w:w="40" w:type="dxa"/>
              <w:left w:w="0" w:type="dxa"/>
              <w:bottom w:w="40" w:type="dxa"/>
              <w:right w:w="20" w:type="dxa"/>
            </w:tcMar>
            <w:vAlign w:val="bottom"/>
          </w:tcPr>
          <w:p w14:paraId="27E0888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8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889" w14:textId="77777777" w:rsidR="00A85061" w:rsidRDefault="00F04891">
            <w:pPr>
              <w:jc w:val="right"/>
              <w:textAlignment w:val="bottom"/>
            </w:pPr>
            <w:r>
              <w:rPr>
                <w:rFonts w:ascii="sans-serif" w:eastAsia="sans-serif" w:hAnsi="sans-serif" w:cs="sans-serif"/>
                <w:color w:val="000000"/>
                <w:sz w:val="20"/>
                <w:szCs w:val="20"/>
              </w:rPr>
              <w:t>2,456 </w:t>
            </w:r>
          </w:p>
        </w:tc>
        <w:tc>
          <w:tcPr>
            <w:tcW w:w="0" w:type="auto"/>
            <w:shd w:val="clear" w:color="auto" w:fill="FFFFFF"/>
            <w:tcMar>
              <w:top w:w="40" w:type="dxa"/>
              <w:left w:w="0" w:type="dxa"/>
              <w:bottom w:w="40" w:type="dxa"/>
              <w:right w:w="20" w:type="dxa"/>
            </w:tcMar>
            <w:vAlign w:val="bottom"/>
          </w:tcPr>
          <w:p w14:paraId="27E0888A"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8B"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88C" w14:textId="77777777" w:rsidR="00A85061" w:rsidRDefault="00F04891">
            <w:pPr>
              <w:jc w:val="right"/>
              <w:textAlignment w:val="bottom"/>
            </w:pPr>
            <w:r>
              <w:rPr>
                <w:rFonts w:ascii="sans-serif" w:eastAsia="sans-serif" w:hAnsi="sans-serif" w:cs="sans-serif"/>
                <w:color w:val="000000"/>
                <w:sz w:val="20"/>
                <w:szCs w:val="20"/>
              </w:rPr>
              <w:t>2,468 </w:t>
            </w:r>
          </w:p>
        </w:tc>
        <w:tc>
          <w:tcPr>
            <w:tcW w:w="0" w:type="auto"/>
            <w:shd w:val="clear" w:color="auto" w:fill="FFFFFF"/>
            <w:tcMar>
              <w:top w:w="40" w:type="dxa"/>
              <w:left w:w="0" w:type="dxa"/>
              <w:bottom w:w="40" w:type="dxa"/>
              <w:right w:w="20" w:type="dxa"/>
            </w:tcMar>
            <w:vAlign w:val="bottom"/>
          </w:tcPr>
          <w:p w14:paraId="27E0888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8E"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88F" w14:textId="77777777" w:rsidR="00A85061" w:rsidRDefault="00F04891">
            <w:pPr>
              <w:jc w:val="right"/>
              <w:textAlignment w:val="bottom"/>
            </w:pPr>
            <w:r>
              <w:rPr>
                <w:rFonts w:ascii="sans-serif" w:eastAsia="sans-serif" w:hAnsi="sans-serif" w:cs="sans-serif"/>
                <w:color w:val="000000"/>
                <w:sz w:val="20"/>
                <w:szCs w:val="20"/>
              </w:rPr>
              <w:t>2,436 </w:t>
            </w:r>
          </w:p>
        </w:tc>
        <w:tc>
          <w:tcPr>
            <w:tcW w:w="0" w:type="auto"/>
            <w:shd w:val="clear" w:color="auto" w:fill="FFFFFF"/>
            <w:tcMar>
              <w:top w:w="40" w:type="dxa"/>
              <w:left w:w="0" w:type="dxa"/>
              <w:bottom w:w="40" w:type="dxa"/>
              <w:right w:w="20" w:type="dxa"/>
            </w:tcMar>
            <w:vAlign w:val="bottom"/>
          </w:tcPr>
          <w:p w14:paraId="27E0889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9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892" w14:textId="77777777" w:rsidR="00A85061" w:rsidRDefault="00F04891">
            <w:pPr>
              <w:jc w:val="right"/>
              <w:textAlignment w:val="bottom"/>
            </w:pPr>
            <w:r>
              <w:rPr>
                <w:rFonts w:ascii="sans-serif" w:eastAsia="sans-serif" w:hAnsi="sans-serif" w:cs="sans-serif"/>
                <w:color w:val="000000"/>
                <w:sz w:val="20"/>
                <w:szCs w:val="20"/>
              </w:rPr>
              <w:t>2,432 </w:t>
            </w:r>
          </w:p>
        </w:tc>
        <w:tc>
          <w:tcPr>
            <w:tcW w:w="0" w:type="auto"/>
            <w:shd w:val="clear" w:color="auto" w:fill="FFFFFF"/>
            <w:tcMar>
              <w:top w:w="40" w:type="dxa"/>
              <w:left w:w="0" w:type="dxa"/>
              <w:bottom w:w="40" w:type="dxa"/>
              <w:right w:w="20" w:type="dxa"/>
            </w:tcMar>
            <w:vAlign w:val="bottom"/>
          </w:tcPr>
          <w:p w14:paraId="27E08893" w14:textId="77777777" w:rsidR="00A85061" w:rsidRDefault="00A85061">
            <w:pPr>
              <w:jc w:val="right"/>
              <w:rPr>
                <w:rFonts w:ascii="宋体"/>
              </w:rPr>
            </w:pPr>
          </w:p>
        </w:tc>
        <w:tc>
          <w:tcPr>
            <w:tcW w:w="0" w:type="auto"/>
            <w:gridSpan w:val="3"/>
            <w:shd w:val="clear" w:color="auto" w:fill="auto"/>
            <w:vAlign w:val="bottom"/>
          </w:tcPr>
          <w:p w14:paraId="27E08894" w14:textId="77777777" w:rsidR="00A85061" w:rsidRDefault="00A85061">
            <w:pPr>
              <w:rPr>
                <w:rFonts w:ascii="宋体"/>
                <w:vanish/>
              </w:rPr>
            </w:pPr>
          </w:p>
        </w:tc>
        <w:tc>
          <w:tcPr>
            <w:tcW w:w="0" w:type="auto"/>
            <w:gridSpan w:val="3"/>
            <w:shd w:val="clear" w:color="auto" w:fill="auto"/>
            <w:vAlign w:val="bottom"/>
          </w:tcPr>
          <w:p w14:paraId="27E08895" w14:textId="77777777" w:rsidR="00A85061" w:rsidRDefault="00A85061">
            <w:pPr>
              <w:rPr>
                <w:rFonts w:ascii="宋体"/>
                <w:vanish/>
              </w:rPr>
            </w:pPr>
          </w:p>
        </w:tc>
        <w:tc>
          <w:tcPr>
            <w:tcW w:w="0" w:type="auto"/>
            <w:gridSpan w:val="3"/>
            <w:shd w:val="clear" w:color="auto" w:fill="auto"/>
            <w:vAlign w:val="bottom"/>
          </w:tcPr>
          <w:p w14:paraId="27E08896" w14:textId="77777777" w:rsidR="00A85061" w:rsidRDefault="00A85061">
            <w:pPr>
              <w:rPr>
                <w:rFonts w:ascii="宋体"/>
                <w:vanish/>
              </w:rPr>
            </w:pPr>
          </w:p>
        </w:tc>
        <w:tc>
          <w:tcPr>
            <w:tcW w:w="0" w:type="auto"/>
            <w:gridSpan w:val="3"/>
            <w:shd w:val="clear" w:color="auto" w:fill="auto"/>
            <w:vAlign w:val="bottom"/>
          </w:tcPr>
          <w:p w14:paraId="27E08897" w14:textId="77777777" w:rsidR="00A85061" w:rsidRDefault="00A85061">
            <w:pPr>
              <w:rPr>
                <w:rFonts w:ascii="宋体"/>
                <w:vanish/>
              </w:rPr>
            </w:pPr>
          </w:p>
        </w:tc>
      </w:tr>
      <w:tr w:rsidR="00A85061" w14:paraId="27E088B0" w14:textId="77777777">
        <w:tc>
          <w:tcPr>
            <w:tcW w:w="0" w:type="auto"/>
            <w:gridSpan w:val="3"/>
            <w:shd w:val="clear" w:color="auto" w:fill="E2EFD9"/>
            <w:tcMar>
              <w:top w:w="40" w:type="dxa"/>
              <w:left w:w="20" w:type="dxa"/>
              <w:bottom w:w="40" w:type="dxa"/>
              <w:right w:w="20" w:type="dxa"/>
            </w:tcMar>
            <w:vAlign w:val="bottom"/>
          </w:tcPr>
          <w:p w14:paraId="27E08899" w14:textId="77777777" w:rsidR="00A85061" w:rsidRDefault="00F04891">
            <w:pPr>
              <w:ind w:firstLine="180"/>
              <w:textAlignment w:val="bottom"/>
            </w:pPr>
            <w:r>
              <w:rPr>
                <w:rFonts w:ascii="sans-serif" w:eastAsia="sans-serif" w:hAnsi="sans-serif" w:cs="sans-serif"/>
                <w:color w:val="000000"/>
                <w:sz w:val="20"/>
                <w:szCs w:val="20"/>
              </w:rPr>
              <w:t>Dilutive impact of outstanding equity awards</w:t>
            </w:r>
          </w:p>
        </w:tc>
        <w:tc>
          <w:tcPr>
            <w:tcW w:w="0" w:type="auto"/>
            <w:shd w:val="clear" w:color="auto" w:fill="auto"/>
            <w:vAlign w:val="bottom"/>
          </w:tcPr>
          <w:p w14:paraId="27E0889A" w14:textId="77777777" w:rsidR="00A85061" w:rsidRDefault="00A85061">
            <w:pPr>
              <w:rPr>
                <w:rFonts w:ascii="宋体"/>
                <w:vanish/>
              </w:rPr>
            </w:pPr>
          </w:p>
        </w:tc>
        <w:tc>
          <w:tcPr>
            <w:tcW w:w="0" w:type="auto"/>
            <w:shd w:val="clear" w:color="auto" w:fill="auto"/>
            <w:vAlign w:val="bottom"/>
          </w:tcPr>
          <w:p w14:paraId="27E0889B" w14:textId="77777777" w:rsidR="00A85061" w:rsidRDefault="00A85061">
            <w:pPr>
              <w:rPr>
                <w:rFonts w:ascii="宋体"/>
                <w:vanish/>
              </w:rPr>
            </w:pPr>
          </w:p>
        </w:tc>
        <w:tc>
          <w:tcPr>
            <w:tcW w:w="0" w:type="auto"/>
            <w:shd w:val="clear" w:color="auto" w:fill="auto"/>
            <w:vAlign w:val="bottom"/>
          </w:tcPr>
          <w:p w14:paraId="27E0889C" w14:textId="77777777" w:rsidR="00A85061" w:rsidRDefault="00A85061">
            <w:pPr>
              <w:rPr>
                <w:rFonts w:ascii="宋体"/>
                <w:vanish/>
              </w:rPr>
            </w:pPr>
          </w:p>
        </w:tc>
        <w:tc>
          <w:tcPr>
            <w:tcW w:w="0" w:type="auto"/>
            <w:shd w:val="clear" w:color="auto" w:fill="auto"/>
            <w:vAlign w:val="bottom"/>
          </w:tcPr>
          <w:p w14:paraId="27E0889D" w14:textId="77777777" w:rsidR="00A85061" w:rsidRDefault="00A85061">
            <w:pPr>
              <w:rPr>
                <w:rFonts w:ascii="宋体"/>
                <w:vanish/>
              </w:rPr>
            </w:pPr>
          </w:p>
        </w:tc>
        <w:tc>
          <w:tcPr>
            <w:tcW w:w="0" w:type="auto"/>
            <w:gridSpan w:val="2"/>
            <w:shd w:val="clear" w:color="auto" w:fill="E2EFD9"/>
            <w:tcMar>
              <w:top w:w="40" w:type="dxa"/>
              <w:left w:w="20" w:type="dxa"/>
              <w:bottom w:w="40" w:type="dxa"/>
              <w:right w:w="0" w:type="dxa"/>
            </w:tcMar>
            <w:vAlign w:val="bottom"/>
          </w:tcPr>
          <w:p w14:paraId="27E0889E" w14:textId="77777777" w:rsidR="00A85061" w:rsidRDefault="00F04891">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27E0889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8A0"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8A1" w14:textId="77777777" w:rsidR="00A85061" w:rsidRDefault="00F04891">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27E088A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8A3"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8A4" w14:textId="77777777" w:rsidR="00A85061" w:rsidRDefault="00F04891">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27E088A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8A6"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8A7" w14:textId="77777777" w:rsidR="00A85061" w:rsidRDefault="00F04891">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27E088A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8A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8AA" w14:textId="77777777" w:rsidR="00A85061" w:rsidRDefault="00F04891">
            <w:pPr>
              <w:jc w:val="right"/>
              <w:textAlignment w:val="bottom"/>
            </w:pPr>
            <w:r>
              <w:rPr>
                <w:rFonts w:ascii="sans-serif" w:eastAsia="sans-serif" w:hAnsi="sans-serif" w:cs="sans-serif"/>
                <w:color w:val="000000"/>
                <w:sz w:val="20"/>
                <w:szCs w:val="20"/>
              </w:rPr>
              <w:t>68 </w:t>
            </w:r>
          </w:p>
        </w:tc>
        <w:tc>
          <w:tcPr>
            <w:tcW w:w="0" w:type="auto"/>
            <w:shd w:val="clear" w:color="auto" w:fill="E2EFD9"/>
            <w:tcMar>
              <w:top w:w="40" w:type="dxa"/>
              <w:left w:w="0" w:type="dxa"/>
              <w:bottom w:w="40" w:type="dxa"/>
              <w:right w:w="20" w:type="dxa"/>
            </w:tcMar>
            <w:vAlign w:val="bottom"/>
          </w:tcPr>
          <w:p w14:paraId="27E088AB" w14:textId="77777777" w:rsidR="00A85061" w:rsidRDefault="00A85061">
            <w:pPr>
              <w:jc w:val="right"/>
              <w:rPr>
                <w:rFonts w:ascii="宋体"/>
              </w:rPr>
            </w:pPr>
          </w:p>
        </w:tc>
        <w:tc>
          <w:tcPr>
            <w:tcW w:w="0" w:type="auto"/>
            <w:gridSpan w:val="3"/>
            <w:shd w:val="clear" w:color="auto" w:fill="auto"/>
            <w:vAlign w:val="bottom"/>
          </w:tcPr>
          <w:p w14:paraId="27E088AC" w14:textId="77777777" w:rsidR="00A85061" w:rsidRDefault="00A85061">
            <w:pPr>
              <w:rPr>
                <w:rFonts w:ascii="宋体"/>
                <w:vanish/>
              </w:rPr>
            </w:pPr>
          </w:p>
        </w:tc>
        <w:tc>
          <w:tcPr>
            <w:tcW w:w="0" w:type="auto"/>
            <w:gridSpan w:val="3"/>
            <w:shd w:val="clear" w:color="auto" w:fill="auto"/>
            <w:vAlign w:val="bottom"/>
          </w:tcPr>
          <w:p w14:paraId="27E088AD" w14:textId="77777777" w:rsidR="00A85061" w:rsidRDefault="00A85061">
            <w:pPr>
              <w:rPr>
                <w:rFonts w:ascii="宋体"/>
                <w:vanish/>
              </w:rPr>
            </w:pPr>
          </w:p>
        </w:tc>
        <w:tc>
          <w:tcPr>
            <w:tcW w:w="0" w:type="auto"/>
            <w:gridSpan w:val="3"/>
            <w:shd w:val="clear" w:color="auto" w:fill="auto"/>
            <w:vAlign w:val="bottom"/>
          </w:tcPr>
          <w:p w14:paraId="27E088AE" w14:textId="77777777" w:rsidR="00A85061" w:rsidRDefault="00A85061">
            <w:pPr>
              <w:rPr>
                <w:rFonts w:ascii="宋体"/>
                <w:vanish/>
              </w:rPr>
            </w:pPr>
          </w:p>
        </w:tc>
        <w:tc>
          <w:tcPr>
            <w:tcW w:w="0" w:type="auto"/>
            <w:gridSpan w:val="3"/>
            <w:shd w:val="clear" w:color="auto" w:fill="auto"/>
            <w:vAlign w:val="bottom"/>
          </w:tcPr>
          <w:p w14:paraId="27E088AF" w14:textId="77777777" w:rsidR="00A85061" w:rsidRDefault="00A85061">
            <w:pPr>
              <w:rPr>
                <w:rFonts w:ascii="宋体"/>
                <w:vanish/>
              </w:rPr>
            </w:pPr>
          </w:p>
        </w:tc>
      </w:tr>
      <w:tr w:rsidR="00A85061" w14:paraId="27E088C3" w14:textId="77777777">
        <w:trPr>
          <w:hidden/>
        </w:trPr>
        <w:tc>
          <w:tcPr>
            <w:tcW w:w="0" w:type="auto"/>
            <w:gridSpan w:val="3"/>
            <w:shd w:val="clear" w:color="auto" w:fill="auto"/>
            <w:vAlign w:val="bottom"/>
          </w:tcPr>
          <w:p w14:paraId="27E088B1" w14:textId="77777777" w:rsidR="00A85061" w:rsidRDefault="00A85061">
            <w:pPr>
              <w:rPr>
                <w:rFonts w:ascii="宋体"/>
                <w:vanish/>
              </w:rPr>
            </w:pPr>
          </w:p>
        </w:tc>
        <w:tc>
          <w:tcPr>
            <w:tcW w:w="0" w:type="auto"/>
            <w:shd w:val="clear" w:color="auto" w:fill="auto"/>
            <w:vAlign w:val="bottom"/>
          </w:tcPr>
          <w:p w14:paraId="27E088B2" w14:textId="77777777" w:rsidR="00A85061" w:rsidRDefault="00A85061">
            <w:pPr>
              <w:rPr>
                <w:rFonts w:ascii="宋体"/>
                <w:vanish/>
              </w:rPr>
            </w:pPr>
          </w:p>
        </w:tc>
        <w:tc>
          <w:tcPr>
            <w:tcW w:w="0" w:type="auto"/>
            <w:shd w:val="clear" w:color="auto" w:fill="auto"/>
            <w:vAlign w:val="bottom"/>
          </w:tcPr>
          <w:p w14:paraId="27E088B3" w14:textId="77777777" w:rsidR="00A85061" w:rsidRDefault="00A85061">
            <w:pPr>
              <w:rPr>
                <w:rFonts w:ascii="宋体"/>
                <w:vanish/>
              </w:rPr>
            </w:pPr>
          </w:p>
        </w:tc>
        <w:tc>
          <w:tcPr>
            <w:tcW w:w="0" w:type="auto"/>
            <w:shd w:val="clear" w:color="auto" w:fill="auto"/>
            <w:vAlign w:val="bottom"/>
          </w:tcPr>
          <w:p w14:paraId="27E088B4" w14:textId="77777777" w:rsidR="00A85061" w:rsidRDefault="00A85061">
            <w:pPr>
              <w:rPr>
                <w:rFonts w:ascii="宋体"/>
                <w:vanish/>
              </w:rPr>
            </w:pPr>
          </w:p>
        </w:tc>
        <w:tc>
          <w:tcPr>
            <w:tcW w:w="0" w:type="auto"/>
            <w:shd w:val="clear" w:color="auto" w:fill="auto"/>
            <w:vAlign w:val="bottom"/>
          </w:tcPr>
          <w:p w14:paraId="27E088B5" w14:textId="77777777" w:rsidR="00A85061" w:rsidRDefault="00A85061">
            <w:pPr>
              <w:rPr>
                <w:rFonts w:ascii="宋体"/>
                <w:vanish/>
              </w:rPr>
            </w:pPr>
          </w:p>
        </w:tc>
        <w:tc>
          <w:tcPr>
            <w:tcW w:w="0" w:type="auto"/>
            <w:gridSpan w:val="3"/>
            <w:shd w:val="clear" w:color="auto" w:fill="auto"/>
            <w:vAlign w:val="bottom"/>
          </w:tcPr>
          <w:p w14:paraId="27E088B6" w14:textId="77777777" w:rsidR="00A85061" w:rsidRDefault="00A85061">
            <w:pPr>
              <w:rPr>
                <w:rFonts w:ascii="宋体"/>
                <w:vanish/>
              </w:rPr>
            </w:pPr>
          </w:p>
        </w:tc>
        <w:tc>
          <w:tcPr>
            <w:tcW w:w="0" w:type="auto"/>
            <w:gridSpan w:val="3"/>
            <w:shd w:val="clear" w:color="auto" w:fill="auto"/>
            <w:vAlign w:val="bottom"/>
          </w:tcPr>
          <w:p w14:paraId="27E088B7" w14:textId="77777777" w:rsidR="00A85061" w:rsidRDefault="00A85061">
            <w:pPr>
              <w:rPr>
                <w:rFonts w:ascii="宋体"/>
                <w:vanish/>
              </w:rPr>
            </w:pPr>
          </w:p>
        </w:tc>
        <w:tc>
          <w:tcPr>
            <w:tcW w:w="0" w:type="auto"/>
            <w:gridSpan w:val="3"/>
            <w:shd w:val="clear" w:color="auto" w:fill="auto"/>
            <w:vAlign w:val="bottom"/>
          </w:tcPr>
          <w:p w14:paraId="27E088B8" w14:textId="77777777" w:rsidR="00A85061" w:rsidRDefault="00A85061">
            <w:pPr>
              <w:rPr>
                <w:rFonts w:ascii="宋体"/>
                <w:vanish/>
              </w:rPr>
            </w:pPr>
          </w:p>
        </w:tc>
        <w:tc>
          <w:tcPr>
            <w:tcW w:w="0" w:type="auto"/>
            <w:gridSpan w:val="3"/>
            <w:shd w:val="clear" w:color="auto" w:fill="auto"/>
            <w:vAlign w:val="bottom"/>
          </w:tcPr>
          <w:p w14:paraId="27E088B9" w14:textId="77777777" w:rsidR="00A85061" w:rsidRDefault="00A85061">
            <w:pPr>
              <w:rPr>
                <w:rFonts w:ascii="宋体"/>
                <w:vanish/>
              </w:rPr>
            </w:pPr>
          </w:p>
        </w:tc>
        <w:tc>
          <w:tcPr>
            <w:tcW w:w="0" w:type="auto"/>
            <w:gridSpan w:val="3"/>
            <w:shd w:val="clear" w:color="auto" w:fill="auto"/>
            <w:vAlign w:val="bottom"/>
          </w:tcPr>
          <w:p w14:paraId="27E088BA" w14:textId="77777777" w:rsidR="00A85061" w:rsidRDefault="00A85061">
            <w:pPr>
              <w:rPr>
                <w:rFonts w:ascii="宋体"/>
                <w:vanish/>
              </w:rPr>
            </w:pPr>
          </w:p>
        </w:tc>
        <w:tc>
          <w:tcPr>
            <w:tcW w:w="0" w:type="auto"/>
            <w:gridSpan w:val="3"/>
            <w:shd w:val="clear" w:color="auto" w:fill="auto"/>
            <w:vAlign w:val="bottom"/>
          </w:tcPr>
          <w:p w14:paraId="27E088BB" w14:textId="77777777" w:rsidR="00A85061" w:rsidRDefault="00A85061">
            <w:pPr>
              <w:rPr>
                <w:rFonts w:ascii="宋体"/>
                <w:vanish/>
              </w:rPr>
            </w:pPr>
          </w:p>
        </w:tc>
        <w:tc>
          <w:tcPr>
            <w:tcW w:w="0" w:type="auto"/>
            <w:gridSpan w:val="3"/>
            <w:shd w:val="clear" w:color="auto" w:fill="auto"/>
            <w:vAlign w:val="bottom"/>
          </w:tcPr>
          <w:p w14:paraId="27E088BC" w14:textId="77777777" w:rsidR="00A85061" w:rsidRDefault="00A85061">
            <w:pPr>
              <w:rPr>
                <w:rFonts w:ascii="宋体"/>
                <w:vanish/>
              </w:rPr>
            </w:pPr>
          </w:p>
        </w:tc>
        <w:tc>
          <w:tcPr>
            <w:tcW w:w="0" w:type="auto"/>
            <w:gridSpan w:val="3"/>
            <w:shd w:val="clear" w:color="auto" w:fill="auto"/>
            <w:vAlign w:val="bottom"/>
          </w:tcPr>
          <w:p w14:paraId="27E088BD" w14:textId="77777777" w:rsidR="00A85061" w:rsidRDefault="00A85061">
            <w:pPr>
              <w:rPr>
                <w:rFonts w:ascii="宋体"/>
                <w:vanish/>
              </w:rPr>
            </w:pPr>
          </w:p>
        </w:tc>
        <w:tc>
          <w:tcPr>
            <w:tcW w:w="0" w:type="auto"/>
            <w:gridSpan w:val="3"/>
            <w:shd w:val="clear" w:color="auto" w:fill="auto"/>
            <w:vAlign w:val="bottom"/>
          </w:tcPr>
          <w:p w14:paraId="27E088BE" w14:textId="77777777" w:rsidR="00A85061" w:rsidRDefault="00A85061">
            <w:pPr>
              <w:rPr>
                <w:rFonts w:ascii="宋体"/>
                <w:vanish/>
              </w:rPr>
            </w:pPr>
          </w:p>
        </w:tc>
        <w:tc>
          <w:tcPr>
            <w:tcW w:w="0" w:type="auto"/>
            <w:gridSpan w:val="3"/>
            <w:shd w:val="clear" w:color="auto" w:fill="auto"/>
            <w:vAlign w:val="bottom"/>
          </w:tcPr>
          <w:p w14:paraId="27E088BF" w14:textId="77777777" w:rsidR="00A85061" w:rsidRDefault="00A85061">
            <w:pPr>
              <w:rPr>
                <w:rFonts w:ascii="宋体"/>
                <w:vanish/>
              </w:rPr>
            </w:pPr>
          </w:p>
        </w:tc>
        <w:tc>
          <w:tcPr>
            <w:tcW w:w="0" w:type="auto"/>
            <w:gridSpan w:val="3"/>
            <w:shd w:val="clear" w:color="auto" w:fill="auto"/>
            <w:vAlign w:val="bottom"/>
          </w:tcPr>
          <w:p w14:paraId="27E088C0" w14:textId="77777777" w:rsidR="00A85061" w:rsidRDefault="00A85061">
            <w:pPr>
              <w:rPr>
                <w:rFonts w:ascii="宋体"/>
                <w:vanish/>
              </w:rPr>
            </w:pPr>
          </w:p>
        </w:tc>
        <w:tc>
          <w:tcPr>
            <w:tcW w:w="0" w:type="auto"/>
            <w:gridSpan w:val="3"/>
            <w:shd w:val="clear" w:color="auto" w:fill="auto"/>
            <w:vAlign w:val="bottom"/>
          </w:tcPr>
          <w:p w14:paraId="27E088C1" w14:textId="77777777" w:rsidR="00A85061" w:rsidRDefault="00A85061">
            <w:pPr>
              <w:rPr>
                <w:rFonts w:ascii="宋体"/>
                <w:vanish/>
              </w:rPr>
            </w:pPr>
          </w:p>
        </w:tc>
        <w:tc>
          <w:tcPr>
            <w:tcW w:w="0" w:type="auto"/>
            <w:gridSpan w:val="3"/>
            <w:shd w:val="clear" w:color="auto" w:fill="auto"/>
            <w:vAlign w:val="bottom"/>
          </w:tcPr>
          <w:p w14:paraId="27E088C2" w14:textId="77777777" w:rsidR="00A85061" w:rsidRDefault="00A85061">
            <w:pPr>
              <w:rPr>
                <w:rFonts w:ascii="宋体"/>
                <w:vanish/>
              </w:rPr>
            </w:pPr>
          </w:p>
        </w:tc>
      </w:tr>
      <w:tr w:rsidR="00A85061" w14:paraId="27E088D6" w14:textId="77777777">
        <w:trPr>
          <w:hidden/>
        </w:trPr>
        <w:tc>
          <w:tcPr>
            <w:tcW w:w="0" w:type="auto"/>
            <w:gridSpan w:val="3"/>
            <w:shd w:val="clear" w:color="auto" w:fill="auto"/>
            <w:vAlign w:val="bottom"/>
          </w:tcPr>
          <w:p w14:paraId="27E088C4" w14:textId="77777777" w:rsidR="00A85061" w:rsidRDefault="00A85061">
            <w:pPr>
              <w:rPr>
                <w:rFonts w:ascii="宋体"/>
                <w:vanish/>
              </w:rPr>
            </w:pPr>
          </w:p>
        </w:tc>
        <w:tc>
          <w:tcPr>
            <w:tcW w:w="0" w:type="auto"/>
            <w:shd w:val="clear" w:color="auto" w:fill="auto"/>
            <w:vAlign w:val="bottom"/>
          </w:tcPr>
          <w:p w14:paraId="27E088C5" w14:textId="77777777" w:rsidR="00A85061" w:rsidRDefault="00A85061">
            <w:pPr>
              <w:rPr>
                <w:rFonts w:ascii="宋体"/>
                <w:vanish/>
              </w:rPr>
            </w:pPr>
          </w:p>
        </w:tc>
        <w:tc>
          <w:tcPr>
            <w:tcW w:w="0" w:type="auto"/>
            <w:shd w:val="clear" w:color="auto" w:fill="auto"/>
            <w:vAlign w:val="bottom"/>
          </w:tcPr>
          <w:p w14:paraId="27E088C6" w14:textId="77777777" w:rsidR="00A85061" w:rsidRDefault="00A85061">
            <w:pPr>
              <w:rPr>
                <w:rFonts w:ascii="宋体"/>
                <w:vanish/>
              </w:rPr>
            </w:pPr>
          </w:p>
        </w:tc>
        <w:tc>
          <w:tcPr>
            <w:tcW w:w="0" w:type="auto"/>
            <w:shd w:val="clear" w:color="auto" w:fill="auto"/>
            <w:vAlign w:val="bottom"/>
          </w:tcPr>
          <w:p w14:paraId="27E088C7" w14:textId="77777777" w:rsidR="00A85061" w:rsidRDefault="00A85061">
            <w:pPr>
              <w:rPr>
                <w:rFonts w:ascii="宋体"/>
                <w:vanish/>
              </w:rPr>
            </w:pPr>
          </w:p>
        </w:tc>
        <w:tc>
          <w:tcPr>
            <w:tcW w:w="0" w:type="auto"/>
            <w:shd w:val="clear" w:color="auto" w:fill="auto"/>
            <w:vAlign w:val="bottom"/>
          </w:tcPr>
          <w:p w14:paraId="27E088C8" w14:textId="77777777" w:rsidR="00A85061" w:rsidRDefault="00A85061">
            <w:pPr>
              <w:rPr>
                <w:rFonts w:ascii="宋体"/>
                <w:vanish/>
              </w:rPr>
            </w:pPr>
          </w:p>
        </w:tc>
        <w:tc>
          <w:tcPr>
            <w:tcW w:w="0" w:type="auto"/>
            <w:gridSpan w:val="3"/>
            <w:shd w:val="clear" w:color="auto" w:fill="auto"/>
            <w:vAlign w:val="bottom"/>
          </w:tcPr>
          <w:p w14:paraId="27E088C9" w14:textId="77777777" w:rsidR="00A85061" w:rsidRDefault="00A85061">
            <w:pPr>
              <w:rPr>
                <w:rFonts w:ascii="宋体"/>
                <w:vanish/>
              </w:rPr>
            </w:pPr>
          </w:p>
        </w:tc>
        <w:tc>
          <w:tcPr>
            <w:tcW w:w="0" w:type="auto"/>
            <w:gridSpan w:val="3"/>
            <w:shd w:val="clear" w:color="auto" w:fill="auto"/>
            <w:vAlign w:val="bottom"/>
          </w:tcPr>
          <w:p w14:paraId="27E088CA" w14:textId="77777777" w:rsidR="00A85061" w:rsidRDefault="00A85061">
            <w:pPr>
              <w:rPr>
                <w:rFonts w:ascii="宋体"/>
                <w:vanish/>
              </w:rPr>
            </w:pPr>
          </w:p>
        </w:tc>
        <w:tc>
          <w:tcPr>
            <w:tcW w:w="0" w:type="auto"/>
            <w:gridSpan w:val="3"/>
            <w:shd w:val="clear" w:color="auto" w:fill="auto"/>
            <w:vAlign w:val="bottom"/>
          </w:tcPr>
          <w:p w14:paraId="27E088CB" w14:textId="77777777" w:rsidR="00A85061" w:rsidRDefault="00A85061">
            <w:pPr>
              <w:rPr>
                <w:rFonts w:ascii="宋体"/>
                <w:vanish/>
              </w:rPr>
            </w:pPr>
          </w:p>
        </w:tc>
        <w:tc>
          <w:tcPr>
            <w:tcW w:w="0" w:type="auto"/>
            <w:gridSpan w:val="3"/>
            <w:shd w:val="clear" w:color="auto" w:fill="auto"/>
            <w:vAlign w:val="bottom"/>
          </w:tcPr>
          <w:p w14:paraId="27E088CC" w14:textId="77777777" w:rsidR="00A85061" w:rsidRDefault="00A85061">
            <w:pPr>
              <w:rPr>
                <w:rFonts w:ascii="宋体"/>
                <w:vanish/>
              </w:rPr>
            </w:pPr>
          </w:p>
        </w:tc>
        <w:tc>
          <w:tcPr>
            <w:tcW w:w="0" w:type="auto"/>
            <w:gridSpan w:val="3"/>
            <w:shd w:val="clear" w:color="auto" w:fill="auto"/>
            <w:vAlign w:val="bottom"/>
          </w:tcPr>
          <w:p w14:paraId="27E088CD" w14:textId="77777777" w:rsidR="00A85061" w:rsidRDefault="00A85061">
            <w:pPr>
              <w:rPr>
                <w:rFonts w:ascii="宋体"/>
                <w:vanish/>
              </w:rPr>
            </w:pPr>
          </w:p>
        </w:tc>
        <w:tc>
          <w:tcPr>
            <w:tcW w:w="0" w:type="auto"/>
            <w:gridSpan w:val="3"/>
            <w:shd w:val="clear" w:color="auto" w:fill="auto"/>
            <w:vAlign w:val="bottom"/>
          </w:tcPr>
          <w:p w14:paraId="27E088CE" w14:textId="77777777" w:rsidR="00A85061" w:rsidRDefault="00A85061">
            <w:pPr>
              <w:rPr>
                <w:rFonts w:ascii="宋体"/>
                <w:vanish/>
              </w:rPr>
            </w:pPr>
          </w:p>
        </w:tc>
        <w:tc>
          <w:tcPr>
            <w:tcW w:w="0" w:type="auto"/>
            <w:gridSpan w:val="3"/>
            <w:shd w:val="clear" w:color="auto" w:fill="auto"/>
            <w:vAlign w:val="bottom"/>
          </w:tcPr>
          <w:p w14:paraId="27E088CF" w14:textId="77777777" w:rsidR="00A85061" w:rsidRDefault="00A85061">
            <w:pPr>
              <w:rPr>
                <w:rFonts w:ascii="宋体"/>
                <w:vanish/>
              </w:rPr>
            </w:pPr>
          </w:p>
        </w:tc>
        <w:tc>
          <w:tcPr>
            <w:tcW w:w="0" w:type="auto"/>
            <w:gridSpan w:val="3"/>
            <w:shd w:val="clear" w:color="auto" w:fill="auto"/>
            <w:vAlign w:val="bottom"/>
          </w:tcPr>
          <w:p w14:paraId="27E088D0" w14:textId="77777777" w:rsidR="00A85061" w:rsidRDefault="00A85061">
            <w:pPr>
              <w:rPr>
                <w:rFonts w:ascii="宋体"/>
                <w:vanish/>
              </w:rPr>
            </w:pPr>
          </w:p>
        </w:tc>
        <w:tc>
          <w:tcPr>
            <w:tcW w:w="0" w:type="auto"/>
            <w:gridSpan w:val="3"/>
            <w:shd w:val="clear" w:color="auto" w:fill="auto"/>
            <w:vAlign w:val="bottom"/>
          </w:tcPr>
          <w:p w14:paraId="27E088D1" w14:textId="77777777" w:rsidR="00A85061" w:rsidRDefault="00A85061">
            <w:pPr>
              <w:rPr>
                <w:rFonts w:ascii="宋体"/>
                <w:vanish/>
              </w:rPr>
            </w:pPr>
          </w:p>
        </w:tc>
        <w:tc>
          <w:tcPr>
            <w:tcW w:w="0" w:type="auto"/>
            <w:gridSpan w:val="3"/>
            <w:shd w:val="clear" w:color="auto" w:fill="auto"/>
            <w:vAlign w:val="bottom"/>
          </w:tcPr>
          <w:p w14:paraId="27E088D2" w14:textId="77777777" w:rsidR="00A85061" w:rsidRDefault="00A85061">
            <w:pPr>
              <w:rPr>
                <w:rFonts w:ascii="宋体"/>
                <w:vanish/>
              </w:rPr>
            </w:pPr>
          </w:p>
        </w:tc>
        <w:tc>
          <w:tcPr>
            <w:tcW w:w="0" w:type="auto"/>
            <w:gridSpan w:val="3"/>
            <w:shd w:val="clear" w:color="auto" w:fill="auto"/>
            <w:vAlign w:val="bottom"/>
          </w:tcPr>
          <w:p w14:paraId="27E088D3" w14:textId="77777777" w:rsidR="00A85061" w:rsidRDefault="00A85061">
            <w:pPr>
              <w:rPr>
                <w:rFonts w:ascii="宋体"/>
                <w:vanish/>
              </w:rPr>
            </w:pPr>
          </w:p>
        </w:tc>
        <w:tc>
          <w:tcPr>
            <w:tcW w:w="0" w:type="auto"/>
            <w:gridSpan w:val="3"/>
            <w:shd w:val="clear" w:color="auto" w:fill="auto"/>
            <w:vAlign w:val="bottom"/>
          </w:tcPr>
          <w:p w14:paraId="27E088D4" w14:textId="77777777" w:rsidR="00A85061" w:rsidRDefault="00A85061">
            <w:pPr>
              <w:rPr>
                <w:rFonts w:ascii="宋体"/>
                <w:vanish/>
              </w:rPr>
            </w:pPr>
          </w:p>
        </w:tc>
        <w:tc>
          <w:tcPr>
            <w:tcW w:w="0" w:type="auto"/>
            <w:gridSpan w:val="3"/>
            <w:shd w:val="clear" w:color="auto" w:fill="auto"/>
            <w:vAlign w:val="bottom"/>
          </w:tcPr>
          <w:p w14:paraId="27E088D5" w14:textId="77777777" w:rsidR="00A85061" w:rsidRDefault="00A85061">
            <w:pPr>
              <w:rPr>
                <w:rFonts w:ascii="宋体"/>
                <w:vanish/>
              </w:rPr>
            </w:pPr>
          </w:p>
        </w:tc>
      </w:tr>
      <w:tr w:rsidR="00A85061" w14:paraId="27E088EE" w14:textId="77777777">
        <w:tc>
          <w:tcPr>
            <w:tcW w:w="0" w:type="auto"/>
            <w:gridSpan w:val="3"/>
            <w:shd w:val="clear" w:color="auto" w:fill="FFFFFF"/>
            <w:tcMar>
              <w:top w:w="40" w:type="dxa"/>
              <w:left w:w="20" w:type="dxa"/>
              <w:bottom w:w="40" w:type="dxa"/>
              <w:right w:w="20" w:type="dxa"/>
            </w:tcMar>
            <w:vAlign w:val="bottom"/>
          </w:tcPr>
          <w:p w14:paraId="27E088D7" w14:textId="77777777" w:rsidR="00A85061" w:rsidRDefault="00F04891">
            <w:pPr>
              <w:ind w:firstLine="180"/>
              <w:textAlignment w:val="bottom"/>
            </w:pPr>
            <w:r>
              <w:rPr>
                <w:rFonts w:ascii="sans-serif" w:eastAsia="sans-serif" w:hAnsi="sans-serif" w:cs="sans-serif"/>
                <w:color w:val="000000"/>
                <w:sz w:val="20"/>
                <w:szCs w:val="20"/>
              </w:rPr>
              <w:t>Diluted weighted average shares</w:t>
            </w:r>
          </w:p>
        </w:tc>
        <w:tc>
          <w:tcPr>
            <w:tcW w:w="0" w:type="auto"/>
            <w:shd w:val="clear" w:color="auto" w:fill="auto"/>
            <w:vAlign w:val="bottom"/>
          </w:tcPr>
          <w:p w14:paraId="27E088D8" w14:textId="77777777" w:rsidR="00A85061" w:rsidRDefault="00A85061">
            <w:pPr>
              <w:rPr>
                <w:rFonts w:ascii="宋体"/>
                <w:vanish/>
              </w:rPr>
            </w:pPr>
          </w:p>
        </w:tc>
        <w:tc>
          <w:tcPr>
            <w:tcW w:w="0" w:type="auto"/>
            <w:shd w:val="clear" w:color="auto" w:fill="auto"/>
            <w:vAlign w:val="bottom"/>
          </w:tcPr>
          <w:p w14:paraId="27E088D9" w14:textId="77777777" w:rsidR="00A85061" w:rsidRDefault="00A85061">
            <w:pPr>
              <w:rPr>
                <w:rFonts w:ascii="宋体"/>
                <w:vanish/>
              </w:rPr>
            </w:pPr>
          </w:p>
        </w:tc>
        <w:tc>
          <w:tcPr>
            <w:tcW w:w="0" w:type="auto"/>
            <w:shd w:val="clear" w:color="auto" w:fill="auto"/>
            <w:vAlign w:val="bottom"/>
          </w:tcPr>
          <w:p w14:paraId="27E088DA" w14:textId="77777777" w:rsidR="00A85061" w:rsidRDefault="00A85061">
            <w:pPr>
              <w:rPr>
                <w:rFonts w:ascii="宋体"/>
                <w:vanish/>
              </w:rPr>
            </w:pPr>
          </w:p>
        </w:tc>
        <w:tc>
          <w:tcPr>
            <w:tcW w:w="0" w:type="auto"/>
            <w:shd w:val="clear" w:color="auto" w:fill="auto"/>
            <w:vAlign w:val="bottom"/>
          </w:tcPr>
          <w:p w14:paraId="27E088DB" w14:textId="77777777" w:rsidR="00A85061" w:rsidRDefault="00A8506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8DC" w14:textId="77777777" w:rsidR="00A85061" w:rsidRDefault="00F04891">
            <w:pPr>
              <w:jc w:val="right"/>
              <w:textAlignment w:val="bottom"/>
            </w:pPr>
            <w:r>
              <w:rPr>
                <w:rFonts w:ascii="sans-serif" w:eastAsia="sans-serif" w:hAnsi="sans-serif" w:cs="sans-serif"/>
                <w:color w:val="000000"/>
                <w:sz w:val="20"/>
                <w:szCs w:val="20"/>
              </w:rPr>
              <w:t>2,528 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8D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DE"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8DF" w14:textId="77777777" w:rsidR="00A85061" w:rsidRDefault="00F04891">
            <w:pPr>
              <w:jc w:val="right"/>
              <w:textAlignment w:val="bottom"/>
            </w:pPr>
            <w:r>
              <w:rPr>
                <w:rFonts w:ascii="sans-serif" w:eastAsia="sans-serif" w:hAnsi="sans-serif" w:cs="sans-serif"/>
                <w:color w:val="000000"/>
                <w:sz w:val="20"/>
                <w:szCs w:val="20"/>
              </w:rPr>
              <w:t>2,488 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8E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E1"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8E2" w14:textId="77777777" w:rsidR="00A85061" w:rsidRDefault="00F04891">
            <w:pPr>
              <w:jc w:val="right"/>
              <w:textAlignment w:val="bottom"/>
            </w:pPr>
            <w:r>
              <w:rPr>
                <w:rFonts w:ascii="sans-serif" w:eastAsia="sans-serif" w:hAnsi="sans-serif" w:cs="sans-serif"/>
                <w:color w:val="000000"/>
                <w:sz w:val="20"/>
                <w:szCs w:val="20"/>
              </w:rPr>
              <w:t>2,512 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8E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E4"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8E5" w14:textId="77777777" w:rsidR="00A85061" w:rsidRDefault="00F04891">
            <w:pPr>
              <w:jc w:val="right"/>
              <w:textAlignment w:val="bottom"/>
            </w:pPr>
            <w:r>
              <w:rPr>
                <w:rFonts w:ascii="sans-serif" w:eastAsia="sans-serif" w:hAnsi="sans-serif" w:cs="sans-serif"/>
                <w:color w:val="000000"/>
                <w:sz w:val="20"/>
                <w:szCs w:val="20"/>
              </w:rPr>
              <w:t>2,472 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8E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8E7"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8E8" w14:textId="77777777" w:rsidR="00A85061" w:rsidRDefault="00F04891">
            <w:pPr>
              <w:jc w:val="right"/>
              <w:textAlignment w:val="bottom"/>
            </w:pPr>
            <w:r>
              <w:rPr>
                <w:rFonts w:ascii="sans-serif" w:eastAsia="sans-serif" w:hAnsi="sans-serif" w:cs="sans-serif"/>
                <w:color w:val="000000"/>
                <w:sz w:val="20"/>
                <w:szCs w:val="20"/>
              </w:rPr>
              <w:t>2,500 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8E9" w14:textId="77777777" w:rsidR="00A85061" w:rsidRDefault="00A85061">
            <w:pPr>
              <w:jc w:val="right"/>
              <w:rPr>
                <w:rFonts w:ascii="宋体"/>
              </w:rPr>
            </w:pPr>
          </w:p>
        </w:tc>
        <w:tc>
          <w:tcPr>
            <w:tcW w:w="0" w:type="auto"/>
            <w:gridSpan w:val="3"/>
            <w:shd w:val="clear" w:color="auto" w:fill="auto"/>
            <w:vAlign w:val="bottom"/>
          </w:tcPr>
          <w:p w14:paraId="27E088EA" w14:textId="77777777" w:rsidR="00A85061" w:rsidRDefault="00A85061">
            <w:pPr>
              <w:rPr>
                <w:rFonts w:ascii="宋体"/>
                <w:vanish/>
              </w:rPr>
            </w:pPr>
          </w:p>
        </w:tc>
        <w:tc>
          <w:tcPr>
            <w:tcW w:w="0" w:type="auto"/>
            <w:gridSpan w:val="3"/>
            <w:shd w:val="clear" w:color="auto" w:fill="auto"/>
            <w:vAlign w:val="bottom"/>
          </w:tcPr>
          <w:p w14:paraId="27E088EB" w14:textId="77777777" w:rsidR="00A85061" w:rsidRDefault="00A85061">
            <w:pPr>
              <w:rPr>
                <w:rFonts w:ascii="宋体"/>
                <w:vanish/>
              </w:rPr>
            </w:pPr>
          </w:p>
        </w:tc>
        <w:tc>
          <w:tcPr>
            <w:tcW w:w="0" w:type="auto"/>
            <w:gridSpan w:val="3"/>
            <w:shd w:val="clear" w:color="auto" w:fill="auto"/>
            <w:vAlign w:val="bottom"/>
          </w:tcPr>
          <w:p w14:paraId="27E088EC" w14:textId="77777777" w:rsidR="00A85061" w:rsidRDefault="00A85061">
            <w:pPr>
              <w:rPr>
                <w:rFonts w:ascii="宋体"/>
                <w:vanish/>
              </w:rPr>
            </w:pPr>
          </w:p>
        </w:tc>
        <w:tc>
          <w:tcPr>
            <w:tcW w:w="0" w:type="auto"/>
            <w:gridSpan w:val="3"/>
            <w:shd w:val="clear" w:color="auto" w:fill="auto"/>
            <w:vAlign w:val="bottom"/>
          </w:tcPr>
          <w:p w14:paraId="27E088ED" w14:textId="77777777" w:rsidR="00A85061" w:rsidRDefault="00A85061">
            <w:pPr>
              <w:rPr>
                <w:rFonts w:ascii="宋体"/>
                <w:vanish/>
              </w:rPr>
            </w:pPr>
          </w:p>
        </w:tc>
      </w:tr>
      <w:tr w:rsidR="00A85061" w14:paraId="27E08901" w14:textId="77777777">
        <w:tc>
          <w:tcPr>
            <w:tcW w:w="0" w:type="auto"/>
            <w:gridSpan w:val="3"/>
            <w:shd w:val="clear" w:color="auto" w:fill="E2EFD9"/>
            <w:tcMar>
              <w:top w:w="40" w:type="dxa"/>
              <w:left w:w="20" w:type="dxa"/>
              <w:bottom w:w="40" w:type="dxa"/>
              <w:right w:w="20" w:type="dxa"/>
            </w:tcMar>
            <w:vAlign w:val="bottom"/>
          </w:tcPr>
          <w:p w14:paraId="27E088EF" w14:textId="77777777" w:rsidR="00A85061" w:rsidRDefault="00F04891">
            <w:pPr>
              <w:textAlignment w:val="bottom"/>
            </w:pPr>
            <w:r>
              <w:rPr>
                <w:rFonts w:ascii="sans-serif" w:eastAsia="sans-serif" w:hAnsi="sans-serif" w:cs="sans-serif"/>
                <w:color w:val="000000"/>
                <w:sz w:val="20"/>
                <w:szCs w:val="20"/>
              </w:rPr>
              <w:t>Net income per share:</w:t>
            </w:r>
          </w:p>
        </w:tc>
        <w:tc>
          <w:tcPr>
            <w:tcW w:w="0" w:type="auto"/>
            <w:shd w:val="clear" w:color="auto" w:fill="auto"/>
            <w:vAlign w:val="bottom"/>
          </w:tcPr>
          <w:p w14:paraId="27E088F0" w14:textId="77777777" w:rsidR="00A85061" w:rsidRDefault="00A85061">
            <w:pPr>
              <w:rPr>
                <w:rFonts w:ascii="宋体"/>
                <w:vanish/>
              </w:rPr>
            </w:pPr>
          </w:p>
        </w:tc>
        <w:tc>
          <w:tcPr>
            <w:tcW w:w="0" w:type="auto"/>
            <w:shd w:val="clear" w:color="auto" w:fill="auto"/>
            <w:vAlign w:val="bottom"/>
          </w:tcPr>
          <w:p w14:paraId="27E088F1" w14:textId="77777777" w:rsidR="00A85061" w:rsidRDefault="00A85061">
            <w:pPr>
              <w:rPr>
                <w:rFonts w:ascii="宋体"/>
                <w:vanish/>
              </w:rPr>
            </w:pPr>
          </w:p>
        </w:tc>
        <w:tc>
          <w:tcPr>
            <w:tcW w:w="0" w:type="auto"/>
            <w:shd w:val="clear" w:color="auto" w:fill="auto"/>
            <w:vAlign w:val="bottom"/>
          </w:tcPr>
          <w:p w14:paraId="27E088F2" w14:textId="77777777" w:rsidR="00A85061" w:rsidRDefault="00A85061">
            <w:pPr>
              <w:rPr>
                <w:rFonts w:ascii="宋体"/>
                <w:vanish/>
              </w:rPr>
            </w:pPr>
          </w:p>
        </w:tc>
        <w:tc>
          <w:tcPr>
            <w:tcW w:w="0" w:type="auto"/>
            <w:shd w:val="clear" w:color="auto" w:fill="auto"/>
            <w:vAlign w:val="bottom"/>
          </w:tcPr>
          <w:p w14:paraId="27E088F3" w14:textId="77777777" w:rsidR="00A85061" w:rsidRDefault="00A85061">
            <w:pPr>
              <w:rPr>
                <w:rFonts w:ascii="宋体"/>
                <w:vanish/>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F4"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F5"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F6"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F7"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F8"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F9"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FA" w14:textId="77777777" w:rsidR="00A85061" w:rsidRDefault="00A85061">
            <w:pPr>
              <w:rPr>
                <w:rFonts w:ascii="宋体"/>
              </w:rPr>
            </w:pPr>
          </w:p>
        </w:tc>
        <w:tc>
          <w:tcPr>
            <w:tcW w:w="0" w:type="auto"/>
            <w:gridSpan w:val="3"/>
            <w:shd w:val="clear" w:color="auto" w:fill="E2EFD9"/>
            <w:tcMar>
              <w:top w:w="0" w:type="dxa"/>
              <w:left w:w="20" w:type="dxa"/>
              <w:bottom w:w="0" w:type="dxa"/>
              <w:right w:w="20" w:type="dxa"/>
            </w:tcMar>
            <w:vAlign w:val="bottom"/>
          </w:tcPr>
          <w:p w14:paraId="27E088FB" w14:textId="77777777" w:rsidR="00A85061" w:rsidRDefault="00A85061">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27E088FC" w14:textId="77777777" w:rsidR="00A85061" w:rsidRDefault="00A85061">
            <w:pPr>
              <w:rPr>
                <w:rFonts w:ascii="宋体"/>
              </w:rPr>
            </w:pPr>
          </w:p>
        </w:tc>
        <w:tc>
          <w:tcPr>
            <w:tcW w:w="0" w:type="auto"/>
            <w:gridSpan w:val="3"/>
            <w:shd w:val="clear" w:color="auto" w:fill="auto"/>
            <w:vAlign w:val="bottom"/>
          </w:tcPr>
          <w:p w14:paraId="27E088FD" w14:textId="77777777" w:rsidR="00A85061" w:rsidRDefault="00A85061">
            <w:pPr>
              <w:rPr>
                <w:rFonts w:ascii="宋体"/>
                <w:vanish/>
              </w:rPr>
            </w:pPr>
          </w:p>
        </w:tc>
        <w:tc>
          <w:tcPr>
            <w:tcW w:w="0" w:type="auto"/>
            <w:gridSpan w:val="3"/>
            <w:shd w:val="clear" w:color="auto" w:fill="auto"/>
            <w:vAlign w:val="bottom"/>
          </w:tcPr>
          <w:p w14:paraId="27E088FE" w14:textId="77777777" w:rsidR="00A85061" w:rsidRDefault="00A85061">
            <w:pPr>
              <w:rPr>
                <w:rFonts w:ascii="宋体"/>
                <w:vanish/>
              </w:rPr>
            </w:pPr>
          </w:p>
        </w:tc>
        <w:tc>
          <w:tcPr>
            <w:tcW w:w="0" w:type="auto"/>
            <w:gridSpan w:val="3"/>
            <w:shd w:val="clear" w:color="auto" w:fill="auto"/>
            <w:vAlign w:val="bottom"/>
          </w:tcPr>
          <w:p w14:paraId="27E088FF" w14:textId="77777777" w:rsidR="00A85061" w:rsidRDefault="00A85061">
            <w:pPr>
              <w:rPr>
                <w:rFonts w:ascii="宋体"/>
                <w:vanish/>
              </w:rPr>
            </w:pPr>
          </w:p>
        </w:tc>
        <w:tc>
          <w:tcPr>
            <w:tcW w:w="0" w:type="auto"/>
            <w:gridSpan w:val="3"/>
            <w:shd w:val="clear" w:color="auto" w:fill="auto"/>
            <w:vAlign w:val="bottom"/>
          </w:tcPr>
          <w:p w14:paraId="27E08900" w14:textId="77777777" w:rsidR="00A85061" w:rsidRDefault="00A85061">
            <w:pPr>
              <w:rPr>
                <w:rFonts w:ascii="宋体"/>
                <w:vanish/>
              </w:rPr>
            </w:pPr>
          </w:p>
        </w:tc>
      </w:tr>
      <w:tr w:rsidR="00A85061" w14:paraId="27E0891E" w14:textId="77777777">
        <w:tc>
          <w:tcPr>
            <w:tcW w:w="0" w:type="auto"/>
            <w:gridSpan w:val="3"/>
            <w:shd w:val="clear" w:color="auto" w:fill="FFFFFF"/>
            <w:tcMar>
              <w:top w:w="40" w:type="dxa"/>
              <w:left w:w="20" w:type="dxa"/>
              <w:bottom w:w="40" w:type="dxa"/>
              <w:right w:w="20" w:type="dxa"/>
            </w:tcMar>
            <w:vAlign w:val="bottom"/>
          </w:tcPr>
          <w:p w14:paraId="27E08902" w14:textId="77777777" w:rsidR="00A85061" w:rsidRDefault="00F04891">
            <w:pPr>
              <w:ind w:firstLine="180"/>
              <w:textAlignment w:val="bottom"/>
            </w:pPr>
            <w:r>
              <w:rPr>
                <w:rFonts w:ascii="sans-serif" w:eastAsia="sans-serif" w:hAnsi="sans-serif" w:cs="sans-serif"/>
                <w:color w:val="000000"/>
                <w:sz w:val="20"/>
                <w:szCs w:val="20"/>
              </w:rPr>
              <w:t>Basic (1)</w:t>
            </w:r>
          </w:p>
        </w:tc>
        <w:tc>
          <w:tcPr>
            <w:tcW w:w="0" w:type="auto"/>
            <w:shd w:val="clear" w:color="auto" w:fill="auto"/>
            <w:vAlign w:val="bottom"/>
          </w:tcPr>
          <w:p w14:paraId="27E08903" w14:textId="77777777" w:rsidR="00A85061" w:rsidRDefault="00A85061">
            <w:pPr>
              <w:rPr>
                <w:rFonts w:ascii="宋体"/>
                <w:vanish/>
              </w:rPr>
            </w:pPr>
          </w:p>
        </w:tc>
        <w:tc>
          <w:tcPr>
            <w:tcW w:w="0" w:type="auto"/>
            <w:shd w:val="clear" w:color="auto" w:fill="auto"/>
            <w:vAlign w:val="bottom"/>
          </w:tcPr>
          <w:p w14:paraId="27E08904" w14:textId="77777777" w:rsidR="00A85061" w:rsidRDefault="00A85061">
            <w:pPr>
              <w:rPr>
                <w:rFonts w:ascii="宋体"/>
                <w:vanish/>
              </w:rPr>
            </w:pPr>
          </w:p>
        </w:tc>
        <w:tc>
          <w:tcPr>
            <w:tcW w:w="0" w:type="auto"/>
            <w:shd w:val="clear" w:color="auto" w:fill="auto"/>
            <w:vAlign w:val="bottom"/>
          </w:tcPr>
          <w:p w14:paraId="27E08905" w14:textId="77777777" w:rsidR="00A85061" w:rsidRDefault="00A85061">
            <w:pPr>
              <w:rPr>
                <w:rFonts w:ascii="宋体"/>
                <w:vanish/>
              </w:rPr>
            </w:pPr>
          </w:p>
        </w:tc>
        <w:tc>
          <w:tcPr>
            <w:tcW w:w="0" w:type="auto"/>
            <w:shd w:val="clear" w:color="auto" w:fill="auto"/>
            <w:vAlign w:val="bottom"/>
          </w:tcPr>
          <w:p w14:paraId="27E08906" w14:textId="77777777" w:rsidR="00A85061" w:rsidRDefault="00A85061">
            <w:pPr>
              <w:rPr>
                <w:rFonts w:ascii="宋体"/>
                <w:vanish/>
              </w:rPr>
            </w:pPr>
          </w:p>
        </w:tc>
        <w:tc>
          <w:tcPr>
            <w:tcW w:w="0" w:type="auto"/>
            <w:shd w:val="clear" w:color="auto" w:fill="FFFFFF"/>
            <w:tcMar>
              <w:top w:w="40" w:type="dxa"/>
              <w:left w:w="20" w:type="dxa"/>
              <w:bottom w:w="40" w:type="dxa"/>
              <w:right w:w="0" w:type="dxa"/>
            </w:tcMar>
            <w:vAlign w:val="bottom"/>
          </w:tcPr>
          <w:p w14:paraId="27E0890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08" w14:textId="77777777" w:rsidR="00A85061" w:rsidRDefault="00F04891">
            <w:pPr>
              <w:jc w:val="right"/>
              <w:textAlignment w:val="bottom"/>
            </w:pPr>
            <w:r>
              <w:rPr>
                <w:rFonts w:ascii="sans-serif" w:eastAsia="sans-serif" w:hAnsi="sans-serif" w:cs="sans-serif"/>
                <w:color w:val="000000"/>
                <w:sz w:val="20"/>
                <w:szCs w:val="20"/>
              </w:rPr>
              <w:t>0.77 </w:t>
            </w:r>
          </w:p>
        </w:tc>
        <w:tc>
          <w:tcPr>
            <w:tcW w:w="0" w:type="auto"/>
            <w:shd w:val="clear" w:color="auto" w:fill="FFFFFF"/>
            <w:tcMar>
              <w:top w:w="40" w:type="dxa"/>
              <w:left w:w="0" w:type="dxa"/>
              <w:bottom w:w="40" w:type="dxa"/>
              <w:right w:w="20" w:type="dxa"/>
            </w:tcMar>
            <w:vAlign w:val="bottom"/>
          </w:tcPr>
          <w:p w14:paraId="27E0890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0A"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0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0C" w14:textId="77777777" w:rsidR="00A85061" w:rsidRDefault="00F04891">
            <w:pPr>
              <w:jc w:val="right"/>
              <w:textAlignment w:val="bottom"/>
            </w:pPr>
            <w:r>
              <w:rPr>
                <w:rFonts w:ascii="sans-serif" w:eastAsia="sans-serif" w:hAnsi="sans-serif" w:cs="sans-serif"/>
                <w:color w:val="000000"/>
                <w:sz w:val="20"/>
                <w:szCs w:val="20"/>
              </w:rPr>
              <w:t>0.37 </w:t>
            </w:r>
          </w:p>
        </w:tc>
        <w:tc>
          <w:tcPr>
            <w:tcW w:w="0" w:type="auto"/>
            <w:shd w:val="clear" w:color="auto" w:fill="FFFFFF"/>
            <w:tcMar>
              <w:top w:w="40" w:type="dxa"/>
              <w:left w:w="0" w:type="dxa"/>
              <w:bottom w:w="40" w:type="dxa"/>
              <w:right w:w="20" w:type="dxa"/>
            </w:tcMar>
            <w:vAlign w:val="bottom"/>
          </w:tcPr>
          <w:p w14:paraId="27E0890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0E"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0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10" w14:textId="77777777" w:rsidR="00A85061" w:rsidRDefault="00F04891">
            <w:pPr>
              <w:jc w:val="right"/>
              <w:textAlignment w:val="bottom"/>
            </w:pPr>
            <w:r>
              <w:rPr>
                <w:rFonts w:ascii="sans-serif" w:eastAsia="sans-serif" w:hAnsi="sans-serif" w:cs="sans-serif"/>
                <w:color w:val="000000"/>
                <w:sz w:val="20"/>
                <w:szCs w:val="20"/>
              </w:rPr>
              <w:t>1.76 </w:t>
            </w:r>
          </w:p>
        </w:tc>
        <w:tc>
          <w:tcPr>
            <w:tcW w:w="0" w:type="auto"/>
            <w:shd w:val="clear" w:color="auto" w:fill="FFFFFF"/>
            <w:tcMar>
              <w:top w:w="40" w:type="dxa"/>
              <w:left w:w="0" w:type="dxa"/>
              <w:bottom w:w="40" w:type="dxa"/>
              <w:right w:w="20" w:type="dxa"/>
            </w:tcMar>
            <w:vAlign w:val="bottom"/>
          </w:tcPr>
          <w:p w14:paraId="27E0891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12"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1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14" w14:textId="77777777" w:rsidR="00A85061" w:rsidRDefault="00F04891">
            <w:pPr>
              <w:jc w:val="right"/>
              <w:textAlignment w:val="bottom"/>
            </w:pPr>
            <w:r>
              <w:rPr>
                <w:rFonts w:ascii="sans-serif" w:eastAsia="sans-serif" w:hAnsi="sans-serif" w:cs="sans-serif"/>
                <w:color w:val="000000"/>
                <w:sz w:val="20"/>
                <w:szCs w:val="20"/>
              </w:rPr>
              <w:t>1.15 </w:t>
            </w:r>
          </w:p>
        </w:tc>
        <w:tc>
          <w:tcPr>
            <w:tcW w:w="0" w:type="auto"/>
            <w:shd w:val="clear" w:color="auto" w:fill="FFFFFF"/>
            <w:tcMar>
              <w:top w:w="40" w:type="dxa"/>
              <w:left w:w="0" w:type="dxa"/>
              <w:bottom w:w="40" w:type="dxa"/>
              <w:right w:w="20" w:type="dxa"/>
            </w:tcMar>
            <w:vAlign w:val="bottom"/>
          </w:tcPr>
          <w:p w14:paraId="27E0891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16"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1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18" w14:textId="77777777" w:rsidR="00A85061" w:rsidRDefault="00F04891">
            <w:pPr>
              <w:jc w:val="right"/>
              <w:textAlignment w:val="bottom"/>
            </w:pPr>
            <w:r>
              <w:rPr>
                <w:rFonts w:ascii="sans-serif" w:eastAsia="sans-serif" w:hAnsi="sans-serif" w:cs="sans-serif"/>
                <w:color w:val="000000"/>
                <w:sz w:val="20"/>
                <w:szCs w:val="20"/>
              </w:rPr>
              <w:t>1.70 </w:t>
            </w:r>
          </w:p>
        </w:tc>
        <w:tc>
          <w:tcPr>
            <w:tcW w:w="0" w:type="auto"/>
            <w:shd w:val="clear" w:color="auto" w:fill="FFFFFF"/>
            <w:tcMar>
              <w:top w:w="40" w:type="dxa"/>
              <w:left w:w="0" w:type="dxa"/>
              <w:bottom w:w="40" w:type="dxa"/>
              <w:right w:w="20" w:type="dxa"/>
            </w:tcMar>
            <w:vAlign w:val="bottom"/>
          </w:tcPr>
          <w:p w14:paraId="27E08919" w14:textId="77777777" w:rsidR="00A85061" w:rsidRDefault="00A85061">
            <w:pPr>
              <w:jc w:val="right"/>
              <w:rPr>
                <w:rFonts w:ascii="宋体"/>
              </w:rPr>
            </w:pPr>
          </w:p>
        </w:tc>
        <w:tc>
          <w:tcPr>
            <w:tcW w:w="0" w:type="auto"/>
            <w:gridSpan w:val="3"/>
            <w:shd w:val="clear" w:color="auto" w:fill="auto"/>
            <w:vAlign w:val="bottom"/>
          </w:tcPr>
          <w:p w14:paraId="27E0891A" w14:textId="77777777" w:rsidR="00A85061" w:rsidRDefault="00A85061">
            <w:pPr>
              <w:rPr>
                <w:rFonts w:ascii="宋体"/>
                <w:vanish/>
              </w:rPr>
            </w:pPr>
          </w:p>
        </w:tc>
        <w:tc>
          <w:tcPr>
            <w:tcW w:w="0" w:type="auto"/>
            <w:gridSpan w:val="3"/>
            <w:shd w:val="clear" w:color="auto" w:fill="auto"/>
            <w:vAlign w:val="bottom"/>
          </w:tcPr>
          <w:p w14:paraId="27E0891B" w14:textId="77777777" w:rsidR="00A85061" w:rsidRDefault="00A85061">
            <w:pPr>
              <w:rPr>
                <w:rFonts w:ascii="宋体"/>
                <w:vanish/>
              </w:rPr>
            </w:pPr>
          </w:p>
        </w:tc>
        <w:tc>
          <w:tcPr>
            <w:tcW w:w="0" w:type="auto"/>
            <w:gridSpan w:val="3"/>
            <w:shd w:val="clear" w:color="auto" w:fill="auto"/>
            <w:vAlign w:val="bottom"/>
          </w:tcPr>
          <w:p w14:paraId="27E0891C" w14:textId="77777777" w:rsidR="00A85061" w:rsidRDefault="00A85061">
            <w:pPr>
              <w:rPr>
                <w:rFonts w:ascii="宋体"/>
                <w:vanish/>
              </w:rPr>
            </w:pPr>
          </w:p>
        </w:tc>
        <w:tc>
          <w:tcPr>
            <w:tcW w:w="0" w:type="auto"/>
            <w:gridSpan w:val="3"/>
            <w:shd w:val="clear" w:color="auto" w:fill="auto"/>
            <w:vAlign w:val="bottom"/>
          </w:tcPr>
          <w:p w14:paraId="27E0891D" w14:textId="77777777" w:rsidR="00A85061" w:rsidRDefault="00A85061">
            <w:pPr>
              <w:rPr>
                <w:rFonts w:ascii="宋体"/>
                <w:vanish/>
              </w:rPr>
            </w:pPr>
          </w:p>
        </w:tc>
      </w:tr>
      <w:tr w:rsidR="00A85061" w14:paraId="27E0893B" w14:textId="77777777">
        <w:tc>
          <w:tcPr>
            <w:tcW w:w="0" w:type="auto"/>
            <w:gridSpan w:val="3"/>
            <w:shd w:val="clear" w:color="auto" w:fill="E2EFD9"/>
            <w:tcMar>
              <w:top w:w="40" w:type="dxa"/>
              <w:left w:w="20" w:type="dxa"/>
              <w:bottom w:w="40" w:type="dxa"/>
              <w:right w:w="20" w:type="dxa"/>
            </w:tcMar>
            <w:vAlign w:val="bottom"/>
          </w:tcPr>
          <w:p w14:paraId="27E0891F" w14:textId="77777777" w:rsidR="00A85061" w:rsidRDefault="00F04891">
            <w:pPr>
              <w:ind w:firstLine="180"/>
              <w:textAlignment w:val="bottom"/>
            </w:pPr>
            <w:r>
              <w:rPr>
                <w:rFonts w:ascii="sans-serif" w:eastAsia="sans-serif" w:hAnsi="sans-serif" w:cs="sans-serif"/>
                <w:color w:val="000000"/>
                <w:sz w:val="20"/>
                <w:szCs w:val="20"/>
              </w:rPr>
              <w:t>Diluted (2)</w:t>
            </w:r>
          </w:p>
        </w:tc>
        <w:tc>
          <w:tcPr>
            <w:tcW w:w="0" w:type="auto"/>
            <w:shd w:val="clear" w:color="auto" w:fill="auto"/>
            <w:vAlign w:val="bottom"/>
          </w:tcPr>
          <w:p w14:paraId="27E08920" w14:textId="77777777" w:rsidR="00A85061" w:rsidRDefault="00A85061">
            <w:pPr>
              <w:rPr>
                <w:rFonts w:ascii="宋体"/>
                <w:vanish/>
              </w:rPr>
            </w:pPr>
          </w:p>
        </w:tc>
        <w:tc>
          <w:tcPr>
            <w:tcW w:w="0" w:type="auto"/>
            <w:shd w:val="clear" w:color="auto" w:fill="auto"/>
            <w:vAlign w:val="bottom"/>
          </w:tcPr>
          <w:p w14:paraId="27E08921" w14:textId="77777777" w:rsidR="00A85061" w:rsidRDefault="00A85061">
            <w:pPr>
              <w:rPr>
                <w:rFonts w:ascii="宋体"/>
                <w:vanish/>
              </w:rPr>
            </w:pPr>
          </w:p>
        </w:tc>
        <w:tc>
          <w:tcPr>
            <w:tcW w:w="0" w:type="auto"/>
            <w:shd w:val="clear" w:color="auto" w:fill="auto"/>
            <w:vAlign w:val="bottom"/>
          </w:tcPr>
          <w:p w14:paraId="27E08922" w14:textId="77777777" w:rsidR="00A85061" w:rsidRDefault="00A85061">
            <w:pPr>
              <w:rPr>
                <w:rFonts w:ascii="宋体"/>
                <w:vanish/>
              </w:rPr>
            </w:pPr>
          </w:p>
        </w:tc>
        <w:tc>
          <w:tcPr>
            <w:tcW w:w="0" w:type="auto"/>
            <w:shd w:val="clear" w:color="auto" w:fill="auto"/>
            <w:vAlign w:val="bottom"/>
          </w:tcPr>
          <w:p w14:paraId="27E08923" w14:textId="77777777" w:rsidR="00A85061" w:rsidRDefault="00A85061">
            <w:pPr>
              <w:rPr>
                <w:rFonts w:ascii="宋体"/>
                <w:vanish/>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892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27E08925" w14:textId="77777777" w:rsidR="00A85061" w:rsidRDefault="00F04891">
            <w:pPr>
              <w:jc w:val="right"/>
              <w:textAlignment w:val="bottom"/>
            </w:pPr>
            <w:r>
              <w:rPr>
                <w:rFonts w:ascii="sans-serif" w:eastAsia="sans-serif" w:hAnsi="sans-serif" w:cs="sans-serif"/>
                <w:color w:val="000000"/>
                <w:sz w:val="20"/>
                <w:szCs w:val="20"/>
              </w:rPr>
              <w:t>0.76 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892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27" w14:textId="77777777" w:rsidR="00A85061" w:rsidRDefault="00A85061">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8928"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27E08929" w14:textId="77777777" w:rsidR="00A85061" w:rsidRDefault="00F04891">
            <w:pPr>
              <w:jc w:val="right"/>
              <w:textAlignment w:val="bottom"/>
            </w:pPr>
            <w:r>
              <w:rPr>
                <w:rFonts w:ascii="sans-serif" w:eastAsia="sans-serif" w:hAnsi="sans-serif" w:cs="sans-serif"/>
                <w:color w:val="000000"/>
                <w:sz w:val="20"/>
                <w:szCs w:val="20"/>
              </w:rPr>
              <w:t>0.37 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892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2B" w14:textId="77777777" w:rsidR="00A85061" w:rsidRDefault="00A85061">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892C"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27E0892D" w14:textId="77777777" w:rsidR="00A85061" w:rsidRDefault="00F04891">
            <w:pPr>
              <w:jc w:val="right"/>
              <w:textAlignment w:val="bottom"/>
            </w:pPr>
            <w:r>
              <w:rPr>
                <w:rFonts w:ascii="sans-serif" w:eastAsia="sans-serif" w:hAnsi="sans-serif" w:cs="sans-serif"/>
                <w:color w:val="000000"/>
                <w:sz w:val="20"/>
                <w:szCs w:val="20"/>
              </w:rPr>
              <w:t>1.72 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892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2F" w14:textId="77777777" w:rsidR="00A85061" w:rsidRDefault="00A85061">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8930"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27E08931" w14:textId="77777777" w:rsidR="00A85061" w:rsidRDefault="00F04891">
            <w:pPr>
              <w:jc w:val="right"/>
              <w:textAlignment w:val="bottom"/>
            </w:pPr>
            <w:r>
              <w:rPr>
                <w:rFonts w:ascii="sans-serif" w:eastAsia="sans-serif" w:hAnsi="sans-serif" w:cs="sans-serif"/>
                <w:color w:val="000000"/>
                <w:sz w:val="20"/>
                <w:szCs w:val="20"/>
              </w:rPr>
              <w:t>1.13 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893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33" w14:textId="77777777" w:rsidR="00A85061" w:rsidRDefault="00A85061">
            <w:pPr>
              <w:rPr>
                <w:rFonts w:ascii="宋体"/>
              </w:rPr>
            </w:pPr>
          </w:p>
        </w:tc>
        <w:tc>
          <w:tcPr>
            <w:tcW w:w="0" w:type="auto"/>
            <w:tcBorders>
              <w:top w:val="double" w:sz="6" w:space="0" w:color="000000"/>
              <w:bottom w:val="double" w:sz="6" w:space="0" w:color="000000"/>
            </w:tcBorders>
            <w:shd w:val="clear" w:color="auto" w:fill="E2EFD9"/>
            <w:tcMar>
              <w:top w:w="40" w:type="dxa"/>
              <w:left w:w="20" w:type="dxa"/>
              <w:bottom w:w="40" w:type="dxa"/>
              <w:right w:w="0" w:type="dxa"/>
            </w:tcMar>
            <w:vAlign w:val="bottom"/>
          </w:tcPr>
          <w:p w14:paraId="27E0893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double" w:sz="6" w:space="0" w:color="000000"/>
              <w:bottom w:val="double" w:sz="6" w:space="0" w:color="000000"/>
            </w:tcBorders>
            <w:shd w:val="clear" w:color="auto" w:fill="E2EFD9"/>
            <w:tcMar>
              <w:top w:w="40" w:type="dxa"/>
              <w:left w:w="0" w:type="dxa"/>
              <w:bottom w:w="40" w:type="dxa"/>
              <w:right w:w="0" w:type="dxa"/>
            </w:tcMar>
            <w:vAlign w:val="bottom"/>
          </w:tcPr>
          <w:p w14:paraId="27E08935" w14:textId="77777777" w:rsidR="00A85061" w:rsidRDefault="00F04891">
            <w:pPr>
              <w:jc w:val="right"/>
              <w:textAlignment w:val="bottom"/>
            </w:pPr>
            <w:r>
              <w:rPr>
                <w:rFonts w:ascii="sans-serif" w:eastAsia="sans-serif" w:hAnsi="sans-serif" w:cs="sans-serif"/>
                <w:color w:val="000000"/>
                <w:sz w:val="20"/>
                <w:szCs w:val="20"/>
              </w:rPr>
              <w:t>1.66 </w:t>
            </w:r>
          </w:p>
        </w:tc>
        <w:tc>
          <w:tcPr>
            <w:tcW w:w="0" w:type="auto"/>
            <w:tcBorders>
              <w:top w:val="double" w:sz="6" w:space="0" w:color="000000"/>
              <w:bottom w:val="double" w:sz="6" w:space="0" w:color="000000"/>
            </w:tcBorders>
            <w:shd w:val="clear" w:color="auto" w:fill="E2EFD9"/>
            <w:tcMar>
              <w:top w:w="40" w:type="dxa"/>
              <w:left w:w="0" w:type="dxa"/>
              <w:bottom w:w="40" w:type="dxa"/>
              <w:right w:w="20" w:type="dxa"/>
            </w:tcMar>
            <w:vAlign w:val="bottom"/>
          </w:tcPr>
          <w:p w14:paraId="27E08936" w14:textId="77777777" w:rsidR="00A85061" w:rsidRDefault="00A85061">
            <w:pPr>
              <w:jc w:val="right"/>
              <w:rPr>
                <w:rFonts w:ascii="宋体"/>
              </w:rPr>
            </w:pPr>
          </w:p>
        </w:tc>
        <w:tc>
          <w:tcPr>
            <w:tcW w:w="0" w:type="auto"/>
            <w:gridSpan w:val="3"/>
            <w:shd w:val="clear" w:color="auto" w:fill="auto"/>
            <w:vAlign w:val="bottom"/>
          </w:tcPr>
          <w:p w14:paraId="27E08937" w14:textId="77777777" w:rsidR="00A85061" w:rsidRDefault="00A85061">
            <w:pPr>
              <w:rPr>
                <w:rFonts w:ascii="宋体"/>
                <w:vanish/>
              </w:rPr>
            </w:pPr>
          </w:p>
        </w:tc>
        <w:tc>
          <w:tcPr>
            <w:tcW w:w="0" w:type="auto"/>
            <w:gridSpan w:val="3"/>
            <w:shd w:val="clear" w:color="auto" w:fill="auto"/>
            <w:vAlign w:val="bottom"/>
          </w:tcPr>
          <w:p w14:paraId="27E08938" w14:textId="77777777" w:rsidR="00A85061" w:rsidRDefault="00A85061">
            <w:pPr>
              <w:rPr>
                <w:rFonts w:ascii="宋体"/>
                <w:vanish/>
              </w:rPr>
            </w:pPr>
          </w:p>
        </w:tc>
        <w:tc>
          <w:tcPr>
            <w:tcW w:w="0" w:type="auto"/>
            <w:gridSpan w:val="3"/>
            <w:shd w:val="clear" w:color="auto" w:fill="auto"/>
            <w:vAlign w:val="bottom"/>
          </w:tcPr>
          <w:p w14:paraId="27E08939" w14:textId="77777777" w:rsidR="00A85061" w:rsidRDefault="00A85061">
            <w:pPr>
              <w:rPr>
                <w:rFonts w:ascii="宋体"/>
                <w:vanish/>
              </w:rPr>
            </w:pPr>
          </w:p>
        </w:tc>
        <w:tc>
          <w:tcPr>
            <w:tcW w:w="0" w:type="auto"/>
            <w:gridSpan w:val="3"/>
            <w:shd w:val="clear" w:color="auto" w:fill="auto"/>
            <w:vAlign w:val="bottom"/>
          </w:tcPr>
          <w:p w14:paraId="27E0893A" w14:textId="77777777" w:rsidR="00A85061" w:rsidRDefault="00A85061">
            <w:pPr>
              <w:rPr>
                <w:rFonts w:ascii="宋体"/>
                <w:vanish/>
              </w:rPr>
            </w:pPr>
          </w:p>
        </w:tc>
      </w:tr>
      <w:tr w:rsidR="00A85061" w14:paraId="27E0894E" w14:textId="77777777">
        <w:trPr>
          <w:hidden/>
        </w:trPr>
        <w:tc>
          <w:tcPr>
            <w:tcW w:w="0" w:type="auto"/>
            <w:gridSpan w:val="3"/>
            <w:shd w:val="clear" w:color="auto" w:fill="auto"/>
            <w:vAlign w:val="bottom"/>
          </w:tcPr>
          <w:p w14:paraId="27E0893C" w14:textId="77777777" w:rsidR="00A85061" w:rsidRDefault="00A85061">
            <w:pPr>
              <w:rPr>
                <w:rFonts w:ascii="宋体"/>
                <w:vanish/>
              </w:rPr>
            </w:pPr>
          </w:p>
        </w:tc>
        <w:tc>
          <w:tcPr>
            <w:tcW w:w="0" w:type="auto"/>
            <w:shd w:val="clear" w:color="auto" w:fill="auto"/>
            <w:vAlign w:val="bottom"/>
          </w:tcPr>
          <w:p w14:paraId="27E0893D" w14:textId="77777777" w:rsidR="00A85061" w:rsidRDefault="00A85061">
            <w:pPr>
              <w:rPr>
                <w:rFonts w:ascii="宋体"/>
                <w:vanish/>
              </w:rPr>
            </w:pPr>
          </w:p>
        </w:tc>
        <w:tc>
          <w:tcPr>
            <w:tcW w:w="0" w:type="auto"/>
            <w:shd w:val="clear" w:color="auto" w:fill="auto"/>
            <w:vAlign w:val="bottom"/>
          </w:tcPr>
          <w:p w14:paraId="27E0893E" w14:textId="77777777" w:rsidR="00A85061" w:rsidRDefault="00A85061">
            <w:pPr>
              <w:rPr>
                <w:rFonts w:ascii="宋体"/>
                <w:vanish/>
              </w:rPr>
            </w:pPr>
          </w:p>
        </w:tc>
        <w:tc>
          <w:tcPr>
            <w:tcW w:w="0" w:type="auto"/>
            <w:shd w:val="clear" w:color="auto" w:fill="auto"/>
            <w:vAlign w:val="bottom"/>
          </w:tcPr>
          <w:p w14:paraId="27E0893F" w14:textId="77777777" w:rsidR="00A85061" w:rsidRDefault="00A85061">
            <w:pPr>
              <w:rPr>
                <w:rFonts w:ascii="宋体"/>
                <w:vanish/>
              </w:rPr>
            </w:pPr>
          </w:p>
        </w:tc>
        <w:tc>
          <w:tcPr>
            <w:tcW w:w="0" w:type="auto"/>
            <w:shd w:val="clear" w:color="auto" w:fill="auto"/>
            <w:vAlign w:val="bottom"/>
          </w:tcPr>
          <w:p w14:paraId="27E08940" w14:textId="77777777" w:rsidR="00A85061" w:rsidRDefault="00A85061">
            <w:pPr>
              <w:rPr>
                <w:rFonts w:ascii="宋体"/>
                <w:vanish/>
              </w:rPr>
            </w:pPr>
          </w:p>
        </w:tc>
        <w:tc>
          <w:tcPr>
            <w:tcW w:w="0" w:type="auto"/>
            <w:gridSpan w:val="3"/>
            <w:shd w:val="clear" w:color="auto" w:fill="auto"/>
            <w:vAlign w:val="bottom"/>
          </w:tcPr>
          <w:p w14:paraId="27E08941" w14:textId="77777777" w:rsidR="00A85061" w:rsidRDefault="00A85061">
            <w:pPr>
              <w:rPr>
                <w:rFonts w:ascii="宋体"/>
                <w:vanish/>
              </w:rPr>
            </w:pPr>
          </w:p>
        </w:tc>
        <w:tc>
          <w:tcPr>
            <w:tcW w:w="0" w:type="auto"/>
            <w:gridSpan w:val="3"/>
            <w:shd w:val="clear" w:color="auto" w:fill="auto"/>
            <w:vAlign w:val="bottom"/>
          </w:tcPr>
          <w:p w14:paraId="27E08942" w14:textId="77777777" w:rsidR="00A85061" w:rsidRDefault="00A85061">
            <w:pPr>
              <w:rPr>
                <w:rFonts w:ascii="宋体"/>
                <w:vanish/>
              </w:rPr>
            </w:pPr>
          </w:p>
        </w:tc>
        <w:tc>
          <w:tcPr>
            <w:tcW w:w="0" w:type="auto"/>
            <w:gridSpan w:val="3"/>
            <w:shd w:val="clear" w:color="auto" w:fill="auto"/>
            <w:vAlign w:val="bottom"/>
          </w:tcPr>
          <w:p w14:paraId="27E08943" w14:textId="77777777" w:rsidR="00A85061" w:rsidRDefault="00A85061">
            <w:pPr>
              <w:rPr>
                <w:rFonts w:ascii="宋体"/>
                <w:vanish/>
              </w:rPr>
            </w:pPr>
          </w:p>
        </w:tc>
        <w:tc>
          <w:tcPr>
            <w:tcW w:w="0" w:type="auto"/>
            <w:gridSpan w:val="3"/>
            <w:shd w:val="clear" w:color="auto" w:fill="auto"/>
            <w:vAlign w:val="bottom"/>
          </w:tcPr>
          <w:p w14:paraId="27E08944" w14:textId="77777777" w:rsidR="00A85061" w:rsidRDefault="00A85061">
            <w:pPr>
              <w:rPr>
                <w:rFonts w:ascii="宋体"/>
                <w:vanish/>
              </w:rPr>
            </w:pPr>
          </w:p>
        </w:tc>
        <w:tc>
          <w:tcPr>
            <w:tcW w:w="0" w:type="auto"/>
            <w:gridSpan w:val="3"/>
            <w:shd w:val="clear" w:color="auto" w:fill="auto"/>
            <w:vAlign w:val="bottom"/>
          </w:tcPr>
          <w:p w14:paraId="27E08945" w14:textId="77777777" w:rsidR="00A85061" w:rsidRDefault="00A85061">
            <w:pPr>
              <w:rPr>
                <w:rFonts w:ascii="宋体"/>
                <w:vanish/>
              </w:rPr>
            </w:pPr>
          </w:p>
        </w:tc>
        <w:tc>
          <w:tcPr>
            <w:tcW w:w="0" w:type="auto"/>
            <w:gridSpan w:val="3"/>
            <w:shd w:val="clear" w:color="auto" w:fill="auto"/>
            <w:vAlign w:val="bottom"/>
          </w:tcPr>
          <w:p w14:paraId="27E08946" w14:textId="77777777" w:rsidR="00A85061" w:rsidRDefault="00A85061">
            <w:pPr>
              <w:rPr>
                <w:rFonts w:ascii="宋体"/>
                <w:vanish/>
              </w:rPr>
            </w:pPr>
          </w:p>
        </w:tc>
        <w:tc>
          <w:tcPr>
            <w:tcW w:w="0" w:type="auto"/>
            <w:gridSpan w:val="3"/>
            <w:shd w:val="clear" w:color="auto" w:fill="auto"/>
            <w:vAlign w:val="bottom"/>
          </w:tcPr>
          <w:p w14:paraId="27E08947" w14:textId="77777777" w:rsidR="00A85061" w:rsidRDefault="00A85061">
            <w:pPr>
              <w:rPr>
                <w:rFonts w:ascii="宋体"/>
                <w:vanish/>
              </w:rPr>
            </w:pPr>
          </w:p>
        </w:tc>
        <w:tc>
          <w:tcPr>
            <w:tcW w:w="0" w:type="auto"/>
            <w:gridSpan w:val="3"/>
            <w:shd w:val="clear" w:color="auto" w:fill="auto"/>
            <w:vAlign w:val="bottom"/>
          </w:tcPr>
          <w:p w14:paraId="27E08948" w14:textId="77777777" w:rsidR="00A85061" w:rsidRDefault="00A85061">
            <w:pPr>
              <w:rPr>
                <w:rFonts w:ascii="宋体"/>
                <w:vanish/>
              </w:rPr>
            </w:pPr>
          </w:p>
        </w:tc>
        <w:tc>
          <w:tcPr>
            <w:tcW w:w="0" w:type="auto"/>
            <w:gridSpan w:val="3"/>
            <w:shd w:val="clear" w:color="auto" w:fill="auto"/>
            <w:vAlign w:val="bottom"/>
          </w:tcPr>
          <w:p w14:paraId="27E08949" w14:textId="77777777" w:rsidR="00A85061" w:rsidRDefault="00A85061">
            <w:pPr>
              <w:rPr>
                <w:rFonts w:ascii="宋体"/>
                <w:vanish/>
              </w:rPr>
            </w:pPr>
          </w:p>
        </w:tc>
        <w:tc>
          <w:tcPr>
            <w:tcW w:w="0" w:type="auto"/>
            <w:gridSpan w:val="3"/>
            <w:shd w:val="clear" w:color="auto" w:fill="auto"/>
            <w:vAlign w:val="bottom"/>
          </w:tcPr>
          <w:p w14:paraId="27E0894A" w14:textId="77777777" w:rsidR="00A85061" w:rsidRDefault="00A85061">
            <w:pPr>
              <w:rPr>
                <w:rFonts w:ascii="宋体"/>
                <w:vanish/>
              </w:rPr>
            </w:pPr>
          </w:p>
        </w:tc>
        <w:tc>
          <w:tcPr>
            <w:tcW w:w="0" w:type="auto"/>
            <w:gridSpan w:val="3"/>
            <w:shd w:val="clear" w:color="auto" w:fill="auto"/>
            <w:vAlign w:val="bottom"/>
          </w:tcPr>
          <w:p w14:paraId="27E0894B" w14:textId="77777777" w:rsidR="00A85061" w:rsidRDefault="00A85061">
            <w:pPr>
              <w:rPr>
                <w:rFonts w:ascii="宋体"/>
                <w:vanish/>
              </w:rPr>
            </w:pPr>
          </w:p>
        </w:tc>
        <w:tc>
          <w:tcPr>
            <w:tcW w:w="0" w:type="auto"/>
            <w:gridSpan w:val="3"/>
            <w:shd w:val="clear" w:color="auto" w:fill="auto"/>
            <w:vAlign w:val="bottom"/>
          </w:tcPr>
          <w:p w14:paraId="27E0894C" w14:textId="77777777" w:rsidR="00A85061" w:rsidRDefault="00A85061">
            <w:pPr>
              <w:rPr>
                <w:rFonts w:ascii="宋体"/>
                <w:vanish/>
              </w:rPr>
            </w:pPr>
          </w:p>
        </w:tc>
        <w:tc>
          <w:tcPr>
            <w:tcW w:w="0" w:type="auto"/>
            <w:gridSpan w:val="3"/>
            <w:shd w:val="clear" w:color="auto" w:fill="auto"/>
            <w:vAlign w:val="bottom"/>
          </w:tcPr>
          <w:p w14:paraId="27E0894D" w14:textId="77777777" w:rsidR="00A85061" w:rsidRDefault="00A85061">
            <w:pPr>
              <w:rPr>
                <w:rFonts w:ascii="宋体"/>
                <w:vanish/>
              </w:rPr>
            </w:pPr>
          </w:p>
        </w:tc>
      </w:tr>
    </w:tbl>
    <w:p w14:paraId="27E0894F" w14:textId="77777777" w:rsidR="00A85061" w:rsidRDefault="00F04891">
      <w:pPr>
        <w:spacing w:after="60"/>
        <w:ind w:hanging="360"/>
        <w:jc w:val="both"/>
      </w:pPr>
      <w:r>
        <w:rPr>
          <w:rFonts w:ascii="sans-serif" w:eastAsia="sans-serif" w:hAnsi="sans-serif" w:cs="sans-serif"/>
          <w:color w:val="000000"/>
          <w:sz w:val="16"/>
          <w:szCs w:val="16"/>
        </w:rPr>
        <w:t>(1)    Calculated as net income divided by basic weighted average shares.</w:t>
      </w:r>
    </w:p>
    <w:p w14:paraId="27E08950" w14:textId="77777777" w:rsidR="00A85061" w:rsidRDefault="00F04891">
      <w:pPr>
        <w:spacing w:after="180"/>
        <w:ind w:hanging="360"/>
        <w:jc w:val="both"/>
      </w:pPr>
      <w:r>
        <w:rPr>
          <w:rFonts w:ascii="sans-serif" w:eastAsia="sans-serif" w:hAnsi="sans-serif" w:cs="sans-serif"/>
          <w:color w:val="000000"/>
          <w:sz w:val="16"/>
          <w:szCs w:val="16"/>
        </w:rPr>
        <w:t>(2)    Calculated as net income divided by diluted weighted average shares.</w:t>
      </w:r>
    </w:p>
    <w:p w14:paraId="27E08951" w14:textId="77777777" w:rsidR="00A85061" w:rsidRDefault="00F04891">
      <w:pPr>
        <w:spacing w:after="180"/>
        <w:jc w:val="center"/>
      </w:pPr>
      <w:r>
        <w:rPr>
          <w:rFonts w:ascii="sans-serif" w:eastAsia="sans-serif" w:hAnsi="sans-serif" w:cs="sans-serif"/>
          <w:color w:val="000000"/>
          <w:sz w:val="20"/>
          <w:szCs w:val="20"/>
        </w:rPr>
        <w:t>22</w:t>
      </w:r>
    </w:p>
    <w:p w14:paraId="27E08952" w14:textId="77777777" w:rsidR="00A85061" w:rsidRDefault="00F04891">
      <w:r>
        <w:pict w14:anchorId="27E08F07">
          <v:rect id="_x0000_i1046" style="width:415.3pt;height:1.5pt" o:hralign="center" o:hrstd="t" o:hr="t" fillcolor="#a0a0a0" stroked="f"/>
        </w:pict>
      </w:r>
    </w:p>
    <w:p w14:paraId="27E08953" w14:textId="77777777" w:rsidR="00A85061" w:rsidRDefault="00A85061">
      <w:pPr>
        <w:spacing w:after="180"/>
        <w:jc w:val="both"/>
      </w:pPr>
    </w:p>
    <w:p w14:paraId="27E08954" w14:textId="77777777" w:rsidR="00A85061" w:rsidRDefault="00A85061">
      <w:pPr>
        <w:spacing w:after="180"/>
        <w:jc w:val="both"/>
      </w:pPr>
    </w:p>
    <w:p w14:paraId="27E08955" w14:textId="77777777" w:rsidR="00A85061" w:rsidRDefault="00A85061">
      <w:pPr>
        <w:spacing w:after="180"/>
        <w:jc w:val="both"/>
      </w:pPr>
    </w:p>
    <w:p w14:paraId="27E08956" w14:textId="77777777" w:rsidR="00A85061" w:rsidRDefault="00F04891">
      <w:pPr>
        <w:spacing w:before="240" w:after="120"/>
        <w:jc w:val="both"/>
      </w:pPr>
      <w:r>
        <w:rPr>
          <w:rFonts w:ascii="sans-serif" w:eastAsia="sans-serif" w:hAnsi="sans-serif" w:cs="sans-serif"/>
          <w:b/>
          <w:bCs/>
          <w:color w:val="76B900"/>
          <w:sz w:val="22"/>
          <w:szCs w:val="22"/>
        </w:rPr>
        <w:t xml:space="preserve">ITEM 2. MANAGEMENT’S DISCUSSION AND ANALYSIS OF FINANCIAL CONDITION AND RESULTS OF </w:t>
      </w:r>
      <w:r>
        <w:rPr>
          <w:rFonts w:ascii="sans-serif" w:eastAsia="sans-serif" w:hAnsi="sans-serif" w:cs="sans-serif"/>
          <w:b/>
          <w:bCs/>
          <w:color w:val="76B900"/>
          <w:sz w:val="22"/>
          <w:szCs w:val="22"/>
        </w:rPr>
        <w:t>OPERATIONS</w:t>
      </w:r>
    </w:p>
    <w:p w14:paraId="27E08957" w14:textId="77777777" w:rsidR="00A85061" w:rsidRDefault="00F04891">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27E08958" w14:textId="77777777" w:rsidR="00A85061" w:rsidRDefault="00F04891">
      <w:pPr>
        <w:spacing w:after="180"/>
        <w:jc w:val="both"/>
      </w:pPr>
      <w:r>
        <w:rPr>
          <w:rFonts w:ascii="sans-serif" w:eastAsia="sans-serif" w:hAnsi="sans-serif" w:cs="sans-serif"/>
          <w:i/>
          <w:iCs/>
          <w:color w:val="000000"/>
          <w:sz w:val="20"/>
          <w:szCs w:val="20"/>
        </w:rPr>
        <w:t>This Quarterly Report on Form 10-Q contains forward-looking statements within the meaning of Section 27A of the Securities Act of 1933, as amended, and Section 21E of the Securities Exchange Act of 1934, as amended, w</w:t>
      </w:r>
      <w:r>
        <w:rPr>
          <w:rFonts w:ascii="sans-serif" w:eastAsia="sans-serif" w:hAnsi="sans-serif" w:cs="sans-serif"/>
          <w:i/>
          <w:iCs/>
          <w:color w:val="000000"/>
          <w:sz w:val="20"/>
          <w:szCs w:val="20"/>
        </w:rPr>
        <w:t>hich are subject to the “safe harbor” created by those sections. Forward-looking statements are based on our management’s beliefs and assumptions and on information currently available to our management. In some cases, you can identify forward-looking stat</w:t>
      </w:r>
      <w:r>
        <w:rPr>
          <w:rFonts w:ascii="sans-serif" w:eastAsia="sans-serif" w:hAnsi="sans-serif" w:cs="sans-serif"/>
          <w:i/>
          <w:iCs/>
          <w:color w:val="000000"/>
          <w:sz w:val="20"/>
          <w:szCs w:val="20"/>
        </w:rPr>
        <w:t>ements by terms such as “may,” “will,” “should,” “could,” “goal,” “would,” “expect,” “plan,” “anticipate,” “believe,” “estimate,” “project,” “predict,” “potential” and similar expressions intended to identify forward-looking statements. Other statements in</w:t>
      </w:r>
      <w:r>
        <w:rPr>
          <w:rFonts w:ascii="sans-serif" w:eastAsia="sans-serif" w:hAnsi="sans-serif" w:cs="sans-serif"/>
          <w:i/>
          <w:iCs/>
          <w:color w:val="000000"/>
          <w:sz w:val="20"/>
          <w:szCs w:val="20"/>
        </w:rPr>
        <w:t xml:space="preserve"> this Quarterly Report on Form 10-Q regarding the potential future impact of the COVID-19 pandemic on the Company’s business and results of operations are forward-looking statements. These statements involve known and unknown risks, uncertainties and other</w:t>
      </w:r>
      <w:r>
        <w:rPr>
          <w:rFonts w:ascii="sans-serif" w:eastAsia="sans-serif" w:hAnsi="sans-serif" w:cs="sans-serif"/>
          <w:i/>
          <w:iCs/>
          <w:color w:val="000000"/>
          <w:sz w:val="20"/>
          <w:szCs w:val="20"/>
        </w:rPr>
        <w:t xml:space="preserve"> factors, which may cause our actual results, performance, time frames or achievements to be materially different from any future results, performance, time frames or achievements expressed or implied by the forward-looking statements. We discuss many of t</w:t>
      </w:r>
      <w:r>
        <w:rPr>
          <w:rFonts w:ascii="sans-serif" w:eastAsia="sans-serif" w:hAnsi="sans-serif" w:cs="sans-serif"/>
          <w:i/>
          <w:iCs/>
          <w:color w:val="000000"/>
          <w:sz w:val="20"/>
          <w:szCs w:val="20"/>
        </w:rPr>
        <w:t>hese risks, uncertainties and other factors in this Quarterly Report on Form 10-Q and in our Annual Report on Form 10-K for the fiscal year ended January 31, 2021 in greater detail under the heading “Risk Factors” of such reports. Given these risks, uncert</w:t>
      </w:r>
      <w:r>
        <w:rPr>
          <w:rFonts w:ascii="sans-serif" w:eastAsia="sans-serif" w:hAnsi="sans-serif" w:cs="sans-serif"/>
          <w:i/>
          <w:iCs/>
          <w:color w:val="000000"/>
          <w:sz w:val="20"/>
          <w:szCs w:val="20"/>
        </w:rPr>
        <w:t xml:space="preserve">ainties and other factors, you should not place undue reliance on these forward-looking statements. Also, these forward-looking statements represent our estimates and assumptions only as of the date of this filing. You should read this Quarterly Report on </w:t>
      </w:r>
      <w:r>
        <w:rPr>
          <w:rFonts w:ascii="sans-serif" w:eastAsia="sans-serif" w:hAnsi="sans-serif" w:cs="sans-serif"/>
          <w:i/>
          <w:iCs/>
          <w:color w:val="000000"/>
          <w:sz w:val="20"/>
          <w:szCs w:val="20"/>
        </w:rPr>
        <w:t>Form 10-Q completely and with the understanding that our actual future results may be materially different from what we expect. We hereby qualify our forward-looking statements by these cautionary statements. Except as required by law, we assume no obligat</w:t>
      </w:r>
      <w:r>
        <w:rPr>
          <w:rFonts w:ascii="sans-serif" w:eastAsia="sans-serif" w:hAnsi="sans-serif" w:cs="sans-serif"/>
          <w:i/>
          <w:iCs/>
          <w:color w:val="000000"/>
          <w:sz w:val="20"/>
          <w:szCs w:val="20"/>
        </w:rPr>
        <w:t>ion to update these forward-looking statements publicly, or to update the reasons actual results could differ materially from those anticipated in these forward-looking statements, even if new information becomes available in the future.</w:t>
      </w:r>
    </w:p>
    <w:p w14:paraId="27E08959" w14:textId="77777777" w:rsidR="00A85061" w:rsidRDefault="00F04891">
      <w:pPr>
        <w:spacing w:after="180"/>
        <w:jc w:val="both"/>
      </w:pPr>
      <w:r>
        <w:rPr>
          <w:rFonts w:ascii="sans-serif" w:eastAsia="sans-serif" w:hAnsi="sans-serif" w:cs="sans-serif"/>
          <w:color w:val="000000"/>
          <w:sz w:val="20"/>
          <w:szCs w:val="20"/>
        </w:rPr>
        <w:t xml:space="preserve">All </w:t>
      </w:r>
      <w:r>
        <w:rPr>
          <w:rFonts w:ascii="sans-serif" w:eastAsia="sans-serif" w:hAnsi="sans-serif" w:cs="sans-serif"/>
          <w:color w:val="000000"/>
          <w:sz w:val="20"/>
          <w:szCs w:val="20"/>
        </w:rPr>
        <w:t>references to “NVIDIA,” “we,” “us,” “our” or the “Company” mean NVIDIA Corporation and its subsidiaries.</w:t>
      </w:r>
    </w:p>
    <w:p w14:paraId="27E0895A" w14:textId="77777777" w:rsidR="00A85061" w:rsidRDefault="00F04891">
      <w:pPr>
        <w:spacing w:after="180"/>
        <w:jc w:val="both"/>
      </w:pPr>
      <w:r>
        <w:rPr>
          <w:rFonts w:ascii="sans-serif" w:eastAsia="sans-serif" w:hAnsi="sans-serif" w:cs="sans-serif"/>
          <w:color w:val="000000"/>
          <w:sz w:val="20"/>
          <w:szCs w:val="20"/>
        </w:rPr>
        <w:t>NVIDIA, the NVIDIA logo, GeForce, GeForce NOW, GeForce RTX, Maxine, Mellanox, NVIDIA DRIVE, NVIDIA DRIVE Hyperion, NVIDIA DRIVE Orin, NVIDIA Grace, NVI</w:t>
      </w:r>
      <w:r>
        <w:rPr>
          <w:rFonts w:ascii="sans-serif" w:eastAsia="sans-serif" w:hAnsi="sans-serif" w:cs="sans-serif"/>
          <w:color w:val="000000"/>
          <w:sz w:val="20"/>
          <w:szCs w:val="20"/>
        </w:rPr>
        <w:t xml:space="preserve">DIA GRID, NVIDIA Jetson, NVIDIA Omniverse, NVIDIA RTX, Quadro and Quadro RTX are trademarks and/or registered trademarks of NVIDIA Corporation in the United States and/or other countries. Other company and product names may be trademarks of the respective </w:t>
      </w:r>
      <w:r>
        <w:rPr>
          <w:rFonts w:ascii="sans-serif" w:eastAsia="sans-serif" w:hAnsi="sans-serif" w:cs="sans-serif"/>
          <w:color w:val="000000"/>
          <w:sz w:val="20"/>
          <w:szCs w:val="20"/>
        </w:rPr>
        <w:t>companies with which they are associated. Features, pricing, availability, and specifications are subject to change without notice.</w:t>
      </w:r>
    </w:p>
    <w:p w14:paraId="27E0895B" w14:textId="77777777" w:rsidR="00A85061" w:rsidRDefault="00F04891">
      <w:pPr>
        <w:spacing w:after="180"/>
        <w:jc w:val="both"/>
      </w:pPr>
      <w:r>
        <w:rPr>
          <w:rFonts w:ascii="sans-serif" w:eastAsia="sans-serif" w:hAnsi="sans-serif" w:cs="sans-serif"/>
          <w:color w:val="000000"/>
          <w:sz w:val="20"/>
          <w:szCs w:val="20"/>
        </w:rPr>
        <w:t>The following discussion and analysis of our financial condition and results of operations should be read in conjunction wit</w:t>
      </w:r>
      <w:r>
        <w:rPr>
          <w:rFonts w:ascii="sans-serif" w:eastAsia="sans-serif" w:hAnsi="sans-serif" w:cs="sans-serif"/>
          <w:color w:val="000000"/>
          <w:sz w:val="20"/>
          <w:szCs w:val="20"/>
        </w:rPr>
        <w:t>h the risk factors set forth in Item 1A. “Risk Factors” of our Annual Report on Form 10-K for the fiscal year ended January 31, 2021 and Part II, Item 1A. “Risk Factors” of this Quarterly Report on Form 10-Q and our Condensed Consolidated Financial Stateme</w:t>
      </w:r>
      <w:r>
        <w:rPr>
          <w:rFonts w:ascii="sans-serif" w:eastAsia="sans-serif" w:hAnsi="sans-serif" w:cs="sans-serif"/>
          <w:color w:val="000000"/>
          <w:sz w:val="20"/>
          <w:szCs w:val="20"/>
        </w:rPr>
        <w:t>nts and related Notes thereto, as well as other cautionary statements and risks described elsewhere in this Quarterly Report on Form 10-Q, before deciding to purchase or sell shares of our common stock.</w:t>
      </w:r>
    </w:p>
    <w:p w14:paraId="27E0895C" w14:textId="77777777" w:rsidR="00A85061" w:rsidRDefault="00F04891">
      <w:pPr>
        <w:spacing w:before="60" w:after="60"/>
        <w:jc w:val="both"/>
      </w:pPr>
      <w:r>
        <w:rPr>
          <w:rFonts w:ascii="sans-serif" w:eastAsia="sans-serif" w:hAnsi="sans-serif" w:cs="sans-serif"/>
          <w:b/>
          <w:bCs/>
          <w:color w:val="76B900"/>
          <w:sz w:val="20"/>
          <w:szCs w:val="20"/>
        </w:rPr>
        <w:t>Overview</w:t>
      </w:r>
    </w:p>
    <w:p w14:paraId="27E0895D" w14:textId="77777777" w:rsidR="00A85061" w:rsidRDefault="00F04891">
      <w:pPr>
        <w:spacing w:before="120" w:after="120"/>
        <w:jc w:val="both"/>
      </w:pPr>
      <w:r>
        <w:rPr>
          <w:rFonts w:ascii="sans-serif" w:eastAsia="sans-serif" w:hAnsi="sans-serif" w:cs="sans-serif"/>
          <w:b/>
          <w:bCs/>
          <w:color w:val="000000"/>
          <w:sz w:val="20"/>
          <w:szCs w:val="20"/>
        </w:rPr>
        <w:t>Our Company and Our Businesses</w:t>
      </w:r>
    </w:p>
    <w:p w14:paraId="27E0895E" w14:textId="77777777" w:rsidR="00A85061" w:rsidRDefault="00F04891">
      <w:pPr>
        <w:spacing w:after="180"/>
        <w:jc w:val="both"/>
      </w:pPr>
      <w:r>
        <w:rPr>
          <w:rFonts w:ascii="sans-serif" w:eastAsia="sans-serif" w:hAnsi="sans-serif" w:cs="sans-serif"/>
          <w:color w:val="000000"/>
          <w:sz w:val="20"/>
          <w:szCs w:val="20"/>
        </w:rPr>
        <w:t>NVIDIA pionee</w:t>
      </w:r>
      <w:r>
        <w:rPr>
          <w:rFonts w:ascii="sans-serif" w:eastAsia="sans-serif" w:hAnsi="sans-serif" w:cs="sans-serif"/>
          <w:color w:val="000000"/>
          <w:sz w:val="20"/>
          <w:szCs w:val="20"/>
        </w:rPr>
        <w:t>red accelerated computing to help solve the most challenging computational problems. Since our original focus on PC graphics, we have expanded to several other large and important computationally intensive fields. Fueled by the sustained demand for excepti</w:t>
      </w:r>
      <w:r>
        <w:rPr>
          <w:rFonts w:ascii="sans-serif" w:eastAsia="sans-serif" w:hAnsi="sans-serif" w:cs="sans-serif"/>
          <w:color w:val="000000"/>
          <w:sz w:val="20"/>
          <w:szCs w:val="20"/>
        </w:rPr>
        <w:t>onal 3D graphics and the scale of the gaming market, NVIDIA has leveraged its GPU architecture to create platforms for scientific computing, AI, data science, autonomous vehicles, or AV, robotics, and augmented and virtual reality, or AR and VR.</w:t>
      </w:r>
    </w:p>
    <w:p w14:paraId="27E0895F" w14:textId="77777777" w:rsidR="00A85061" w:rsidRDefault="00F04891">
      <w:pPr>
        <w:spacing w:after="180"/>
        <w:jc w:val="both"/>
      </w:pPr>
      <w:r>
        <w:rPr>
          <w:rFonts w:ascii="sans-serif" w:eastAsia="sans-serif" w:hAnsi="sans-serif" w:cs="sans-serif"/>
          <w:color w:val="000000"/>
          <w:sz w:val="20"/>
          <w:szCs w:val="20"/>
        </w:rPr>
        <w:t>Our two op</w:t>
      </w:r>
      <w:r>
        <w:rPr>
          <w:rFonts w:ascii="sans-serif" w:eastAsia="sans-serif" w:hAnsi="sans-serif" w:cs="sans-serif"/>
          <w:color w:val="000000"/>
          <w:sz w:val="20"/>
          <w:szCs w:val="20"/>
        </w:rPr>
        <w:t xml:space="preserve">erating segments are "Graphics" and "Compute &amp; Networking," as described in Note 15 of the Notes to Condensed Consolidated Financial Statements. </w:t>
      </w:r>
    </w:p>
    <w:p w14:paraId="27E08960" w14:textId="77777777" w:rsidR="00A85061" w:rsidRDefault="00F04891">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w:t>
      </w:r>
      <w:r>
        <w:rPr>
          <w:rFonts w:ascii="sans-serif" w:eastAsia="sans-serif" w:hAnsi="sans-serif" w:cs="sans-serif"/>
          <w:color w:val="000000"/>
          <w:sz w:val="20"/>
          <w:szCs w:val="20"/>
        </w:rPr>
        <w:t>ed in Delaware in April 1998.</w:t>
      </w:r>
    </w:p>
    <w:p w14:paraId="27E08961" w14:textId="77777777" w:rsidR="00A85061" w:rsidRDefault="00F04891">
      <w:pPr>
        <w:spacing w:before="240" w:after="120"/>
        <w:jc w:val="both"/>
      </w:pPr>
      <w:r>
        <w:rPr>
          <w:rFonts w:ascii="sans-serif" w:eastAsia="sans-serif" w:hAnsi="sans-serif" w:cs="sans-serif"/>
          <w:b/>
          <w:bCs/>
          <w:color w:val="76B900"/>
          <w:sz w:val="22"/>
          <w:szCs w:val="22"/>
        </w:rPr>
        <w:t>Recent Developments, Future Objectives and Challenges</w:t>
      </w:r>
    </w:p>
    <w:p w14:paraId="27E08962" w14:textId="77777777" w:rsidR="00A85061" w:rsidRDefault="00F04891">
      <w:pPr>
        <w:spacing w:before="120" w:after="120"/>
        <w:jc w:val="both"/>
      </w:pPr>
      <w:r>
        <w:rPr>
          <w:rFonts w:ascii="sans-serif" w:eastAsia="sans-serif" w:hAnsi="sans-serif" w:cs="sans-serif"/>
          <w:b/>
          <w:bCs/>
          <w:color w:val="000000"/>
          <w:sz w:val="20"/>
          <w:szCs w:val="20"/>
        </w:rPr>
        <w:t>Pending Acquisition of Arm Limited</w:t>
      </w:r>
    </w:p>
    <w:p w14:paraId="27E08963" w14:textId="77777777" w:rsidR="00A85061" w:rsidRDefault="00F04891">
      <w:pPr>
        <w:spacing w:after="180"/>
        <w:jc w:val="both"/>
      </w:pPr>
      <w:r>
        <w:rPr>
          <w:rFonts w:ascii="sans-serif" w:eastAsia="sans-serif" w:hAnsi="sans-serif" w:cs="sans-serif"/>
          <w:color w:val="000000"/>
          <w:sz w:val="20"/>
          <w:szCs w:val="20"/>
        </w:rPr>
        <w:t>On September 13, 2020, we entered into a Purchase Agreement with Arm and SoftBank for us to acquire, from SoftBank, all allotted and issu</w:t>
      </w:r>
      <w:r>
        <w:rPr>
          <w:rFonts w:ascii="sans-serif" w:eastAsia="sans-serif" w:hAnsi="sans-serif" w:cs="sans-serif"/>
          <w:color w:val="000000"/>
          <w:sz w:val="20"/>
          <w:szCs w:val="20"/>
        </w:rPr>
        <w:t xml:space="preserve">ed ordinary shares of Arm in a transaction valued at $40 billion. We paid the Signing Consideration and will pay upon closing of the acquisition $10 billion in cash and issue to SoftBank 44.3 million shares of our common </w:t>
      </w:r>
    </w:p>
    <w:p w14:paraId="27E08964" w14:textId="77777777" w:rsidR="00A85061" w:rsidRDefault="00F04891">
      <w:pPr>
        <w:spacing w:after="180"/>
        <w:jc w:val="center"/>
      </w:pPr>
      <w:r>
        <w:rPr>
          <w:rFonts w:ascii="sans-serif" w:eastAsia="sans-serif" w:hAnsi="sans-serif" w:cs="sans-serif"/>
          <w:color w:val="000000"/>
          <w:sz w:val="20"/>
          <w:szCs w:val="20"/>
        </w:rPr>
        <w:t>23</w:t>
      </w:r>
    </w:p>
    <w:p w14:paraId="27E08965" w14:textId="77777777" w:rsidR="00A85061" w:rsidRDefault="00F04891">
      <w:r>
        <w:pict w14:anchorId="27E08F08">
          <v:rect id="_x0000_i1047" style="width:415.3pt;height:1.5pt" o:hralign="center" o:hrstd="t" o:hr="t" fillcolor="#a0a0a0" stroked="f"/>
        </w:pict>
      </w:r>
    </w:p>
    <w:p w14:paraId="27E08966" w14:textId="77777777" w:rsidR="00A85061" w:rsidRDefault="00A85061">
      <w:pPr>
        <w:spacing w:after="180"/>
        <w:jc w:val="both"/>
      </w:pPr>
    </w:p>
    <w:p w14:paraId="27E08967" w14:textId="77777777" w:rsidR="00A85061" w:rsidRDefault="00A85061">
      <w:pPr>
        <w:spacing w:after="180"/>
        <w:jc w:val="both"/>
      </w:pPr>
    </w:p>
    <w:p w14:paraId="27E08968" w14:textId="77777777" w:rsidR="00A85061" w:rsidRDefault="00A85061">
      <w:pPr>
        <w:spacing w:after="180"/>
        <w:jc w:val="both"/>
      </w:pPr>
    </w:p>
    <w:p w14:paraId="27E08969" w14:textId="77777777" w:rsidR="00A85061" w:rsidRDefault="00F04891">
      <w:pPr>
        <w:spacing w:after="180"/>
        <w:jc w:val="both"/>
      </w:pPr>
      <w:r>
        <w:rPr>
          <w:rFonts w:ascii="sans-serif" w:eastAsia="sans-serif" w:hAnsi="sans-serif" w:cs="sans-serif"/>
          <w:color w:val="000000"/>
          <w:sz w:val="20"/>
          <w:szCs w:val="20"/>
        </w:rPr>
        <w:t>stock, which had an aggreg</w:t>
      </w:r>
      <w:r>
        <w:rPr>
          <w:rFonts w:ascii="sans-serif" w:eastAsia="sans-serif" w:hAnsi="sans-serif" w:cs="sans-serif"/>
          <w:color w:val="000000"/>
          <w:sz w:val="20"/>
          <w:szCs w:val="20"/>
        </w:rPr>
        <w:t xml:space="preserve">ate value of $21.5 billion as of the date of the Purchase Agreement. The transaction includes a potential earn out, which is contingent on the achievement of certain financial performance targets by Arm during the fiscal year ending March 31, 2022. If the </w:t>
      </w:r>
      <w:r>
        <w:rPr>
          <w:rFonts w:ascii="sans-serif" w:eastAsia="sans-serif" w:hAnsi="sans-serif" w:cs="sans-serif"/>
          <w:color w:val="000000"/>
          <w:sz w:val="20"/>
          <w:szCs w:val="20"/>
        </w:rPr>
        <w:t>financial performance targets are achieved, Softbank can elect to receive either up to an additional $5 billion in cash or up to an additional 10.3 million shares of our common stock. We will issue up to $1.5 billion in restricted stock units to Arm employ</w:t>
      </w:r>
      <w:r>
        <w:rPr>
          <w:rFonts w:ascii="sans-serif" w:eastAsia="sans-serif" w:hAnsi="sans-serif" w:cs="sans-serif"/>
          <w:color w:val="000000"/>
          <w:sz w:val="20"/>
          <w:szCs w:val="20"/>
        </w:rPr>
        <w:t>ees after closing. The $2 billion paid upon signing was allocated between advanced consideration for the acquisition of $1.36 billion and the prepayment of intellectual property licenses from Arm of $0.17 billion and royalties of $0.47 billion, both with a</w:t>
      </w:r>
      <w:r>
        <w:rPr>
          <w:rFonts w:ascii="sans-serif" w:eastAsia="sans-serif" w:hAnsi="sans-serif" w:cs="sans-serif"/>
          <w:color w:val="000000"/>
          <w:sz w:val="20"/>
          <w:szCs w:val="20"/>
        </w:rPr>
        <w:t xml:space="preserve"> 20-year term. The closing of the acquisition is subject to customary closing conditions, including receipt of specified governmental and regulatory consents and approvals and the expiration of any related mandatory waiting period, and Arm's implementation</w:t>
      </w:r>
      <w:r>
        <w:rPr>
          <w:rFonts w:ascii="sans-serif" w:eastAsia="sans-serif" w:hAnsi="sans-serif" w:cs="sans-serif"/>
          <w:color w:val="000000"/>
          <w:sz w:val="20"/>
          <w:szCs w:val="20"/>
        </w:rPr>
        <w:t xml:space="preserve"> of the reorganization and distribution of Arm’s IoT Services Group and certain other assets and liabilities. We are engaged with regulators in the United States, the United Kingdom, the European Union, China and other jurisdictions. If the Purchase Agreem</w:t>
      </w:r>
      <w:r>
        <w:rPr>
          <w:rFonts w:ascii="sans-serif" w:eastAsia="sans-serif" w:hAnsi="sans-serif" w:cs="sans-serif"/>
          <w:color w:val="000000"/>
          <w:sz w:val="20"/>
          <w:szCs w:val="20"/>
        </w:rPr>
        <w:t xml:space="preserve">ent is terminated under certain circumstances, we will be refunded $1.25 billion of the Signing Consideration. The Signing Consideration was allocated on a fair value basis and any refund of the Signing Consideration will use stated values in the Purchase </w:t>
      </w:r>
      <w:r>
        <w:rPr>
          <w:rFonts w:ascii="sans-serif" w:eastAsia="sans-serif" w:hAnsi="sans-serif" w:cs="sans-serif"/>
          <w:color w:val="000000"/>
          <w:sz w:val="20"/>
          <w:szCs w:val="20"/>
        </w:rPr>
        <w:t>Agreement. We believe the closing of the acquisition will likely occur in the first quarter of calendar year 2022.</w:t>
      </w:r>
    </w:p>
    <w:p w14:paraId="27E0896A" w14:textId="77777777" w:rsidR="00A85061" w:rsidRDefault="00F04891">
      <w:pPr>
        <w:spacing w:before="120" w:after="120"/>
        <w:jc w:val="both"/>
      </w:pPr>
      <w:r>
        <w:rPr>
          <w:rFonts w:ascii="sans-serif" w:eastAsia="sans-serif" w:hAnsi="sans-serif" w:cs="sans-serif"/>
          <w:b/>
          <w:bCs/>
          <w:color w:val="000000"/>
          <w:sz w:val="20"/>
          <w:szCs w:val="20"/>
        </w:rPr>
        <w:t>Demand</w:t>
      </w:r>
    </w:p>
    <w:p w14:paraId="27E0896B" w14:textId="77777777" w:rsidR="00A85061" w:rsidRDefault="00F04891">
      <w:pPr>
        <w:spacing w:after="180"/>
        <w:jc w:val="both"/>
      </w:pPr>
      <w:r>
        <w:rPr>
          <w:rFonts w:ascii="sans-serif" w:eastAsia="sans-serif" w:hAnsi="sans-serif" w:cs="sans-serif"/>
          <w:color w:val="000000"/>
          <w:sz w:val="20"/>
          <w:szCs w:val="20"/>
        </w:rPr>
        <w:t xml:space="preserve">Demand for our products is based on many factors, including our product introductions and transitions, competitor announcements, and competing technologies, all of which can impact the timing and amount of our revenue. For example, our GPUs for gaming are </w:t>
      </w:r>
      <w:r>
        <w:rPr>
          <w:rFonts w:ascii="sans-serif" w:eastAsia="sans-serif" w:hAnsi="sans-serif" w:cs="sans-serif"/>
          <w:color w:val="000000"/>
          <w:sz w:val="20"/>
          <w:szCs w:val="20"/>
        </w:rPr>
        <w:t>capable of digital currency mining. Demand and use of GPUs for cryptocurrency has fluctuated in the past and is likely to continue to change quickly. Volatility in the cryptocurrency market, including changes in the prices of cryptocurrencies, can impact d</w:t>
      </w:r>
      <w:r>
        <w:rPr>
          <w:rFonts w:ascii="sans-serif" w:eastAsia="sans-serif" w:hAnsi="sans-serif" w:cs="sans-serif"/>
          <w:color w:val="000000"/>
          <w:sz w:val="20"/>
          <w:szCs w:val="20"/>
        </w:rPr>
        <w:t>emand for our products and our ability to estimate demand for our products. Changes to cryptocurrency standards and processes including, but not limited to, the pending Ethereum 2.0 standard may also create increased aftermarket resales of our GPUs and may</w:t>
      </w:r>
      <w:r>
        <w:rPr>
          <w:rFonts w:ascii="sans-serif" w:eastAsia="sans-serif" w:hAnsi="sans-serif" w:cs="sans-serif"/>
          <w:color w:val="000000"/>
          <w:sz w:val="20"/>
          <w:szCs w:val="20"/>
        </w:rPr>
        <w:t xml:space="preserve"> reduce demand for our new GPUs. During the first quarter of fiscal year 2022, we believe Gaming benefited from cryptocurrency mining demand, although it is hard to determine to what extent. Additionally, consumer behavior during the COVID-19 pandemic, suc</w:t>
      </w:r>
      <w:r>
        <w:rPr>
          <w:rFonts w:ascii="sans-serif" w:eastAsia="sans-serif" w:hAnsi="sans-serif" w:cs="sans-serif"/>
          <w:color w:val="000000"/>
          <w:sz w:val="20"/>
          <w:szCs w:val="20"/>
        </w:rPr>
        <w:t>h as increased demand for our Gaming, Data Center and notebook workstation products, has made it more difficult for us to estimate future demand, and these challenges may be more pronounced or volatile in the future on both a global and regional basis if a</w:t>
      </w:r>
      <w:r>
        <w:rPr>
          <w:rFonts w:ascii="sans-serif" w:eastAsia="sans-serif" w:hAnsi="sans-serif" w:cs="sans-serif"/>
          <w:color w:val="000000"/>
          <w:sz w:val="20"/>
          <w:szCs w:val="20"/>
        </w:rPr>
        <w:t xml:space="preserve">nd when the effects of the pandemic subside. In estimating demand and evaluating trends, we make multiple assumptions, any of which may prove to be incorrect. </w:t>
      </w:r>
    </w:p>
    <w:p w14:paraId="27E0896C" w14:textId="77777777" w:rsidR="00A85061" w:rsidRDefault="00F04891">
      <w:pPr>
        <w:spacing w:before="120" w:after="120"/>
        <w:jc w:val="both"/>
      </w:pPr>
      <w:r>
        <w:rPr>
          <w:rFonts w:ascii="sans-serif" w:eastAsia="sans-serif" w:hAnsi="sans-serif" w:cs="sans-serif"/>
          <w:b/>
          <w:bCs/>
          <w:color w:val="000000"/>
          <w:sz w:val="20"/>
          <w:szCs w:val="20"/>
        </w:rPr>
        <w:t xml:space="preserve">Supply </w:t>
      </w:r>
    </w:p>
    <w:p w14:paraId="27E0896D" w14:textId="77777777" w:rsidR="00A85061" w:rsidRDefault="00F04891">
      <w:pPr>
        <w:spacing w:after="180"/>
        <w:jc w:val="both"/>
      </w:pPr>
      <w:r>
        <w:rPr>
          <w:rFonts w:ascii="sans-serif" w:eastAsia="sans-serif" w:hAnsi="sans-serif" w:cs="sans-serif"/>
          <w:color w:val="000000"/>
          <w:sz w:val="20"/>
          <w:szCs w:val="20"/>
        </w:rPr>
        <w:t>Our products are manufactured based on estimates of customers’ future demand and our man</w:t>
      </w:r>
      <w:r>
        <w:rPr>
          <w:rFonts w:ascii="sans-serif" w:eastAsia="sans-serif" w:hAnsi="sans-serif" w:cs="sans-serif"/>
          <w:color w:val="000000"/>
          <w:sz w:val="20"/>
          <w:szCs w:val="20"/>
        </w:rPr>
        <w:t>ufacturing lead times are very long. We sell many of our products through a channel model, and our channel customers sell to retailers, distributors, and/or end customers. As a result, the decisions made by our channel partners, retailers, and distributors</w:t>
      </w:r>
      <w:r>
        <w:rPr>
          <w:rFonts w:ascii="sans-serif" w:eastAsia="sans-serif" w:hAnsi="sans-serif" w:cs="sans-serif"/>
          <w:color w:val="000000"/>
          <w:sz w:val="20"/>
          <w:szCs w:val="20"/>
        </w:rPr>
        <w:t xml:space="preserve"> in response to changing market conditions and the changing demand for our products could impact our financial results. To have shorter shipment lead times and quicker delivery schedules for our customers, we may build inventory for anticipated periods of </w:t>
      </w:r>
      <w:r>
        <w:rPr>
          <w:rFonts w:ascii="sans-serif" w:eastAsia="sans-serif" w:hAnsi="sans-serif" w:cs="sans-serif"/>
          <w:color w:val="000000"/>
          <w:sz w:val="20"/>
          <w:szCs w:val="20"/>
        </w:rPr>
        <w:t>growth which do not occur, may build inventory anticipating demand that does not materialize, or may build inventory to serve what we believe is pent-up demand. We expect to remain supply-constrained into the second half of the fiscal year, primarily in ga</w:t>
      </w:r>
      <w:r>
        <w:rPr>
          <w:rFonts w:ascii="sans-serif" w:eastAsia="sans-serif" w:hAnsi="sans-serif" w:cs="sans-serif"/>
          <w:color w:val="000000"/>
          <w:sz w:val="20"/>
          <w:szCs w:val="20"/>
        </w:rPr>
        <w:t xml:space="preserve">ming. We may need to place non-cancellable inventory orders significantly in advance of our normal lead times, pay premiums or provide deposits to secure normal and incremental future supply. </w:t>
      </w:r>
    </w:p>
    <w:p w14:paraId="27E0896E" w14:textId="77777777" w:rsidR="00A85061" w:rsidRDefault="00F04891">
      <w:pPr>
        <w:spacing w:before="120" w:after="120"/>
        <w:jc w:val="both"/>
      </w:pPr>
      <w:r>
        <w:rPr>
          <w:rFonts w:ascii="sans-serif" w:eastAsia="sans-serif" w:hAnsi="sans-serif" w:cs="sans-serif"/>
          <w:b/>
          <w:bCs/>
          <w:color w:val="000000"/>
          <w:sz w:val="20"/>
          <w:szCs w:val="20"/>
        </w:rPr>
        <w:t>COVID-19</w:t>
      </w:r>
    </w:p>
    <w:p w14:paraId="27E0896F" w14:textId="77777777" w:rsidR="00A85061" w:rsidRDefault="00F04891">
      <w:pPr>
        <w:spacing w:after="180"/>
        <w:jc w:val="both"/>
      </w:pPr>
      <w:r>
        <w:rPr>
          <w:rFonts w:ascii="sans-serif" w:eastAsia="sans-serif" w:hAnsi="sans-serif" w:cs="sans-serif"/>
          <w:color w:val="000000"/>
          <w:sz w:val="20"/>
          <w:szCs w:val="20"/>
        </w:rPr>
        <w:t>The worldwide COVID-19 pandemic has caused governments</w:t>
      </w:r>
      <w:r>
        <w:rPr>
          <w:rFonts w:ascii="sans-serif" w:eastAsia="sans-serif" w:hAnsi="sans-serif" w:cs="sans-serif"/>
          <w:color w:val="000000"/>
          <w:sz w:val="20"/>
          <w:szCs w:val="20"/>
        </w:rPr>
        <w:t xml:space="preserve"> and businesses to take unprecedented measures including restrictions on travel, temporary business closures, quarantines and shelter-in-place orders. It has significantly impacted global economic activity and caused volatility and disruption in global fin</w:t>
      </w:r>
      <w:r>
        <w:rPr>
          <w:rFonts w:ascii="sans-serif" w:eastAsia="sans-serif" w:hAnsi="sans-serif" w:cs="sans-serif"/>
          <w:color w:val="000000"/>
          <w:sz w:val="20"/>
          <w:szCs w:val="20"/>
        </w:rPr>
        <w:t>ancial markets. Some regions are easing COVID-19 related restrictions; however, most of our employees continue to work remotely and we continue to temporarily prohibit most business travel.</w:t>
      </w:r>
    </w:p>
    <w:p w14:paraId="27E08970" w14:textId="77777777" w:rsidR="00A85061" w:rsidRDefault="00F04891">
      <w:pPr>
        <w:spacing w:after="180"/>
        <w:jc w:val="both"/>
      </w:pPr>
      <w:r>
        <w:rPr>
          <w:rFonts w:ascii="sans-serif" w:eastAsia="sans-serif" w:hAnsi="sans-serif" w:cs="sans-serif"/>
          <w:color w:val="000000"/>
          <w:sz w:val="20"/>
          <w:szCs w:val="20"/>
        </w:rPr>
        <w:t xml:space="preserve">The COVID-19 pandemic continues to evolve and affect our business </w:t>
      </w:r>
      <w:r>
        <w:rPr>
          <w:rFonts w:ascii="sans-serif" w:eastAsia="sans-serif" w:hAnsi="sans-serif" w:cs="sans-serif"/>
          <w:color w:val="000000"/>
          <w:sz w:val="20"/>
          <w:szCs w:val="20"/>
        </w:rPr>
        <w:t>and financial results. Our Gaming and Data Center market platforms have benefited from stronger demand as people continue to work, learn, and play from home. In Professional Visualization, notebook workstations continue to benefit from work-from-home trend</w:t>
      </w:r>
      <w:r>
        <w:rPr>
          <w:rFonts w:ascii="sans-serif" w:eastAsia="sans-serif" w:hAnsi="sans-serif" w:cs="sans-serif"/>
          <w:color w:val="000000"/>
          <w:sz w:val="20"/>
          <w:szCs w:val="20"/>
        </w:rPr>
        <w:t xml:space="preserve">s and desktop workstations have started to recover as employees return onsite in certain markets. As our own offices begin to reopen, we expect to incur incremental expenses as we resume onsite services and related in-office costs. </w:t>
      </w:r>
    </w:p>
    <w:p w14:paraId="27E08971" w14:textId="77777777" w:rsidR="00A85061" w:rsidRDefault="00F04891">
      <w:pPr>
        <w:spacing w:after="180"/>
        <w:jc w:val="both"/>
      </w:pPr>
      <w:r>
        <w:rPr>
          <w:rFonts w:ascii="sans-serif" w:eastAsia="sans-serif" w:hAnsi="sans-serif" w:cs="sans-serif"/>
          <w:color w:val="000000"/>
          <w:sz w:val="20"/>
          <w:szCs w:val="20"/>
        </w:rPr>
        <w:t>As the COVID-19 pandemi</w:t>
      </w:r>
      <w:r>
        <w:rPr>
          <w:rFonts w:ascii="sans-serif" w:eastAsia="sans-serif" w:hAnsi="sans-serif" w:cs="sans-serif"/>
          <w:color w:val="000000"/>
          <w:sz w:val="20"/>
          <w:szCs w:val="20"/>
        </w:rPr>
        <w:t>c continues, the timing and overall demand from customers and the availability of supply chain, logistical services and component supply may have a material net negative impact on our business and financial results. Refer to Part II, Item 1A of this Quarte</w:t>
      </w:r>
      <w:r>
        <w:rPr>
          <w:rFonts w:ascii="sans-serif" w:eastAsia="sans-serif" w:hAnsi="sans-serif" w:cs="sans-serif"/>
          <w:color w:val="000000"/>
          <w:sz w:val="20"/>
          <w:szCs w:val="20"/>
        </w:rPr>
        <w:t>rly Report on Form 10-Q for additional information under the heading “Risk Factors.”</w:t>
      </w:r>
    </w:p>
    <w:p w14:paraId="27E08972" w14:textId="77777777" w:rsidR="00A85061" w:rsidRDefault="00F04891">
      <w:pPr>
        <w:spacing w:after="180"/>
        <w:jc w:val="center"/>
      </w:pPr>
      <w:r>
        <w:rPr>
          <w:rFonts w:ascii="sans-serif" w:eastAsia="sans-serif" w:hAnsi="sans-serif" w:cs="sans-serif"/>
          <w:color w:val="000000"/>
          <w:sz w:val="20"/>
          <w:szCs w:val="20"/>
        </w:rPr>
        <w:t>24</w:t>
      </w:r>
    </w:p>
    <w:p w14:paraId="27E08973" w14:textId="77777777" w:rsidR="00A85061" w:rsidRDefault="00F04891">
      <w:r>
        <w:pict w14:anchorId="27E08F09">
          <v:rect id="_x0000_i1048" style="width:415.3pt;height:1.5pt" o:hralign="center" o:hrstd="t" o:hr="t" fillcolor="#a0a0a0" stroked="f"/>
        </w:pict>
      </w:r>
    </w:p>
    <w:p w14:paraId="27E08974" w14:textId="77777777" w:rsidR="00A85061" w:rsidRDefault="00A85061">
      <w:pPr>
        <w:spacing w:after="180"/>
        <w:jc w:val="both"/>
      </w:pPr>
    </w:p>
    <w:p w14:paraId="27E08975" w14:textId="77777777" w:rsidR="00A85061" w:rsidRDefault="00A85061">
      <w:pPr>
        <w:spacing w:after="180"/>
        <w:jc w:val="both"/>
      </w:pPr>
    </w:p>
    <w:p w14:paraId="27E08976" w14:textId="77777777" w:rsidR="00A85061" w:rsidRDefault="00A85061">
      <w:pPr>
        <w:spacing w:after="180"/>
        <w:jc w:val="both"/>
      </w:pPr>
    </w:p>
    <w:p w14:paraId="27E08977" w14:textId="77777777" w:rsidR="00A85061" w:rsidRDefault="00F04891">
      <w:pPr>
        <w:spacing w:after="180"/>
        <w:jc w:val="both"/>
      </w:pPr>
      <w:r>
        <w:rPr>
          <w:rFonts w:ascii="sans-serif" w:eastAsia="sans-serif" w:hAnsi="sans-serif" w:cs="sans-serif"/>
          <w:color w:val="000000"/>
          <w:sz w:val="20"/>
          <w:szCs w:val="20"/>
        </w:rPr>
        <w:t>We believe our existing balances of cash, cash equivalents and marketable securities, along with commercial paper and other short-term liquidity arrangements, will</w:t>
      </w:r>
      <w:r>
        <w:rPr>
          <w:rFonts w:ascii="sans-serif" w:eastAsia="sans-serif" w:hAnsi="sans-serif" w:cs="sans-serif"/>
          <w:color w:val="000000"/>
          <w:sz w:val="20"/>
          <w:szCs w:val="20"/>
        </w:rPr>
        <w:t xml:space="preserve"> be sufficient to satisfy our working capital needs, capital asset purchases, dividends, debt repayments and other liquidity requirements associated with our existing operations.</w:t>
      </w:r>
    </w:p>
    <w:p w14:paraId="27E08978" w14:textId="77777777" w:rsidR="00A85061" w:rsidRDefault="00F04891">
      <w:pPr>
        <w:spacing w:before="120" w:after="120"/>
        <w:jc w:val="both"/>
      </w:pPr>
      <w:r>
        <w:rPr>
          <w:rFonts w:ascii="sans-serif" w:eastAsia="sans-serif" w:hAnsi="sans-serif" w:cs="sans-serif"/>
          <w:b/>
          <w:bCs/>
          <w:color w:val="000000"/>
          <w:sz w:val="20"/>
          <w:szCs w:val="20"/>
        </w:rPr>
        <w:t>First Quarter of Fiscal Year 2022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A85061" w14:paraId="27E08997" w14:textId="77777777">
        <w:tc>
          <w:tcPr>
            <w:tcW w:w="50" w:type="pct"/>
            <w:shd w:val="clear" w:color="auto" w:fill="auto"/>
            <w:vAlign w:val="bottom"/>
          </w:tcPr>
          <w:p w14:paraId="27E08979" w14:textId="77777777" w:rsidR="00A85061" w:rsidRDefault="00A85061">
            <w:pPr>
              <w:rPr>
                <w:rFonts w:ascii="宋体"/>
              </w:rPr>
            </w:pPr>
          </w:p>
        </w:tc>
        <w:tc>
          <w:tcPr>
            <w:tcW w:w="1609" w:type="pct"/>
            <w:shd w:val="clear" w:color="auto" w:fill="auto"/>
            <w:vAlign w:val="bottom"/>
          </w:tcPr>
          <w:p w14:paraId="27E0897A" w14:textId="77777777" w:rsidR="00A85061" w:rsidRDefault="00A85061">
            <w:pPr>
              <w:rPr>
                <w:rFonts w:ascii="宋体"/>
              </w:rPr>
            </w:pPr>
          </w:p>
        </w:tc>
        <w:tc>
          <w:tcPr>
            <w:tcW w:w="5" w:type="pct"/>
            <w:shd w:val="clear" w:color="auto" w:fill="auto"/>
            <w:vAlign w:val="bottom"/>
          </w:tcPr>
          <w:p w14:paraId="27E0897B" w14:textId="77777777" w:rsidR="00A85061" w:rsidRDefault="00A85061">
            <w:pPr>
              <w:rPr>
                <w:rFonts w:ascii="宋体"/>
              </w:rPr>
            </w:pPr>
          </w:p>
        </w:tc>
        <w:tc>
          <w:tcPr>
            <w:tcW w:w="50" w:type="pct"/>
            <w:shd w:val="clear" w:color="auto" w:fill="auto"/>
            <w:vAlign w:val="bottom"/>
          </w:tcPr>
          <w:p w14:paraId="27E0897C" w14:textId="77777777" w:rsidR="00A85061" w:rsidRDefault="00A85061">
            <w:pPr>
              <w:rPr>
                <w:rFonts w:ascii="宋体"/>
              </w:rPr>
            </w:pPr>
          </w:p>
        </w:tc>
        <w:tc>
          <w:tcPr>
            <w:tcW w:w="502" w:type="pct"/>
            <w:shd w:val="clear" w:color="auto" w:fill="auto"/>
            <w:vAlign w:val="bottom"/>
          </w:tcPr>
          <w:p w14:paraId="27E0897D" w14:textId="77777777" w:rsidR="00A85061" w:rsidRDefault="00A85061">
            <w:pPr>
              <w:rPr>
                <w:rFonts w:ascii="宋体"/>
              </w:rPr>
            </w:pPr>
          </w:p>
        </w:tc>
        <w:tc>
          <w:tcPr>
            <w:tcW w:w="5" w:type="pct"/>
            <w:shd w:val="clear" w:color="auto" w:fill="auto"/>
            <w:vAlign w:val="bottom"/>
          </w:tcPr>
          <w:p w14:paraId="27E0897E" w14:textId="77777777" w:rsidR="00A85061" w:rsidRDefault="00A85061">
            <w:pPr>
              <w:rPr>
                <w:rFonts w:ascii="宋体"/>
              </w:rPr>
            </w:pPr>
          </w:p>
        </w:tc>
        <w:tc>
          <w:tcPr>
            <w:tcW w:w="5" w:type="pct"/>
            <w:shd w:val="clear" w:color="auto" w:fill="auto"/>
            <w:vAlign w:val="bottom"/>
          </w:tcPr>
          <w:p w14:paraId="27E0897F" w14:textId="77777777" w:rsidR="00A85061" w:rsidRDefault="00A85061">
            <w:pPr>
              <w:rPr>
                <w:rFonts w:ascii="宋体"/>
              </w:rPr>
            </w:pPr>
          </w:p>
        </w:tc>
        <w:tc>
          <w:tcPr>
            <w:tcW w:w="26" w:type="pct"/>
            <w:shd w:val="clear" w:color="auto" w:fill="auto"/>
            <w:vAlign w:val="bottom"/>
          </w:tcPr>
          <w:p w14:paraId="27E08980" w14:textId="77777777" w:rsidR="00A85061" w:rsidRDefault="00A85061">
            <w:pPr>
              <w:rPr>
                <w:rFonts w:ascii="宋体"/>
              </w:rPr>
            </w:pPr>
          </w:p>
        </w:tc>
        <w:tc>
          <w:tcPr>
            <w:tcW w:w="5" w:type="pct"/>
            <w:shd w:val="clear" w:color="auto" w:fill="auto"/>
            <w:vAlign w:val="bottom"/>
          </w:tcPr>
          <w:p w14:paraId="27E08981" w14:textId="77777777" w:rsidR="00A85061" w:rsidRDefault="00A85061">
            <w:pPr>
              <w:rPr>
                <w:rFonts w:ascii="宋体"/>
              </w:rPr>
            </w:pPr>
          </w:p>
        </w:tc>
        <w:tc>
          <w:tcPr>
            <w:tcW w:w="50" w:type="pct"/>
            <w:shd w:val="clear" w:color="auto" w:fill="auto"/>
            <w:vAlign w:val="bottom"/>
          </w:tcPr>
          <w:p w14:paraId="27E08982" w14:textId="77777777" w:rsidR="00A85061" w:rsidRDefault="00A85061">
            <w:pPr>
              <w:rPr>
                <w:rFonts w:ascii="宋体"/>
              </w:rPr>
            </w:pPr>
          </w:p>
        </w:tc>
        <w:tc>
          <w:tcPr>
            <w:tcW w:w="509" w:type="pct"/>
            <w:shd w:val="clear" w:color="auto" w:fill="auto"/>
            <w:vAlign w:val="bottom"/>
          </w:tcPr>
          <w:p w14:paraId="27E08983" w14:textId="77777777" w:rsidR="00A85061" w:rsidRDefault="00A85061">
            <w:pPr>
              <w:rPr>
                <w:rFonts w:ascii="宋体"/>
              </w:rPr>
            </w:pPr>
          </w:p>
        </w:tc>
        <w:tc>
          <w:tcPr>
            <w:tcW w:w="5" w:type="pct"/>
            <w:shd w:val="clear" w:color="auto" w:fill="auto"/>
            <w:vAlign w:val="bottom"/>
          </w:tcPr>
          <w:p w14:paraId="27E08984" w14:textId="77777777" w:rsidR="00A85061" w:rsidRDefault="00A85061">
            <w:pPr>
              <w:rPr>
                <w:rFonts w:ascii="宋体"/>
              </w:rPr>
            </w:pPr>
          </w:p>
        </w:tc>
        <w:tc>
          <w:tcPr>
            <w:tcW w:w="5" w:type="pct"/>
            <w:shd w:val="clear" w:color="auto" w:fill="auto"/>
            <w:vAlign w:val="bottom"/>
          </w:tcPr>
          <w:p w14:paraId="27E08985" w14:textId="77777777" w:rsidR="00A85061" w:rsidRDefault="00A85061">
            <w:pPr>
              <w:rPr>
                <w:rFonts w:ascii="宋体"/>
              </w:rPr>
            </w:pPr>
          </w:p>
        </w:tc>
        <w:tc>
          <w:tcPr>
            <w:tcW w:w="26" w:type="pct"/>
            <w:shd w:val="clear" w:color="auto" w:fill="auto"/>
            <w:vAlign w:val="bottom"/>
          </w:tcPr>
          <w:p w14:paraId="27E08986" w14:textId="77777777" w:rsidR="00A85061" w:rsidRDefault="00A85061">
            <w:pPr>
              <w:rPr>
                <w:rFonts w:ascii="宋体"/>
              </w:rPr>
            </w:pPr>
          </w:p>
        </w:tc>
        <w:tc>
          <w:tcPr>
            <w:tcW w:w="5" w:type="pct"/>
            <w:shd w:val="clear" w:color="auto" w:fill="auto"/>
            <w:vAlign w:val="bottom"/>
          </w:tcPr>
          <w:p w14:paraId="27E08987" w14:textId="77777777" w:rsidR="00A85061" w:rsidRDefault="00A85061">
            <w:pPr>
              <w:rPr>
                <w:rFonts w:ascii="宋体"/>
              </w:rPr>
            </w:pPr>
          </w:p>
        </w:tc>
        <w:tc>
          <w:tcPr>
            <w:tcW w:w="50" w:type="pct"/>
            <w:shd w:val="clear" w:color="auto" w:fill="auto"/>
            <w:vAlign w:val="bottom"/>
          </w:tcPr>
          <w:p w14:paraId="27E08988" w14:textId="77777777" w:rsidR="00A85061" w:rsidRDefault="00A85061">
            <w:pPr>
              <w:rPr>
                <w:rFonts w:ascii="宋体"/>
              </w:rPr>
            </w:pPr>
          </w:p>
        </w:tc>
        <w:tc>
          <w:tcPr>
            <w:tcW w:w="502" w:type="pct"/>
            <w:shd w:val="clear" w:color="auto" w:fill="auto"/>
            <w:vAlign w:val="bottom"/>
          </w:tcPr>
          <w:p w14:paraId="27E08989" w14:textId="77777777" w:rsidR="00A85061" w:rsidRDefault="00A85061">
            <w:pPr>
              <w:rPr>
                <w:rFonts w:ascii="宋体"/>
              </w:rPr>
            </w:pPr>
          </w:p>
        </w:tc>
        <w:tc>
          <w:tcPr>
            <w:tcW w:w="5" w:type="pct"/>
            <w:shd w:val="clear" w:color="auto" w:fill="auto"/>
            <w:vAlign w:val="bottom"/>
          </w:tcPr>
          <w:p w14:paraId="27E0898A" w14:textId="77777777" w:rsidR="00A85061" w:rsidRDefault="00A85061">
            <w:pPr>
              <w:rPr>
                <w:rFonts w:ascii="宋体"/>
              </w:rPr>
            </w:pPr>
          </w:p>
        </w:tc>
        <w:tc>
          <w:tcPr>
            <w:tcW w:w="5" w:type="pct"/>
            <w:shd w:val="clear" w:color="auto" w:fill="auto"/>
            <w:vAlign w:val="bottom"/>
          </w:tcPr>
          <w:p w14:paraId="27E0898B" w14:textId="77777777" w:rsidR="00A85061" w:rsidRDefault="00A85061">
            <w:pPr>
              <w:rPr>
                <w:rFonts w:ascii="宋体"/>
              </w:rPr>
            </w:pPr>
          </w:p>
        </w:tc>
        <w:tc>
          <w:tcPr>
            <w:tcW w:w="26" w:type="pct"/>
            <w:shd w:val="clear" w:color="auto" w:fill="auto"/>
            <w:vAlign w:val="bottom"/>
          </w:tcPr>
          <w:p w14:paraId="27E0898C" w14:textId="77777777" w:rsidR="00A85061" w:rsidRDefault="00A85061">
            <w:pPr>
              <w:rPr>
                <w:rFonts w:ascii="宋体"/>
              </w:rPr>
            </w:pPr>
          </w:p>
        </w:tc>
        <w:tc>
          <w:tcPr>
            <w:tcW w:w="5" w:type="pct"/>
            <w:shd w:val="clear" w:color="auto" w:fill="auto"/>
            <w:vAlign w:val="bottom"/>
          </w:tcPr>
          <w:p w14:paraId="27E0898D" w14:textId="77777777" w:rsidR="00A85061" w:rsidRDefault="00A85061">
            <w:pPr>
              <w:rPr>
                <w:rFonts w:ascii="宋体"/>
              </w:rPr>
            </w:pPr>
          </w:p>
        </w:tc>
        <w:tc>
          <w:tcPr>
            <w:tcW w:w="50" w:type="pct"/>
            <w:shd w:val="clear" w:color="auto" w:fill="auto"/>
            <w:vAlign w:val="bottom"/>
          </w:tcPr>
          <w:p w14:paraId="27E0898E" w14:textId="77777777" w:rsidR="00A85061" w:rsidRDefault="00A85061">
            <w:pPr>
              <w:rPr>
                <w:rFonts w:ascii="宋体"/>
              </w:rPr>
            </w:pPr>
          </w:p>
        </w:tc>
        <w:tc>
          <w:tcPr>
            <w:tcW w:w="700" w:type="pct"/>
            <w:shd w:val="clear" w:color="auto" w:fill="auto"/>
            <w:vAlign w:val="bottom"/>
          </w:tcPr>
          <w:p w14:paraId="27E0898F" w14:textId="77777777" w:rsidR="00A85061" w:rsidRDefault="00A85061">
            <w:pPr>
              <w:rPr>
                <w:rFonts w:ascii="宋体"/>
              </w:rPr>
            </w:pPr>
          </w:p>
        </w:tc>
        <w:tc>
          <w:tcPr>
            <w:tcW w:w="5" w:type="pct"/>
            <w:shd w:val="clear" w:color="auto" w:fill="auto"/>
            <w:vAlign w:val="bottom"/>
          </w:tcPr>
          <w:p w14:paraId="27E08990" w14:textId="77777777" w:rsidR="00A85061" w:rsidRDefault="00A85061">
            <w:pPr>
              <w:rPr>
                <w:rFonts w:ascii="宋体"/>
              </w:rPr>
            </w:pPr>
          </w:p>
        </w:tc>
        <w:tc>
          <w:tcPr>
            <w:tcW w:w="5" w:type="pct"/>
            <w:shd w:val="clear" w:color="auto" w:fill="auto"/>
            <w:vAlign w:val="bottom"/>
          </w:tcPr>
          <w:p w14:paraId="27E08991" w14:textId="77777777" w:rsidR="00A85061" w:rsidRDefault="00A85061">
            <w:pPr>
              <w:rPr>
                <w:rFonts w:ascii="宋体"/>
              </w:rPr>
            </w:pPr>
          </w:p>
        </w:tc>
        <w:tc>
          <w:tcPr>
            <w:tcW w:w="26" w:type="pct"/>
            <w:shd w:val="clear" w:color="auto" w:fill="auto"/>
            <w:vAlign w:val="bottom"/>
          </w:tcPr>
          <w:p w14:paraId="27E08992" w14:textId="77777777" w:rsidR="00A85061" w:rsidRDefault="00A85061">
            <w:pPr>
              <w:rPr>
                <w:rFonts w:ascii="宋体"/>
              </w:rPr>
            </w:pPr>
          </w:p>
        </w:tc>
        <w:tc>
          <w:tcPr>
            <w:tcW w:w="5" w:type="pct"/>
            <w:shd w:val="clear" w:color="auto" w:fill="auto"/>
            <w:vAlign w:val="bottom"/>
          </w:tcPr>
          <w:p w14:paraId="27E08993" w14:textId="77777777" w:rsidR="00A85061" w:rsidRDefault="00A85061">
            <w:pPr>
              <w:rPr>
                <w:rFonts w:ascii="宋体"/>
              </w:rPr>
            </w:pPr>
          </w:p>
        </w:tc>
        <w:tc>
          <w:tcPr>
            <w:tcW w:w="50" w:type="pct"/>
            <w:shd w:val="clear" w:color="auto" w:fill="auto"/>
            <w:vAlign w:val="bottom"/>
          </w:tcPr>
          <w:p w14:paraId="27E08994" w14:textId="77777777" w:rsidR="00A85061" w:rsidRDefault="00A85061">
            <w:pPr>
              <w:rPr>
                <w:rFonts w:ascii="宋体"/>
              </w:rPr>
            </w:pPr>
          </w:p>
        </w:tc>
        <w:tc>
          <w:tcPr>
            <w:tcW w:w="700" w:type="pct"/>
            <w:shd w:val="clear" w:color="auto" w:fill="auto"/>
            <w:vAlign w:val="bottom"/>
          </w:tcPr>
          <w:p w14:paraId="27E08995" w14:textId="77777777" w:rsidR="00A85061" w:rsidRDefault="00A85061">
            <w:pPr>
              <w:rPr>
                <w:rFonts w:ascii="宋体"/>
              </w:rPr>
            </w:pPr>
          </w:p>
        </w:tc>
        <w:tc>
          <w:tcPr>
            <w:tcW w:w="5" w:type="pct"/>
            <w:shd w:val="clear" w:color="auto" w:fill="auto"/>
            <w:vAlign w:val="bottom"/>
          </w:tcPr>
          <w:p w14:paraId="27E08996" w14:textId="77777777" w:rsidR="00A85061" w:rsidRDefault="00A85061">
            <w:pPr>
              <w:rPr>
                <w:rFonts w:ascii="宋体"/>
              </w:rPr>
            </w:pPr>
          </w:p>
        </w:tc>
      </w:tr>
      <w:tr w:rsidR="00A85061" w14:paraId="27E0899E" w14:textId="77777777">
        <w:tc>
          <w:tcPr>
            <w:tcW w:w="0" w:type="auto"/>
            <w:gridSpan w:val="3"/>
            <w:shd w:val="clear" w:color="auto" w:fill="auto"/>
            <w:tcMar>
              <w:top w:w="0" w:type="dxa"/>
              <w:left w:w="20" w:type="dxa"/>
              <w:bottom w:w="0" w:type="dxa"/>
              <w:right w:w="20" w:type="dxa"/>
            </w:tcMar>
            <w:vAlign w:val="bottom"/>
          </w:tcPr>
          <w:p w14:paraId="27E08998" w14:textId="77777777" w:rsidR="00A85061" w:rsidRDefault="00A85061">
            <w:pPr>
              <w:rPr>
                <w:rFonts w:ascii="宋体"/>
              </w:rPr>
            </w:pPr>
          </w:p>
        </w:tc>
        <w:tc>
          <w:tcPr>
            <w:tcW w:w="0" w:type="auto"/>
            <w:gridSpan w:val="15"/>
            <w:shd w:val="clear" w:color="auto" w:fill="auto"/>
            <w:tcMar>
              <w:top w:w="40" w:type="dxa"/>
              <w:left w:w="20" w:type="dxa"/>
              <w:bottom w:w="40" w:type="dxa"/>
              <w:right w:w="20" w:type="dxa"/>
            </w:tcMar>
            <w:vAlign w:val="bottom"/>
          </w:tcPr>
          <w:p w14:paraId="27E08999"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27E0899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9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9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9D" w14:textId="77777777" w:rsidR="00A85061" w:rsidRDefault="00A85061">
            <w:pPr>
              <w:rPr>
                <w:rFonts w:ascii="宋体"/>
              </w:rPr>
            </w:pPr>
          </w:p>
        </w:tc>
      </w:tr>
      <w:tr w:rsidR="00A85061" w14:paraId="27E089A9" w14:textId="77777777">
        <w:tc>
          <w:tcPr>
            <w:tcW w:w="0" w:type="auto"/>
            <w:gridSpan w:val="3"/>
            <w:shd w:val="clear" w:color="auto" w:fill="auto"/>
            <w:tcMar>
              <w:top w:w="40" w:type="dxa"/>
              <w:left w:w="20" w:type="dxa"/>
              <w:bottom w:w="40" w:type="dxa"/>
              <w:right w:w="20" w:type="dxa"/>
            </w:tcMar>
            <w:vAlign w:val="bottom"/>
          </w:tcPr>
          <w:p w14:paraId="27E0899F"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9A0"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A1"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9A2" w14:textId="77777777" w:rsidR="00A85061" w:rsidRDefault="00F04891">
            <w:pPr>
              <w:jc w:val="center"/>
              <w:textAlignment w:val="bottom"/>
            </w:pPr>
            <w:r>
              <w:rPr>
                <w:rFonts w:ascii="sans-serif" w:eastAsia="sans-serif" w:hAnsi="sans-serif" w:cs="sans-serif"/>
                <w:b/>
                <w:bCs/>
                <w:color w:val="000000"/>
                <w:sz w:val="20"/>
                <w:szCs w:val="20"/>
              </w:rPr>
              <w:t>January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A3"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9A4" w14:textId="77777777" w:rsidR="00A85061" w:rsidRDefault="00F04891">
            <w:pPr>
              <w:jc w:val="center"/>
              <w:textAlignment w:val="bottom"/>
            </w:pPr>
            <w:r>
              <w:rPr>
                <w:rFonts w:ascii="sans-serif" w:eastAsia="sans-serif" w:hAnsi="sans-serif" w:cs="sans-serif"/>
                <w:b/>
                <w:bCs/>
                <w:color w:val="000000"/>
                <w:sz w:val="20"/>
                <w:szCs w:val="20"/>
              </w:rPr>
              <w:t>April 26, 2020</w:t>
            </w:r>
          </w:p>
        </w:tc>
        <w:tc>
          <w:tcPr>
            <w:tcW w:w="0" w:type="auto"/>
            <w:gridSpan w:val="3"/>
            <w:shd w:val="clear" w:color="auto" w:fill="auto"/>
            <w:tcMar>
              <w:top w:w="0" w:type="dxa"/>
              <w:left w:w="20" w:type="dxa"/>
              <w:bottom w:w="0" w:type="dxa"/>
              <w:right w:w="20" w:type="dxa"/>
            </w:tcMar>
            <w:vAlign w:val="bottom"/>
          </w:tcPr>
          <w:p w14:paraId="27E089A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9A6" w14:textId="77777777" w:rsidR="00A85061" w:rsidRDefault="00F04891">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27E089A7"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9A8" w14:textId="77777777" w:rsidR="00A85061" w:rsidRDefault="00F04891">
            <w:pPr>
              <w:jc w:val="center"/>
              <w:textAlignment w:val="bottom"/>
            </w:pPr>
            <w:r>
              <w:rPr>
                <w:rFonts w:ascii="sans-serif" w:eastAsia="sans-serif" w:hAnsi="sans-serif" w:cs="sans-serif"/>
                <w:b/>
                <w:bCs/>
                <w:color w:val="000000"/>
                <w:sz w:val="20"/>
                <w:szCs w:val="20"/>
              </w:rPr>
              <w:t>Year-over-Year Change</w:t>
            </w:r>
          </w:p>
        </w:tc>
      </w:tr>
      <w:tr w:rsidR="00A85061" w14:paraId="27E089B4" w14:textId="77777777">
        <w:trPr>
          <w:trHeight w:val="60"/>
        </w:trPr>
        <w:tc>
          <w:tcPr>
            <w:tcW w:w="0" w:type="auto"/>
            <w:gridSpan w:val="3"/>
            <w:shd w:val="clear" w:color="auto" w:fill="auto"/>
            <w:tcMar>
              <w:top w:w="0" w:type="dxa"/>
              <w:left w:w="20" w:type="dxa"/>
              <w:bottom w:w="0" w:type="dxa"/>
              <w:right w:w="20" w:type="dxa"/>
            </w:tcMar>
            <w:vAlign w:val="bottom"/>
          </w:tcPr>
          <w:p w14:paraId="27E089AA"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A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AC"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A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AE"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A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B0"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B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B2"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9B3" w14:textId="77777777" w:rsidR="00A85061" w:rsidRDefault="00A85061">
            <w:pPr>
              <w:rPr>
                <w:rFonts w:ascii="宋体"/>
              </w:rPr>
            </w:pPr>
          </w:p>
        </w:tc>
      </w:tr>
      <w:tr w:rsidR="00A85061" w14:paraId="27E089BB" w14:textId="77777777">
        <w:tc>
          <w:tcPr>
            <w:tcW w:w="0" w:type="auto"/>
            <w:gridSpan w:val="3"/>
            <w:shd w:val="clear" w:color="auto" w:fill="auto"/>
            <w:tcMar>
              <w:top w:w="0" w:type="dxa"/>
              <w:left w:w="20" w:type="dxa"/>
              <w:bottom w:w="0" w:type="dxa"/>
              <w:right w:w="20" w:type="dxa"/>
            </w:tcMar>
            <w:vAlign w:val="bottom"/>
          </w:tcPr>
          <w:p w14:paraId="27E089B5" w14:textId="77777777" w:rsidR="00A85061" w:rsidRDefault="00A85061">
            <w:pPr>
              <w:rPr>
                <w:rFonts w:ascii="宋体"/>
              </w:rPr>
            </w:pPr>
          </w:p>
        </w:tc>
        <w:tc>
          <w:tcPr>
            <w:tcW w:w="0" w:type="auto"/>
            <w:gridSpan w:val="15"/>
            <w:shd w:val="clear" w:color="auto" w:fill="auto"/>
            <w:tcMar>
              <w:top w:w="40" w:type="dxa"/>
              <w:left w:w="20" w:type="dxa"/>
              <w:bottom w:w="40" w:type="dxa"/>
              <w:right w:w="20" w:type="dxa"/>
            </w:tcMar>
            <w:vAlign w:val="bottom"/>
          </w:tcPr>
          <w:p w14:paraId="27E089B6" w14:textId="77777777" w:rsidR="00A85061" w:rsidRDefault="00F04891">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27E089B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B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B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9BA" w14:textId="77777777" w:rsidR="00A85061" w:rsidRDefault="00A85061">
            <w:pPr>
              <w:rPr>
                <w:rFonts w:ascii="宋体"/>
              </w:rPr>
            </w:pPr>
          </w:p>
        </w:tc>
      </w:tr>
      <w:tr w:rsidR="00A85061" w14:paraId="27E089CE" w14:textId="77777777">
        <w:tc>
          <w:tcPr>
            <w:tcW w:w="0" w:type="auto"/>
            <w:gridSpan w:val="3"/>
            <w:shd w:val="clear" w:color="auto" w:fill="E2EFD9"/>
            <w:tcMar>
              <w:top w:w="40" w:type="dxa"/>
              <w:left w:w="20" w:type="dxa"/>
              <w:bottom w:w="40" w:type="dxa"/>
              <w:right w:w="20" w:type="dxa"/>
            </w:tcMar>
            <w:vAlign w:val="bottom"/>
          </w:tcPr>
          <w:p w14:paraId="27E089BC" w14:textId="77777777" w:rsidR="00A85061" w:rsidRDefault="00F04891">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27E089B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BE"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shd w:val="clear" w:color="auto" w:fill="E2EFD9"/>
            <w:tcMar>
              <w:top w:w="40" w:type="dxa"/>
              <w:left w:w="0" w:type="dxa"/>
              <w:bottom w:w="40" w:type="dxa"/>
              <w:right w:w="20" w:type="dxa"/>
            </w:tcMar>
            <w:vAlign w:val="bottom"/>
          </w:tcPr>
          <w:p w14:paraId="27E089B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C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9C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C2" w14:textId="77777777" w:rsidR="00A85061" w:rsidRDefault="00F04891">
            <w:pPr>
              <w:jc w:val="right"/>
              <w:textAlignment w:val="bottom"/>
            </w:pPr>
            <w:r>
              <w:rPr>
                <w:rFonts w:ascii="sans-serif" w:eastAsia="sans-serif" w:hAnsi="sans-serif" w:cs="sans-serif"/>
                <w:color w:val="000000"/>
                <w:sz w:val="20"/>
                <w:szCs w:val="20"/>
              </w:rPr>
              <w:t>5,003 </w:t>
            </w:r>
          </w:p>
        </w:tc>
        <w:tc>
          <w:tcPr>
            <w:tcW w:w="0" w:type="auto"/>
            <w:shd w:val="clear" w:color="auto" w:fill="E2EFD9"/>
            <w:tcMar>
              <w:top w:w="40" w:type="dxa"/>
              <w:left w:w="0" w:type="dxa"/>
              <w:bottom w:w="40" w:type="dxa"/>
              <w:right w:w="20" w:type="dxa"/>
            </w:tcMar>
            <w:vAlign w:val="bottom"/>
          </w:tcPr>
          <w:p w14:paraId="27E089C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C4"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9C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C6"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shd w:val="clear" w:color="auto" w:fill="E2EFD9"/>
            <w:tcMar>
              <w:top w:w="40" w:type="dxa"/>
              <w:left w:w="0" w:type="dxa"/>
              <w:bottom w:w="40" w:type="dxa"/>
              <w:right w:w="20" w:type="dxa"/>
            </w:tcMar>
            <w:vAlign w:val="bottom"/>
          </w:tcPr>
          <w:p w14:paraId="27E089C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C8"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9C9" w14:textId="77777777" w:rsidR="00A85061" w:rsidRDefault="00F04891">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27E089CA"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27E089C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9CC" w14:textId="77777777" w:rsidR="00A85061" w:rsidRDefault="00F04891">
            <w:pPr>
              <w:jc w:val="right"/>
              <w:textAlignment w:val="bottom"/>
            </w:pPr>
            <w:r>
              <w:rPr>
                <w:rFonts w:ascii="sans-serif" w:eastAsia="sans-serif" w:hAnsi="sans-serif" w:cs="sans-serif"/>
                <w:color w:val="000000"/>
                <w:sz w:val="20"/>
                <w:szCs w:val="20"/>
              </w:rPr>
              <w:t>84 </w:t>
            </w:r>
          </w:p>
        </w:tc>
        <w:tc>
          <w:tcPr>
            <w:tcW w:w="0" w:type="auto"/>
            <w:shd w:val="clear" w:color="auto" w:fill="E2EFD9"/>
            <w:tcMar>
              <w:top w:w="40" w:type="dxa"/>
              <w:left w:w="0" w:type="dxa"/>
              <w:bottom w:w="40" w:type="dxa"/>
              <w:right w:w="20" w:type="dxa"/>
            </w:tcMar>
            <w:vAlign w:val="bottom"/>
          </w:tcPr>
          <w:p w14:paraId="27E089CD" w14:textId="77777777" w:rsidR="00A85061" w:rsidRDefault="00F04891">
            <w:pPr>
              <w:jc w:val="right"/>
              <w:textAlignment w:val="bottom"/>
            </w:pPr>
            <w:r>
              <w:rPr>
                <w:rFonts w:ascii="sans-serif" w:eastAsia="sans-serif" w:hAnsi="sans-serif" w:cs="sans-serif"/>
                <w:color w:val="000000"/>
                <w:sz w:val="20"/>
                <w:szCs w:val="20"/>
              </w:rPr>
              <w:t>%</w:t>
            </w:r>
          </w:p>
        </w:tc>
      </w:tr>
      <w:tr w:rsidR="00A85061" w14:paraId="27E089DC" w14:textId="77777777">
        <w:tc>
          <w:tcPr>
            <w:tcW w:w="0" w:type="auto"/>
            <w:gridSpan w:val="3"/>
            <w:shd w:val="clear" w:color="auto" w:fill="FFFFFF"/>
            <w:tcMar>
              <w:top w:w="40" w:type="dxa"/>
              <w:left w:w="20" w:type="dxa"/>
              <w:bottom w:w="40" w:type="dxa"/>
              <w:right w:w="20" w:type="dxa"/>
            </w:tcMar>
            <w:vAlign w:val="bottom"/>
          </w:tcPr>
          <w:p w14:paraId="27E089CF" w14:textId="77777777" w:rsidR="00A85061" w:rsidRDefault="00F04891">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27E089D0" w14:textId="77777777" w:rsidR="00A85061" w:rsidRDefault="00F04891">
            <w:pPr>
              <w:jc w:val="right"/>
              <w:textAlignment w:val="bottom"/>
            </w:pPr>
            <w:r>
              <w:rPr>
                <w:rFonts w:ascii="sans-serif" w:eastAsia="sans-serif" w:hAnsi="sans-serif" w:cs="sans-serif"/>
                <w:color w:val="000000"/>
                <w:sz w:val="20"/>
                <w:szCs w:val="20"/>
              </w:rPr>
              <w:t>64.1 </w:t>
            </w:r>
          </w:p>
        </w:tc>
        <w:tc>
          <w:tcPr>
            <w:tcW w:w="0" w:type="auto"/>
            <w:shd w:val="clear" w:color="auto" w:fill="FFFFFF"/>
            <w:tcMar>
              <w:top w:w="40" w:type="dxa"/>
              <w:left w:w="0" w:type="dxa"/>
              <w:bottom w:w="40" w:type="dxa"/>
              <w:right w:w="20" w:type="dxa"/>
            </w:tcMar>
            <w:vAlign w:val="bottom"/>
          </w:tcPr>
          <w:p w14:paraId="27E089D1"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9D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center"/>
          </w:tcPr>
          <w:p w14:paraId="27E089D3" w14:textId="77777777" w:rsidR="00A85061" w:rsidRDefault="00F04891">
            <w:pPr>
              <w:jc w:val="right"/>
              <w:textAlignment w:val="center"/>
            </w:pPr>
            <w:r>
              <w:rPr>
                <w:rFonts w:ascii="sans-serif" w:eastAsia="sans-serif" w:hAnsi="sans-serif" w:cs="sans-serif"/>
                <w:color w:val="000000"/>
                <w:sz w:val="20"/>
                <w:szCs w:val="20"/>
              </w:rPr>
              <w:t>63.1 </w:t>
            </w:r>
          </w:p>
        </w:tc>
        <w:tc>
          <w:tcPr>
            <w:tcW w:w="0" w:type="auto"/>
            <w:shd w:val="clear" w:color="auto" w:fill="FFFFFF"/>
            <w:tcMar>
              <w:top w:w="40" w:type="dxa"/>
              <w:left w:w="0" w:type="dxa"/>
              <w:bottom w:w="40" w:type="dxa"/>
              <w:right w:w="20" w:type="dxa"/>
            </w:tcMar>
            <w:vAlign w:val="center"/>
          </w:tcPr>
          <w:p w14:paraId="27E089D4" w14:textId="77777777" w:rsidR="00A85061" w:rsidRDefault="00F04891">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9D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center"/>
          </w:tcPr>
          <w:p w14:paraId="27E089D6" w14:textId="77777777" w:rsidR="00A85061" w:rsidRDefault="00F04891">
            <w:pPr>
              <w:jc w:val="right"/>
              <w:textAlignment w:val="center"/>
            </w:pPr>
            <w:r>
              <w:rPr>
                <w:rFonts w:ascii="sans-serif" w:eastAsia="sans-serif" w:hAnsi="sans-serif" w:cs="sans-serif"/>
                <w:color w:val="000000"/>
                <w:sz w:val="20"/>
                <w:szCs w:val="20"/>
              </w:rPr>
              <w:t>65.1 </w:t>
            </w:r>
          </w:p>
        </w:tc>
        <w:tc>
          <w:tcPr>
            <w:tcW w:w="0" w:type="auto"/>
            <w:shd w:val="clear" w:color="auto" w:fill="FFFFFF"/>
            <w:tcMar>
              <w:top w:w="40" w:type="dxa"/>
              <w:left w:w="0" w:type="dxa"/>
              <w:bottom w:w="40" w:type="dxa"/>
              <w:right w:w="20" w:type="dxa"/>
            </w:tcMar>
            <w:vAlign w:val="center"/>
          </w:tcPr>
          <w:p w14:paraId="27E089D7" w14:textId="77777777" w:rsidR="00A85061" w:rsidRDefault="00F04891">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9D8"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9D9" w14:textId="77777777" w:rsidR="00A85061" w:rsidRDefault="00F04891">
            <w:pPr>
              <w:jc w:val="right"/>
              <w:textAlignment w:val="bottom"/>
            </w:pPr>
            <w:r>
              <w:rPr>
                <w:rFonts w:ascii="sans-serif" w:eastAsia="sans-serif" w:hAnsi="sans-serif" w:cs="sans-serif"/>
                <w:color w:val="000000"/>
                <w:sz w:val="20"/>
                <w:szCs w:val="20"/>
              </w:rPr>
              <w:t>100 bps</w:t>
            </w:r>
          </w:p>
        </w:tc>
        <w:tc>
          <w:tcPr>
            <w:tcW w:w="0" w:type="auto"/>
            <w:gridSpan w:val="3"/>
            <w:shd w:val="clear" w:color="auto" w:fill="FFFFFF"/>
            <w:tcMar>
              <w:top w:w="0" w:type="dxa"/>
              <w:left w:w="20" w:type="dxa"/>
              <w:bottom w:w="0" w:type="dxa"/>
              <w:right w:w="20" w:type="dxa"/>
            </w:tcMar>
            <w:vAlign w:val="bottom"/>
          </w:tcPr>
          <w:p w14:paraId="27E089DA" w14:textId="77777777" w:rsidR="00A85061" w:rsidRDefault="00A85061">
            <w:pPr>
              <w:rPr>
                <w:rFonts w:ascii="宋体"/>
              </w:rPr>
            </w:pPr>
          </w:p>
        </w:tc>
        <w:tc>
          <w:tcPr>
            <w:tcW w:w="0" w:type="auto"/>
            <w:gridSpan w:val="3"/>
            <w:shd w:val="clear" w:color="auto" w:fill="FFFFFF"/>
            <w:tcMar>
              <w:top w:w="40" w:type="dxa"/>
              <w:left w:w="20" w:type="dxa"/>
              <w:bottom w:w="40" w:type="dxa"/>
              <w:right w:w="20" w:type="dxa"/>
            </w:tcMar>
            <w:vAlign w:val="bottom"/>
          </w:tcPr>
          <w:p w14:paraId="27E089DB" w14:textId="77777777" w:rsidR="00A85061" w:rsidRDefault="00F04891">
            <w:pPr>
              <w:jc w:val="right"/>
              <w:textAlignment w:val="bottom"/>
            </w:pPr>
            <w:r>
              <w:rPr>
                <w:rFonts w:ascii="sans-serif" w:eastAsia="sans-serif" w:hAnsi="sans-serif" w:cs="sans-serif"/>
                <w:color w:val="000000"/>
                <w:sz w:val="20"/>
                <w:szCs w:val="20"/>
              </w:rPr>
              <w:t>(100) bps</w:t>
            </w:r>
          </w:p>
        </w:tc>
      </w:tr>
      <w:tr w:rsidR="00A85061" w14:paraId="27E089EF" w14:textId="77777777">
        <w:tc>
          <w:tcPr>
            <w:tcW w:w="0" w:type="auto"/>
            <w:gridSpan w:val="3"/>
            <w:shd w:val="clear" w:color="auto" w:fill="E2EFD9"/>
            <w:tcMar>
              <w:top w:w="40" w:type="dxa"/>
              <w:left w:w="20" w:type="dxa"/>
              <w:bottom w:w="40" w:type="dxa"/>
              <w:right w:w="20" w:type="dxa"/>
            </w:tcMar>
            <w:vAlign w:val="bottom"/>
          </w:tcPr>
          <w:p w14:paraId="27E089DD" w14:textId="77777777" w:rsidR="00A85061" w:rsidRDefault="00F04891">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27E089D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DF" w14:textId="77777777" w:rsidR="00A85061" w:rsidRDefault="00F04891">
            <w:pPr>
              <w:jc w:val="right"/>
              <w:textAlignment w:val="bottom"/>
            </w:pPr>
            <w:r>
              <w:rPr>
                <w:rFonts w:ascii="sans-serif" w:eastAsia="sans-serif" w:hAnsi="sans-serif" w:cs="sans-serif"/>
                <w:color w:val="000000"/>
                <w:sz w:val="20"/>
                <w:szCs w:val="20"/>
              </w:rPr>
              <w:t>1,673 </w:t>
            </w:r>
          </w:p>
        </w:tc>
        <w:tc>
          <w:tcPr>
            <w:tcW w:w="0" w:type="auto"/>
            <w:shd w:val="clear" w:color="auto" w:fill="E2EFD9"/>
            <w:tcMar>
              <w:top w:w="40" w:type="dxa"/>
              <w:left w:w="0" w:type="dxa"/>
              <w:bottom w:w="40" w:type="dxa"/>
              <w:right w:w="20" w:type="dxa"/>
            </w:tcMar>
            <w:vAlign w:val="bottom"/>
          </w:tcPr>
          <w:p w14:paraId="27E089E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E1"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9E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E3" w14:textId="77777777" w:rsidR="00A85061" w:rsidRDefault="00F04891">
            <w:pPr>
              <w:jc w:val="right"/>
              <w:textAlignment w:val="bottom"/>
            </w:pPr>
            <w:r>
              <w:rPr>
                <w:rFonts w:ascii="sans-serif" w:eastAsia="sans-serif" w:hAnsi="sans-serif" w:cs="sans-serif"/>
                <w:color w:val="000000"/>
                <w:sz w:val="20"/>
                <w:szCs w:val="20"/>
              </w:rPr>
              <w:t>1,650 </w:t>
            </w:r>
          </w:p>
        </w:tc>
        <w:tc>
          <w:tcPr>
            <w:tcW w:w="0" w:type="auto"/>
            <w:shd w:val="clear" w:color="auto" w:fill="E2EFD9"/>
            <w:tcMar>
              <w:top w:w="40" w:type="dxa"/>
              <w:left w:w="0" w:type="dxa"/>
              <w:bottom w:w="40" w:type="dxa"/>
              <w:right w:w="20" w:type="dxa"/>
            </w:tcMar>
            <w:vAlign w:val="bottom"/>
          </w:tcPr>
          <w:p w14:paraId="27E089E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E5"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9E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9E7" w14:textId="77777777" w:rsidR="00A85061" w:rsidRDefault="00F04891">
            <w:pPr>
              <w:jc w:val="right"/>
              <w:textAlignment w:val="bottom"/>
            </w:pPr>
            <w:r>
              <w:rPr>
                <w:rFonts w:ascii="sans-serif" w:eastAsia="sans-serif" w:hAnsi="sans-serif" w:cs="sans-serif"/>
                <w:color w:val="000000"/>
                <w:sz w:val="20"/>
                <w:szCs w:val="20"/>
              </w:rPr>
              <w:t>1,028 </w:t>
            </w:r>
          </w:p>
        </w:tc>
        <w:tc>
          <w:tcPr>
            <w:tcW w:w="0" w:type="auto"/>
            <w:shd w:val="clear" w:color="auto" w:fill="E2EFD9"/>
            <w:tcMar>
              <w:top w:w="40" w:type="dxa"/>
              <w:left w:w="0" w:type="dxa"/>
              <w:bottom w:w="40" w:type="dxa"/>
              <w:right w:w="20" w:type="dxa"/>
            </w:tcMar>
            <w:vAlign w:val="bottom"/>
          </w:tcPr>
          <w:p w14:paraId="27E089E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9E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9EA" w14:textId="77777777" w:rsidR="00A85061" w:rsidRDefault="00F04891">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27E089EB"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27E089E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9ED" w14:textId="77777777" w:rsidR="00A85061" w:rsidRDefault="00F04891">
            <w:pPr>
              <w:jc w:val="right"/>
              <w:textAlignment w:val="bottom"/>
            </w:pPr>
            <w:r>
              <w:rPr>
                <w:rFonts w:ascii="sans-serif" w:eastAsia="sans-serif" w:hAnsi="sans-serif" w:cs="sans-serif"/>
                <w:color w:val="000000"/>
                <w:sz w:val="20"/>
                <w:szCs w:val="20"/>
              </w:rPr>
              <w:t>63 </w:t>
            </w:r>
          </w:p>
        </w:tc>
        <w:tc>
          <w:tcPr>
            <w:tcW w:w="0" w:type="auto"/>
            <w:shd w:val="clear" w:color="auto" w:fill="E2EFD9"/>
            <w:tcMar>
              <w:top w:w="40" w:type="dxa"/>
              <w:left w:w="0" w:type="dxa"/>
              <w:bottom w:w="40" w:type="dxa"/>
              <w:right w:w="20" w:type="dxa"/>
            </w:tcMar>
            <w:vAlign w:val="bottom"/>
          </w:tcPr>
          <w:p w14:paraId="27E089EE" w14:textId="77777777" w:rsidR="00A85061" w:rsidRDefault="00F04891">
            <w:pPr>
              <w:jc w:val="right"/>
              <w:textAlignment w:val="bottom"/>
            </w:pPr>
            <w:r>
              <w:rPr>
                <w:rFonts w:ascii="sans-serif" w:eastAsia="sans-serif" w:hAnsi="sans-serif" w:cs="sans-serif"/>
                <w:color w:val="000000"/>
                <w:sz w:val="20"/>
                <w:szCs w:val="20"/>
              </w:rPr>
              <w:t>%</w:t>
            </w:r>
          </w:p>
        </w:tc>
      </w:tr>
      <w:tr w:rsidR="00A85061" w14:paraId="27E08A02" w14:textId="77777777">
        <w:tc>
          <w:tcPr>
            <w:tcW w:w="0" w:type="auto"/>
            <w:gridSpan w:val="3"/>
            <w:shd w:val="clear" w:color="auto" w:fill="FFFFFF"/>
            <w:tcMar>
              <w:top w:w="40" w:type="dxa"/>
              <w:left w:w="20" w:type="dxa"/>
              <w:bottom w:w="40" w:type="dxa"/>
              <w:right w:w="20" w:type="dxa"/>
            </w:tcMar>
            <w:vAlign w:val="bottom"/>
          </w:tcPr>
          <w:p w14:paraId="27E089F0" w14:textId="77777777" w:rsidR="00A85061" w:rsidRDefault="00F04891">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27E089F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F2" w14:textId="77777777" w:rsidR="00A85061" w:rsidRDefault="00F04891">
            <w:pPr>
              <w:jc w:val="right"/>
              <w:textAlignment w:val="bottom"/>
            </w:pPr>
            <w:r>
              <w:rPr>
                <w:rFonts w:ascii="sans-serif" w:eastAsia="sans-serif" w:hAnsi="sans-serif" w:cs="sans-serif"/>
                <w:color w:val="000000"/>
                <w:sz w:val="20"/>
                <w:szCs w:val="20"/>
              </w:rPr>
              <w:t>1,956 </w:t>
            </w:r>
          </w:p>
        </w:tc>
        <w:tc>
          <w:tcPr>
            <w:tcW w:w="0" w:type="auto"/>
            <w:shd w:val="clear" w:color="auto" w:fill="FFFFFF"/>
            <w:tcMar>
              <w:top w:w="40" w:type="dxa"/>
              <w:left w:w="0" w:type="dxa"/>
              <w:bottom w:w="40" w:type="dxa"/>
              <w:right w:w="20" w:type="dxa"/>
            </w:tcMar>
            <w:vAlign w:val="bottom"/>
          </w:tcPr>
          <w:p w14:paraId="27E089F3"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F4"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F5"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F6" w14:textId="77777777" w:rsidR="00A85061" w:rsidRDefault="00F04891">
            <w:pPr>
              <w:jc w:val="right"/>
              <w:textAlignment w:val="bottom"/>
            </w:pPr>
            <w:r>
              <w:rPr>
                <w:rFonts w:ascii="sans-serif" w:eastAsia="sans-serif" w:hAnsi="sans-serif" w:cs="sans-serif"/>
                <w:color w:val="000000"/>
                <w:sz w:val="20"/>
                <w:szCs w:val="20"/>
              </w:rPr>
              <w:t>1,507 </w:t>
            </w:r>
          </w:p>
        </w:tc>
        <w:tc>
          <w:tcPr>
            <w:tcW w:w="0" w:type="auto"/>
            <w:shd w:val="clear" w:color="auto" w:fill="FFFFFF"/>
            <w:tcMar>
              <w:top w:w="40" w:type="dxa"/>
              <w:left w:w="0" w:type="dxa"/>
              <w:bottom w:w="40" w:type="dxa"/>
              <w:right w:w="20" w:type="dxa"/>
            </w:tcMar>
            <w:vAlign w:val="bottom"/>
          </w:tcPr>
          <w:p w14:paraId="27E089F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F8"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9F9"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9FA" w14:textId="77777777" w:rsidR="00A85061" w:rsidRDefault="00F04891">
            <w:pPr>
              <w:jc w:val="right"/>
              <w:textAlignment w:val="bottom"/>
            </w:pPr>
            <w:r>
              <w:rPr>
                <w:rFonts w:ascii="sans-serif" w:eastAsia="sans-serif" w:hAnsi="sans-serif" w:cs="sans-serif"/>
                <w:color w:val="000000"/>
                <w:sz w:val="20"/>
                <w:szCs w:val="20"/>
              </w:rPr>
              <w:t>976 </w:t>
            </w:r>
          </w:p>
        </w:tc>
        <w:tc>
          <w:tcPr>
            <w:tcW w:w="0" w:type="auto"/>
            <w:shd w:val="clear" w:color="auto" w:fill="FFFFFF"/>
            <w:tcMar>
              <w:top w:w="40" w:type="dxa"/>
              <w:left w:w="0" w:type="dxa"/>
              <w:bottom w:w="40" w:type="dxa"/>
              <w:right w:w="20" w:type="dxa"/>
            </w:tcMar>
            <w:vAlign w:val="bottom"/>
          </w:tcPr>
          <w:p w14:paraId="27E089F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9F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9FD" w14:textId="77777777" w:rsidR="00A85061" w:rsidRDefault="00F04891">
            <w:pPr>
              <w:jc w:val="right"/>
              <w:textAlignment w:val="bottom"/>
            </w:pPr>
            <w:r>
              <w:rPr>
                <w:rFonts w:ascii="sans-serif" w:eastAsia="sans-serif" w:hAnsi="sans-serif" w:cs="sans-serif"/>
                <w:color w:val="000000"/>
                <w:sz w:val="20"/>
                <w:szCs w:val="20"/>
              </w:rPr>
              <w:t>30 </w:t>
            </w:r>
          </w:p>
        </w:tc>
        <w:tc>
          <w:tcPr>
            <w:tcW w:w="0" w:type="auto"/>
            <w:shd w:val="clear" w:color="auto" w:fill="FFFFFF"/>
            <w:tcMar>
              <w:top w:w="40" w:type="dxa"/>
              <w:left w:w="0" w:type="dxa"/>
              <w:bottom w:w="40" w:type="dxa"/>
              <w:right w:w="20" w:type="dxa"/>
            </w:tcMar>
            <w:vAlign w:val="bottom"/>
          </w:tcPr>
          <w:p w14:paraId="27E089FE"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9FF"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00" w14:textId="77777777" w:rsidR="00A85061" w:rsidRDefault="00F04891">
            <w:pPr>
              <w:jc w:val="right"/>
              <w:textAlignment w:val="bottom"/>
            </w:pPr>
            <w:r>
              <w:rPr>
                <w:rFonts w:ascii="sans-serif" w:eastAsia="sans-serif" w:hAnsi="sans-serif" w:cs="sans-serif"/>
                <w:color w:val="000000"/>
                <w:sz w:val="20"/>
                <w:szCs w:val="20"/>
              </w:rPr>
              <w:t>100 </w:t>
            </w:r>
          </w:p>
        </w:tc>
        <w:tc>
          <w:tcPr>
            <w:tcW w:w="0" w:type="auto"/>
            <w:shd w:val="clear" w:color="auto" w:fill="FFFFFF"/>
            <w:tcMar>
              <w:top w:w="40" w:type="dxa"/>
              <w:left w:w="0" w:type="dxa"/>
              <w:bottom w:w="40" w:type="dxa"/>
              <w:right w:w="20" w:type="dxa"/>
            </w:tcMar>
            <w:vAlign w:val="bottom"/>
          </w:tcPr>
          <w:p w14:paraId="27E08A01" w14:textId="77777777" w:rsidR="00A85061" w:rsidRDefault="00F04891">
            <w:pPr>
              <w:jc w:val="right"/>
              <w:textAlignment w:val="bottom"/>
            </w:pPr>
            <w:r>
              <w:rPr>
                <w:rFonts w:ascii="sans-serif" w:eastAsia="sans-serif" w:hAnsi="sans-serif" w:cs="sans-serif"/>
                <w:color w:val="000000"/>
                <w:sz w:val="20"/>
                <w:szCs w:val="20"/>
              </w:rPr>
              <w:t>%</w:t>
            </w:r>
          </w:p>
        </w:tc>
      </w:tr>
      <w:tr w:rsidR="00A85061" w14:paraId="27E08A15" w14:textId="77777777">
        <w:tc>
          <w:tcPr>
            <w:tcW w:w="0" w:type="auto"/>
            <w:gridSpan w:val="3"/>
            <w:shd w:val="clear" w:color="auto" w:fill="E2EFD9"/>
            <w:tcMar>
              <w:top w:w="40" w:type="dxa"/>
              <w:left w:w="20" w:type="dxa"/>
              <w:bottom w:w="40" w:type="dxa"/>
              <w:right w:w="20" w:type="dxa"/>
            </w:tcMar>
            <w:vAlign w:val="bottom"/>
          </w:tcPr>
          <w:p w14:paraId="27E08A03" w14:textId="77777777" w:rsidR="00A85061" w:rsidRDefault="00F04891">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27E08A04"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A05" w14:textId="77777777" w:rsidR="00A85061" w:rsidRDefault="00F04891">
            <w:pPr>
              <w:jc w:val="right"/>
              <w:textAlignment w:val="bottom"/>
            </w:pPr>
            <w:r>
              <w:rPr>
                <w:rFonts w:ascii="sans-serif" w:eastAsia="sans-serif" w:hAnsi="sans-serif" w:cs="sans-serif"/>
                <w:color w:val="000000"/>
                <w:sz w:val="20"/>
                <w:szCs w:val="20"/>
              </w:rPr>
              <w:t>1,912 </w:t>
            </w:r>
          </w:p>
        </w:tc>
        <w:tc>
          <w:tcPr>
            <w:tcW w:w="0" w:type="auto"/>
            <w:shd w:val="clear" w:color="auto" w:fill="E2EFD9"/>
            <w:tcMar>
              <w:top w:w="40" w:type="dxa"/>
              <w:left w:w="0" w:type="dxa"/>
              <w:bottom w:w="40" w:type="dxa"/>
              <w:right w:w="20" w:type="dxa"/>
            </w:tcMar>
            <w:vAlign w:val="bottom"/>
          </w:tcPr>
          <w:p w14:paraId="27E08A0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07"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A08"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A09" w14:textId="77777777" w:rsidR="00A85061" w:rsidRDefault="00F04891">
            <w:pPr>
              <w:jc w:val="right"/>
              <w:textAlignment w:val="bottom"/>
            </w:pPr>
            <w:r>
              <w:rPr>
                <w:rFonts w:ascii="sans-serif" w:eastAsia="sans-serif" w:hAnsi="sans-serif" w:cs="sans-serif"/>
                <w:color w:val="000000"/>
                <w:sz w:val="20"/>
                <w:szCs w:val="20"/>
              </w:rPr>
              <w:t>1,457 </w:t>
            </w:r>
          </w:p>
        </w:tc>
        <w:tc>
          <w:tcPr>
            <w:tcW w:w="0" w:type="auto"/>
            <w:shd w:val="clear" w:color="auto" w:fill="E2EFD9"/>
            <w:tcMar>
              <w:top w:w="40" w:type="dxa"/>
              <w:left w:w="0" w:type="dxa"/>
              <w:bottom w:w="40" w:type="dxa"/>
              <w:right w:w="20" w:type="dxa"/>
            </w:tcMar>
            <w:vAlign w:val="bottom"/>
          </w:tcPr>
          <w:p w14:paraId="27E08A0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0B"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A0C"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A0D" w14:textId="77777777" w:rsidR="00A85061" w:rsidRDefault="00F04891">
            <w:pPr>
              <w:jc w:val="right"/>
              <w:textAlignment w:val="bottom"/>
            </w:pPr>
            <w:r>
              <w:rPr>
                <w:rFonts w:ascii="sans-serif" w:eastAsia="sans-serif" w:hAnsi="sans-serif" w:cs="sans-serif"/>
                <w:color w:val="000000"/>
                <w:sz w:val="20"/>
                <w:szCs w:val="20"/>
              </w:rPr>
              <w:t>917 </w:t>
            </w:r>
          </w:p>
        </w:tc>
        <w:tc>
          <w:tcPr>
            <w:tcW w:w="0" w:type="auto"/>
            <w:shd w:val="clear" w:color="auto" w:fill="E2EFD9"/>
            <w:tcMar>
              <w:top w:w="40" w:type="dxa"/>
              <w:left w:w="0" w:type="dxa"/>
              <w:bottom w:w="40" w:type="dxa"/>
              <w:right w:w="20" w:type="dxa"/>
            </w:tcMar>
            <w:vAlign w:val="bottom"/>
          </w:tcPr>
          <w:p w14:paraId="27E08A0E"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0F"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A10" w14:textId="77777777" w:rsidR="00A85061" w:rsidRDefault="00F04891">
            <w:pPr>
              <w:jc w:val="right"/>
              <w:textAlignment w:val="bottom"/>
            </w:pPr>
            <w:r>
              <w:rPr>
                <w:rFonts w:ascii="sans-serif" w:eastAsia="sans-serif" w:hAnsi="sans-serif" w:cs="sans-serif"/>
                <w:color w:val="000000"/>
                <w:sz w:val="20"/>
                <w:szCs w:val="20"/>
              </w:rPr>
              <w:t>31 </w:t>
            </w:r>
          </w:p>
        </w:tc>
        <w:tc>
          <w:tcPr>
            <w:tcW w:w="0" w:type="auto"/>
            <w:shd w:val="clear" w:color="auto" w:fill="E2EFD9"/>
            <w:tcMar>
              <w:top w:w="40" w:type="dxa"/>
              <w:left w:w="0" w:type="dxa"/>
              <w:bottom w:w="40" w:type="dxa"/>
              <w:right w:w="20" w:type="dxa"/>
            </w:tcMar>
            <w:vAlign w:val="bottom"/>
          </w:tcPr>
          <w:p w14:paraId="27E08A11"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27E08A12"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A13" w14:textId="77777777" w:rsidR="00A85061" w:rsidRDefault="00F04891">
            <w:pPr>
              <w:jc w:val="right"/>
              <w:textAlignment w:val="bottom"/>
            </w:pPr>
            <w:r>
              <w:rPr>
                <w:rFonts w:ascii="sans-serif" w:eastAsia="sans-serif" w:hAnsi="sans-serif" w:cs="sans-serif"/>
                <w:color w:val="000000"/>
                <w:sz w:val="20"/>
                <w:szCs w:val="20"/>
              </w:rPr>
              <w:t>109 </w:t>
            </w:r>
          </w:p>
        </w:tc>
        <w:tc>
          <w:tcPr>
            <w:tcW w:w="0" w:type="auto"/>
            <w:shd w:val="clear" w:color="auto" w:fill="E2EFD9"/>
            <w:tcMar>
              <w:top w:w="40" w:type="dxa"/>
              <w:left w:w="0" w:type="dxa"/>
              <w:bottom w:w="40" w:type="dxa"/>
              <w:right w:w="20" w:type="dxa"/>
            </w:tcMar>
            <w:vAlign w:val="bottom"/>
          </w:tcPr>
          <w:p w14:paraId="27E08A14" w14:textId="77777777" w:rsidR="00A85061" w:rsidRDefault="00F04891">
            <w:pPr>
              <w:jc w:val="right"/>
              <w:textAlignment w:val="bottom"/>
            </w:pPr>
            <w:r>
              <w:rPr>
                <w:rFonts w:ascii="sans-serif" w:eastAsia="sans-serif" w:hAnsi="sans-serif" w:cs="sans-serif"/>
                <w:color w:val="000000"/>
                <w:sz w:val="20"/>
                <w:szCs w:val="20"/>
              </w:rPr>
              <w:t>%</w:t>
            </w:r>
          </w:p>
        </w:tc>
      </w:tr>
      <w:tr w:rsidR="00A85061" w14:paraId="27E08A28" w14:textId="77777777">
        <w:tc>
          <w:tcPr>
            <w:tcW w:w="0" w:type="auto"/>
            <w:gridSpan w:val="3"/>
            <w:shd w:val="clear" w:color="auto" w:fill="FFFFFF"/>
            <w:tcMar>
              <w:top w:w="40" w:type="dxa"/>
              <w:left w:w="20" w:type="dxa"/>
              <w:bottom w:w="40" w:type="dxa"/>
              <w:right w:w="20" w:type="dxa"/>
            </w:tcMar>
            <w:vAlign w:val="bottom"/>
          </w:tcPr>
          <w:p w14:paraId="27E08A16" w14:textId="77777777" w:rsidR="00A85061" w:rsidRDefault="00F04891">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27E08A1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A18" w14:textId="77777777" w:rsidR="00A85061" w:rsidRDefault="00F04891">
            <w:pPr>
              <w:jc w:val="right"/>
              <w:textAlignment w:val="bottom"/>
            </w:pPr>
            <w:r>
              <w:rPr>
                <w:rFonts w:ascii="sans-serif" w:eastAsia="sans-serif" w:hAnsi="sans-serif" w:cs="sans-serif"/>
                <w:color w:val="000000"/>
                <w:sz w:val="20"/>
                <w:szCs w:val="20"/>
              </w:rPr>
              <w:t>3.03 </w:t>
            </w:r>
          </w:p>
        </w:tc>
        <w:tc>
          <w:tcPr>
            <w:tcW w:w="0" w:type="auto"/>
            <w:shd w:val="clear" w:color="auto" w:fill="FFFFFF"/>
            <w:tcMar>
              <w:top w:w="40" w:type="dxa"/>
              <w:left w:w="0" w:type="dxa"/>
              <w:bottom w:w="40" w:type="dxa"/>
              <w:right w:w="20" w:type="dxa"/>
            </w:tcMar>
            <w:vAlign w:val="bottom"/>
          </w:tcPr>
          <w:p w14:paraId="27E08A19"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1A"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A1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A1C" w14:textId="77777777" w:rsidR="00A85061" w:rsidRDefault="00F04891">
            <w:pPr>
              <w:jc w:val="right"/>
              <w:textAlignment w:val="bottom"/>
            </w:pPr>
            <w:r>
              <w:rPr>
                <w:rFonts w:ascii="sans-serif" w:eastAsia="sans-serif" w:hAnsi="sans-serif" w:cs="sans-serif"/>
                <w:color w:val="000000"/>
                <w:sz w:val="20"/>
                <w:szCs w:val="20"/>
              </w:rPr>
              <w:t>2.31 </w:t>
            </w:r>
          </w:p>
        </w:tc>
        <w:tc>
          <w:tcPr>
            <w:tcW w:w="0" w:type="auto"/>
            <w:shd w:val="clear" w:color="auto" w:fill="FFFFFF"/>
            <w:tcMar>
              <w:top w:w="40" w:type="dxa"/>
              <w:left w:w="0" w:type="dxa"/>
              <w:bottom w:w="40" w:type="dxa"/>
              <w:right w:w="20" w:type="dxa"/>
            </w:tcMar>
            <w:vAlign w:val="bottom"/>
          </w:tcPr>
          <w:p w14:paraId="27E08A1D"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1E"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A1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A20" w14:textId="77777777" w:rsidR="00A85061" w:rsidRDefault="00F04891">
            <w:pPr>
              <w:jc w:val="right"/>
              <w:textAlignment w:val="bottom"/>
            </w:pPr>
            <w:r>
              <w:rPr>
                <w:rFonts w:ascii="sans-serif" w:eastAsia="sans-serif" w:hAnsi="sans-serif" w:cs="sans-serif"/>
                <w:color w:val="000000"/>
                <w:sz w:val="20"/>
                <w:szCs w:val="20"/>
              </w:rPr>
              <w:t>1.47 </w:t>
            </w:r>
          </w:p>
        </w:tc>
        <w:tc>
          <w:tcPr>
            <w:tcW w:w="0" w:type="auto"/>
            <w:shd w:val="clear" w:color="auto" w:fill="FFFFFF"/>
            <w:tcMar>
              <w:top w:w="40" w:type="dxa"/>
              <w:left w:w="0" w:type="dxa"/>
              <w:bottom w:w="40" w:type="dxa"/>
              <w:right w:w="20" w:type="dxa"/>
            </w:tcMar>
            <w:vAlign w:val="bottom"/>
          </w:tcPr>
          <w:p w14:paraId="27E08A2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22"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23" w14:textId="77777777" w:rsidR="00A85061" w:rsidRDefault="00F04891">
            <w:pPr>
              <w:jc w:val="right"/>
              <w:textAlignment w:val="bottom"/>
            </w:pPr>
            <w:r>
              <w:rPr>
                <w:rFonts w:ascii="sans-serif" w:eastAsia="sans-serif" w:hAnsi="sans-serif" w:cs="sans-serif"/>
                <w:color w:val="000000"/>
                <w:sz w:val="20"/>
                <w:szCs w:val="20"/>
              </w:rPr>
              <w:t>31 </w:t>
            </w:r>
          </w:p>
        </w:tc>
        <w:tc>
          <w:tcPr>
            <w:tcW w:w="0" w:type="auto"/>
            <w:shd w:val="clear" w:color="auto" w:fill="FFFFFF"/>
            <w:tcMar>
              <w:top w:w="40" w:type="dxa"/>
              <w:left w:w="0" w:type="dxa"/>
              <w:bottom w:w="40" w:type="dxa"/>
              <w:right w:w="20" w:type="dxa"/>
            </w:tcMar>
            <w:vAlign w:val="bottom"/>
          </w:tcPr>
          <w:p w14:paraId="27E08A24"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A25"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26" w14:textId="77777777" w:rsidR="00A85061" w:rsidRDefault="00F04891">
            <w:pPr>
              <w:jc w:val="right"/>
              <w:textAlignment w:val="bottom"/>
            </w:pPr>
            <w:r>
              <w:rPr>
                <w:rFonts w:ascii="sans-serif" w:eastAsia="sans-serif" w:hAnsi="sans-serif" w:cs="sans-serif"/>
                <w:color w:val="000000"/>
                <w:sz w:val="20"/>
                <w:szCs w:val="20"/>
              </w:rPr>
              <w:t>106 </w:t>
            </w:r>
          </w:p>
        </w:tc>
        <w:tc>
          <w:tcPr>
            <w:tcW w:w="0" w:type="auto"/>
            <w:shd w:val="clear" w:color="auto" w:fill="FFFFFF"/>
            <w:tcMar>
              <w:top w:w="40" w:type="dxa"/>
              <w:left w:w="0" w:type="dxa"/>
              <w:bottom w:w="40" w:type="dxa"/>
              <w:right w:w="20" w:type="dxa"/>
            </w:tcMar>
            <w:vAlign w:val="bottom"/>
          </w:tcPr>
          <w:p w14:paraId="27E08A27" w14:textId="77777777" w:rsidR="00A85061" w:rsidRDefault="00F04891">
            <w:pPr>
              <w:jc w:val="right"/>
              <w:textAlignment w:val="bottom"/>
            </w:pPr>
            <w:r>
              <w:rPr>
                <w:rFonts w:ascii="sans-serif" w:eastAsia="sans-serif" w:hAnsi="sans-serif" w:cs="sans-serif"/>
                <w:color w:val="000000"/>
                <w:sz w:val="20"/>
                <w:szCs w:val="20"/>
              </w:rPr>
              <w:t>%</w:t>
            </w:r>
          </w:p>
        </w:tc>
      </w:tr>
    </w:tbl>
    <w:p w14:paraId="27E08A29" w14:textId="77777777" w:rsidR="00A85061" w:rsidRDefault="00F04891">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w:t>
      </w:r>
      <w:r>
        <w:rPr>
          <w:rFonts w:ascii="sans-serif" w:eastAsia="sans-serif" w:hAnsi="sans-serif" w:cs="sans-serif"/>
          <w:color w:val="000000"/>
          <w:sz w:val="20"/>
          <w:szCs w:val="20"/>
        </w:rPr>
        <w:t>platforms incorporate processors, interconnects, software, algorithms, systems, and services to deliver unique value. Our platforms address four large markets where our expertise is critical: Gaming, Data Center, Professional Visualization, and Automotive.</w:t>
      </w:r>
    </w:p>
    <w:p w14:paraId="27E08A2A" w14:textId="77777777" w:rsidR="00A85061" w:rsidRDefault="00F04891">
      <w:pPr>
        <w:spacing w:after="180"/>
        <w:jc w:val="both"/>
      </w:pPr>
      <w:r>
        <w:rPr>
          <w:rFonts w:ascii="sans-serif" w:eastAsia="sans-serif" w:hAnsi="sans-serif" w:cs="sans-serif"/>
          <w:color w:val="000000"/>
          <w:sz w:val="20"/>
          <w:szCs w:val="20"/>
        </w:rPr>
        <w:t>Revenue for the first quarter of fiscal year 2022 was $5.66 billion, up 84% from a year earlier. Revenue was up 13% sequentially with growth in all market platforms.</w:t>
      </w:r>
    </w:p>
    <w:p w14:paraId="27E08A2B" w14:textId="77777777" w:rsidR="00A85061" w:rsidRDefault="00F04891">
      <w:pPr>
        <w:spacing w:after="180"/>
        <w:jc w:val="both"/>
      </w:pPr>
      <w:r>
        <w:rPr>
          <w:rFonts w:ascii="sans-serif" w:eastAsia="sans-serif" w:hAnsi="sans-serif" w:cs="sans-serif"/>
          <w:color w:val="000000"/>
          <w:sz w:val="20"/>
          <w:szCs w:val="20"/>
        </w:rPr>
        <w:t>Gaming revenue was up 106% from a year ago and up 11% sequentially, reflecting higher sal</w:t>
      </w:r>
      <w:r>
        <w:rPr>
          <w:rFonts w:ascii="sans-serif" w:eastAsia="sans-serif" w:hAnsi="sans-serif" w:cs="sans-serif"/>
          <w:color w:val="000000"/>
          <w:sz w:val="20"/>
          <w:szCs w:val="20"/>
        </w:rPr>
        <w:t xml:space="preserve">es in GeForce GPUs, as well as in game-console SOCs. We continued to benefit from strong sales of our GeForce RTX 30 Series based on the NVIDIA Ampere architecture. We believe Gaming also benefited from cryptocurrency mining demand, although it is hard to </w:t>
      </w:r>
      <w:r>
        <w:rPr>
          <w:rFonts w:ascii="sans-serif" w:eastAsia="sans-serif" w:hAnsi="sans-serif" w:cs="sans-serif"/>
          <w:color w:val="000000"/>
          <w:sz w:val="20"/>
          <w:szCs w:val="20"/>
        </w:rPr>
        <w:t>determine to what extent.</w:t>
      </w:r>
    </w:p>
    <w:p w14:paraId="27E08A2C" w14:textId="77777777" w:rsidR="00A85061" w:rsidRDefault="00F04891">
      <w:pPr>
        <w:spacing w:after="180"/>
        <w:jc w:val="both"/>
      </w:pPr>
      <w:r>
        <w:rPr>
          <w:rFonts w:ascii="sans-serif" w:eastAsia="sans-serif" w:hAnsi="sans-serif" w:cs="sans-serif"/>
          <w:color w:val="000000"/>
          <w:sz w:val="20"/>
          <w:szCs w:val="20"/>
        </w:rPr>
        <w:t>Data Center revenue was up 79% from a year ago and up 8% sequentially. The year-on-year revenue growth was driven primarily by the Mellanox acquisition and the ramp of NVIDIA Ampere GPU architecture products into vertical industri</w:t>
      </w:r>
      <w:r>
        <w:rPr>
          <w:rFonts w:ascii="sans-serif" w:eastAsia="sans-serif" w:hAnsi="sans-serif" w:cs="sans-serif"/>
          <w:color w:val="000000"/>
          <w:sz w:val="20"/>
          <w:szCs w:val="20"/>
        </w:rPr>
        <w:t>es and hyperscale customers. Sequentially, growth in Data Center came from both compute and networking products, primarily driven by hyperscale customers.</w:t>
      </w:r>
    </w:p>
    <w:p w14:paraId="27E08A2D" w14:textId="77777777" w:rsidR="00A85061" w:rsidRDefault="00F04891">
      <w:pPr>
        <w:spacing w:after="180"/>
        <w:jc w:val="both"/>
      </w:pPr>
      <w:r>
        <w:rPr>
          <w:rFonts w:ascii="sans-serif" w:eastAsia="sans-serif" w:hAnsi="sans-serif" w:cs="sans-serif"/>
          <w:color w:val="000000"/>
          <w:sz w:val="20"/>
          <w:szCs w:val="20"/>
        </w:rPr>
        <w:t>Professional Visualization revenue was up 21% from both a year earlier and sequentially. The year-on-</w:t>
      </w:r>
      <w:r>
        <w:rPr>
          <w:rFonts w:ascii="sans-serif" w:eastAsia="sans-serif" w:hAnsi="sans-serif" w:cs="sans-serif"/>
          <w:color w:val="000000"/>
          <w:sz w:val="20"/>
          <w:szCs w:val="20"/>
        </w:rPr>
        <w:t>year increase was driven by sales of notebook workstation GPUs. The sequential growth reflects sales of GPUs for both desktop and notebook workstations.</w:t>
      </w:r>
    </w:p>
    <w:p w14:paraId="27E08A2E" w14:textId="77777777" w:rsidR="00A85061" w:rsidRDefault="00F04891">
      <w:pPr>
        <w:spacing w:after="180"/>
        <w:jc w:val="both"/>
      </w:pPr>
      <w:r>
        <w:rPr>
          <w:rFonts w:ascii="sans-serif" w:eastAsia="sans-serif" w:hAnsi="sans-serif" w:cs="sans-serif"/>
          <w:color w:val="000000"/>
          <w:sz w:val="20"/>
          <w:szCs w:val="20"/>
        </w:rPr>
        <w:t xml:space="preserve">Automotive revenue was down 1% from a year earlier and up 6% sequentially. </w:t>
      </w:r>
    </w:p>
    <w:p w14:paraId="27E08A2F" w14:textId="77777777" w:rsidR="00A85061" w:rsidRDefault="00F04891">
      <w:pPr>
        <w:spacing w:after="180"/>
        <w:jc w:val="both"/>
      </w:pPr>
      <w:r>
        <w:rPr>
          <w:rFonts w:ascii="sans-serif" w:eastAsia="sans-serif" w:hAnsi="sans-serif" w:cs="sans-serif"/>
          <w:color w:val="000000"/>
          <w:sz w:val="20"/>
          <w:szCs w:val="20"/>
        </w:rPr>
        <w:t>OEM and Other revenue was u</w:t>
      </w:r>
      <w:r>
        <w:rPr>
          <w:rFonts w:ascii="sans-serif" w:eastAsia="sans-serif" w:hAnsi="sans-serif" w:cs="sans-serif"/>
          <w:color w:val="000000"/>
          <w:sz w:val="20"/>
          <w:szCs w:val="20"/>
        </w:rPr>
        <w:t>p 137% from a year ago and up 114% sequentially, primarily reflecting the addition of CMP, which generated revenue of $155 million.</w:t>
      </w:r>
    </w:p>
    <w:p w14:paraId="27E08A30" w14:textId="77777777" w:rsidR="00A85061" w:rsidRDefault="00F04891">
      <w:pPr>
        <w:spacing w:after="180"/>
        <w:jc w:val="both"/>
      </w:pPr>
      <w:r>
        <w:rPr>
          <w:rFonts w:ascii="sans-serif" w:eastAsia="sans-serif" w:hAnsi="sans-serif" w:cs="sans-serif"/>
          <w:color w:val="000000"/>
          <w:sz w:val="20"/>
          <w:szCs w:val="20"/>
        </w:rPr>
        <w:t xml:space="preserve">Gross margin was down 100 basis points from a year earlier due to amortization of intangible assets related to the Mellanox </w:t>
      </w:r>
      <w:r>
        <w:rPr>
          <w:rFonts w:ascii="sans-serif" w:eastAsia="sans-serif" w:hAnsi="sans-serif" w:cs="sans-serif"/>
          <w:color w:val="000000"/>
          <w:sz w:val="20"/>
          <w:szCs w:val="20"/>
        </w:rPr>
        <w:t>acquisition and a shift in the mix of Data Center products, partially offset by a lower contribution from Automotive products. Gross margin was up 100 basis points sequentially due to a more favorable mix within Data Center and the addition of CMP products</w:t>
      </w:r>
      <w:r>
        <w:rPr>
          <w:rFonts w:ascii="sans-serif" w:eastAsia="sans-serif" w:hAnsi="sans-serif" w:cs="sans-serif"/>
          <w:color w:val="000000"/>
          <w:sz w:val="20"/>
          <w:szCs w:val="20"/>
        </w:rPr>
        <w:t>.</w:t>
      </w:r>
    </w:p>
    <w:p w14:paraId="27E08A31" w14:textId="77777777" w:rsidR="00A85061" w:rsidRDefault="00F04891">
      <w:pPr>
        <w:spacing w:after="180"/>
        <w:jc w:val="both"/>
      </w:pPr>
      <w:r>
        <w:rPr>
          <w:rFonts w:ascii="sans-serif" w:eastAsia="sans-serif" w:hAnsi="sans-serif" w:cs="sans-serif"/>
          <w:color w:val="000000"/>
          <w:sz w:val="20"/>
          <w:szCs w:val="20"/>
        </w:rPr>
        <w:t>Operating expenses were up 63% from a year earlier, which did not include Mellanox, and up 1% sequentially. In addition to Mellanox, the year-on-year increase was primarily driven by compensation-related costs, including employee growth and infrastructur</w:t>
      </w:r>
      <w:r>
        <w:rPr>
          <w:rFonts w:ascii="sans-serif" w:eastAsia="sans-serif" w:hAnsi="sans-serif" w:cs="sans-serif"/>
          <w:color w:val="000000"/>
          <w:sz w:val="20"/>
          <w:szCs w:val="20"/>
        </w:rPr>
        <w:t>e costs. Sequential costs were relatively flat, with increased expenses from growth in employees offset by the additional week in the fourth quarter of fiscal year 2021.</w:t>
      </w:r>
    </w:p>
    <w:p w14:paraId="27E08A32" w14:textId="77777777" w:rsidR="00A85061" w:rsidRDefault="00F04891">
      <w:pPr>
        <w:spacing w:after="180"/>
        <w:jc w:val="both"/>
      </w:pPr>
      <w:r>
        <w:rPr>
          <w:rFonts w:ascii="sans-serif" w:eastAsia="sans-serif" w:hAnsi="sans-serif" w:cs="sans-serif"/>
          <w:color w:val="000000"/>
          <w:sz w:val="20"/>
          <w:szCs w:val="20"/>
        </w:rPr>
        <w:t>Income from operations was $1.96 billion, up 100% from a year earlier and up 30% seque</w:t>
      </w:r>
      <w:r>
        <w:rPr>
          <w:rFonts w:ascii="sans-serif" w:eastAsia="sans-serif" w:hAnsi="sans-serif" w:cs="sans-serif"/>
          <w:color w:val="000000"/>
          <w:sz w:val="20"/>
          <w:szCs w:val="20"/>
        </w:rPr>
        <w:t>ntially. Net income was $1.91 billion. Net income per diluted share was $3.03, up 106% from a year earlier and up 31% sequentially.</w:t>
      </w:r>
    </w:p>
    <w:p w14:paraId="27E08A33" w14:textId="77777777" w:rsidR="00A85061" w:rsidRDefault="00F04891">
      <w:pPr>
        <w:spacing w:after="180"/>
        <w:jc w:val="center"/>
      </w:pPr>
      <w:r>
        <w:rPr>
          <w:rFonts w:ascii="sans-serif" w:eastAsia="sans-serif" w:hAnsi="sans-serif" w:cs="sans-serif"/>
          <w:color w:val="000000"/>
          <w:sz w:val="20"/>
          <w:szCs w:val="20"/>
        </w:rPr>
        <w:t>25</w:t>
      </w:r>
    </w:p>
    <w:p w14:paraId="27E08A34" w14:textId="77777777" w:rsidR="00A85061" w:rsidRDefault="00F04891">
      <w:r>
        <w:pict w14:anchorId="27E08F0A">
          <v:rect id="_x0000_i1049" style="width:415.3pt;height:1.5pt" o:hralign="center" o:hrstd="t" o:hr="t" fillcolor="#a0a0a0" stroked="f"/>
        </w:pict>
      </w:r>
    </w:p>
    <w:p w14:paraId="27E08A35" w14:textId="77777777" w:rsidR="00A85061" w:rsidRDefault="00A85061">
      <w:pPr>
        <w:spacing w:after="180"/>
        <w:jc w:val="both"/>
      </w:pPr>
    </w:p>
    <w:p w14:paraId="27E08A36" w14:textId="77777777" w:rsidR="00A85061" w:rsidRDefault="00A85061">
      <w:pPr>
        <w:spacing w:after="180"/>
        <w:jc w:val="both"/>
      </w:pPr>
    </w:p>
    <w:p w14:paraId="27E08A37" w14:textId="77777777" w:rsidR="00A85061" w:rsidRDefault="00A85061">
      <w:pPr>
        <w:spacing w:after="180"/>
        <w:jc w:val="both"/>
      </w:pPr>
    </w:p>
    <w:p w14:paraId="27E08A38" w14:textId="77777777" w:rsidR="00A85061" w:rsidRDefault="00F04891">
      <w:pPr>
        <w:spacing w:after="180"/>
        <w:jc w:val="both"/>
      </w:pPr>
      <w:r>
        <w:rPr>
          <w:rFonts w:ascii="sans-serif" w:eastAsia="sans-serif" w:hAnsi="sans-serif" w:cs="sans-serif"/>
          <w:color w:val="000000"/>
          <w:sz w:val="20"/>
          <w:szCs w:val="20"/>
        </w:rPr>
        <w:t>Cash, cash equivalents and marketable securities at the end of the first quarter were $12.67 billion, down from $16.</w:t>
      </w:r>
      <w:r>
        <w:rPr>
          <w:rFonts w:ascii="sans-serif" w:eastAsia="sans-serif" w:hAnsi="sans-serif" w:cs="sans-serif"/>
          <w:color w:val="000000"/>
          <w:sz w:val="20"/>
          <w:szCs w:val="20"/>
        </w:rPr>
        <w:t>35 billion a year earlier and up from $11.56 billion in the prior quarter. The year-on-year decrease primarily reflects payment for Mellanox acquisition, while the sequential increase primarily reflects growth in operating income.</w:t>
      </w:r>
    </w:p>
    <w:p w14:paraId="27E08A39" w14:textId="77777777" w:rsidR="00A85061" w:rsidRDefault="00F04891">
      <w:pPr>
        <w:spacing w:after="180"/>
        <w:jc w:val="both"/>
      </w:pPr>
      <w:r>
        <w:rPr>
          <w:rFonts w:ascii="sans-serif" w:eastAsia="sans-serif" w:hAnsi="sans-serif" w:cs="sans-serif"/>
          <w:color w:val="000000"/>
          <w:sz w:val="20"/>
          <w:szCs w:val="20"/>
        </w:rPr>
        <w:t>We paid $99 million in qu</w:t>
      </w:r>
      <w:r>
        <w:rPr>
          <w:rFonts w:ascii="sans-serif" w:eastAsia="sans-serif" w:hAnsi="sans-serif" w:cs="sans-serif"/>
          <w:color w:val="000000"/>
          <w:sz w:val="20"/>
          <w:szCs w:val="20"/>
        </w:rPr>
        <w:t>arterly cash dividends in the first quarter.</w:t>
      </w:r>
    </w:p>
    <w:p w14:paraId="27E08A3A" w14:textId="77777777" w:rsidR="00A85061" w:rsidRDefault="00F04891">
      <w:pPr>
        <w:spacing w:after="180"/>
        <w:jc w:val="both"/>
      </w:pPr>
      <w:r>
        <w:rPr>
          <w:rFonts w:ascii="sans-serif" w:eastAsia="sans-serif" w:hAnsi="sans-serif" w:cs="sans-serif"/>
          <w:color w:val="000000"/>
          <w:sz w:val="20"/>
          <w:szCs w:val="20"/>
        </w:rPr>
        <w:t>On May 21, 2021, our Board of Directors declared a four-for-one split of our common stock payable in the form of a stock dividend, with the additional shares expected to be distributed on July 19, 2021. The stoc</w:t>
      </w:r>
      <w:r>
        <w:rPr>
          <w:rFonts w:ascii="sans-serif" w:eastAsia="sans-serif" w:hAnsi="sans-serif" w:cs="sans-serif"/>
          <w:color w:val="000000"/>
          <w:sz w:val="20"/>
          <w:szCs w:val="20"/>
        </w:rPr>
        <w:t>k dividend is conditioned on obtaining stockholder approval at our 2021 Annual Meeting of Stockholders on June 3, 2021 to increase the number of authorized shares of common stock from 2 billion to 4 billion.</w:t>
      </w:r>
    </w:p>
    <w:p w14:paraId="27E08A3B" w14:textId="77777777" w:rsidR="00A85061" w:rsidRDefault="00F04891">
      <w:pPr>
        <w:spacing w:before="120" w:after="120"/>
        <w:jc w:val="both"/>
      </w:pPr>
      <w:r>
        <w:rPr>
          <w:rFonts w:ascii="sans-serif" w:eastAsia="sans-serif" w:hAnsi="sans-serif" w:cs="sans-serif"/>
          <w:b/>
          <w:bCs/>
          <w:color w:val="000000"/>
          <w:sz w:val="20"/>
          <w:szCs w:val="20"/>
        </w:rPr>
        <w:t>Market Platform Highlights</w:t>
      </w:r>
    </w:p>
    <w:p w14:paraId="27E08A3C" w14:textId="77777777" w:rsidR="00A85061" w:rsidRDefault="00F04891">
      <w:pPr>
        <w:spacing w:before="120" w:after="120"/>
        <w:jc w:val="both"/>
      </w:pPr>
      <w:r>
        <w:rPr>
          <w:rFonts w:ascii="sans-serif" w:eastAsia="sans-serif" w:hAnsi="sans-serif" w:cs="sans-serif"/>
          <w:color w:val="000000"/>
          <w:sz w:val="20"/>
          <w:szCs w:val="20"/>
        </w:rPr>
        <w:t>During the first quar</w:t>
      </w:r>
      <w:r>
        <w:rPr>
          <w:rFonts w:ascii="sans-serif" w:eastAsia="sans-serif" w:hAnsi="sans-serif" w:cs="sans-serif"/>
          <w:color w:val="000000"/>
          <w:sz w:val="20"/>
          <w:szCs w:val="20"/>
        </w:rPr>
        <w:t xml:space="preserve">ter of fiscal year 2022, in our Gaming platform, we launched GeForce RTX 3060 laptop GPU systems; announced GeForce 3050 Ti and 3050 laptop GPUs; accelerated RTX momentum with now over 60 games; announced plans to integrate NVIDIA DLSS into the Unity game </w:t>
      </w:r>
      <w:r>
        <w:rPr>
          <w:rFonts w:ascii="sans-serif" w:eastAsia="sans-serif" w:hAnsi="sans-serif" w:cs="sans-serif"/>
          <w:color w:val="000000"/>
          <w:sz w:val="20"/>
          <w:szCs w:val="20"/>
        </w:rPr>
        <w:t>engine; announced that NVIDIA Reflex is incorporated in more games; and announced that GeForce NOW has over 10 million members.</w:t>
      </w:r>
    </w:p>
    <w:p w14:paraId="27E08A3D" w14:textId="77777777" w:rsidR="00A85061" w:rsidRDefault="00F04891">
      <w:pPr>
        <w:spacing w:before="120" w:after="120"/>
        <w:jc w:val="both"/>
      </w:pPr>
      <w:r>
        <w:rPr>
          <w:rFonts w:ascii="sans-serif" w:eastAsia="sans-serif" w:hAnsi="sans-serif" w:cs="sans-serif"/>
          <w:color w:val="000000"/>
          <w:sz w:val="20"/>
          <w:szCs w:val="20"/>
        </w:rPr>
        <w:t>In our Data Center platform, we launched new NVIDIA A30 and A10 GPUs for mainstream AI, data analytics and graphics; debuted a n</w:t>
      </w:r>
      <w:r>
        <w:rPr>
          <w:rFonts w:ascii="sans-serif" w:eastAsia="sans-serif" w:hAnsi="sans-serif" w:cs="sans-serif"/>
          <w:color w:val="000000"/>
          <w:sz w:val="20"/>
          <w:szCs w:val="20"/>
        </w:rPr>
        <w:t xml:space="preserve">ew class of NVIDIA-Certified Systems with leading server OEMs; announced the NVIDIA AI Enterprise software suite; hosted our largest-ever GPU Technology Conference, where we unveiled NVIDIA Grace, our first Arm-based data center CPU; introduced the NVIDIA </w:t>
      </w:r>
      <w:r>
        <w:rPr>
          <w:rFonts w:ascii="sans-serif" w:eastAsia="sans-serif" w:hAnsi="sans-serif" w:cs="sans-serif"/>
          <w:color w:val="000000"/>
          <w:sz w:val="20"/>
          <w:szCs w:val="20"/>
        </w:rPr>
        <w:t>Morpheus AI and NVIDIA TAO application frameworks; and announced the availability of NVIDIA Jarvis and NVIDIA Maxine.</w:t>
      </w:r>
    </w:p>
    <w:p w14:paraId="27E08A3E" w14:textId="77777777" w:rsidR="00A85061" w:rsidRDefault="00F04891">
      <w:pPr>
        <w:spacing w:before="120" w:after="120"/>
        <w:jc w:val="both"/>
      </w:pPr>
      <w:r>
        <w:rPr>
          <w:rFonts w:ascii="sans-serif" w:eastAsia="sans-serif" w:hAnsi="sans-serif" w:cs="sans-serif"/>
          <w:color w:val="000000"/>
          <w:sz w:val="20"/>
          <w:szCs w:val="20"/>
        </w:rPr>
        <w:t>In our Professional Visualization platform, we unveiled NVIDIA RTX GPUs for next-generation notebook and desktop workstations; and launche</w:t>
      </w:r>
      <w:r>
        <w:rPr>
          <w:rFonts w:ascii="sans-serif" w:eastAsia="sans-serif" w:hAnsi="sans-serif" w:cs="sans-serif"/>
          <w:color w:val="000000"/>
          <w:sz w:val="20"/>
          <w:szCs w:val="20"/>
        </w:rPr>
        <w:t>d NVIDIA Omniverse Enterprise.</w:t>
      </w:r>
    </w:p>
    <w:p w14:paraId="27E08A3F" w14:textId="77777777" w:rsidR="00A85061" w:rsidRDefault="00F04891">
      <w:pPr>
        <w:spacing w:before="120" w:after="120"/>
        <w:jc w:val="both"/>
      </w:pPr>
      <w:r>
        <w:rPr>
          <w:rFonts w:ascii="sans-serif" w:eastAsia="sans-serif" w:hAnsi="sans-serif" w:cs="sans-serif"/>
          <w:color w:val="000000"/>
          <w:sz w:val="20"/>
          <w:szCs w:val="20"/>
        </w:rPr>
        <w:t xml:space="preserve">In our Automotive platform, we announced that the NVIDIA DRIVE platform powers MBUX Hyperscreen, the AI cockpit in Mercedes-Benz’s new EQS sedan, and that Volvo Cars will use NVIDIA DRIVE Orin to power the autonomous driving </w:t>
      </w:r>
      <w:r>
        <w:rPr>
          <w:rFonts w:ascii="sans-serif" w:eastAsia="sans-serif" w:hAnsi="sans-serif" w:cs="sans-serif"/>
          <w:color w:val="000000"/>
          <w:sz w:val="20"/>
          <w:szCs w:val="20"/>
        </w:rPr>
        <w:t>computer in its next-generation cars, beginning with the XC90 in 2022; announced that NVIDIA DRIVE will be powering intelligent new energy vehicles from R-Auto, IM Motors, Faraday Future and VinFast, and robotaxis including Cruise and Amazon Zoox; announce</w:t>
      </w:r>
      <w:r>
        <w:rPr>
          <w:rFonts w:ascii="sans-serif" w:eastAsia="sans-serif" w:hAnsi="sans-serif" w:cs="sans-serif"/>
          <w:color w:val="000000"/>
          <w:sz w:val="20"/>
          <w:szCs w:val="20"/>
        </w:rPr>
        <w:t>d NVIDIA DRIVE Hyperion 8; and unveiled the NVIDIA DRIVE Atlan next-generation SOC.</w:t>
      </w:r>
    </w:p>
    <w:p w14:paraId="27E08A40" w14:textId="77777777" w:rsidR="00A85061" w:rsidRDefault="00F04891">
      <w:pPr>
        <w:spacing w:before="120" w:after="120"/>
        <w:jc w:val="both"/>
      </w:pPr>
      <w:r>
        <w:rPr>
          <w:rFonts w:ascii="sans-serif" w:eastAsia="sans-serif" w:hAnsi="sans-serif" w:cs="sans-serif"/>
          <w:b/>
          <w:bCs/>
          <w:color w:val="000000"/>
          <w:sz w:val="20"/>
          <w:szCs w:val="20"/>
        </w:rPr>
        <w:t>Financial Information by Business Segment and Geographic Data</w:t>
      </w:r>
    </w:p>
    <w:p w14:paraId="27E08A41" w14:textId="77777777" w:rsidR="00A85061" w:rsidRDefault="00F04891">
      <w:pPr>
        <w:spacing w:after="180"/>
        <w:jc w:val="both"/>
      </w:pPr>
      <w:r>
        <w:rPr>
          <w:rFonts w:ascii="sans-serif" w:eastAsia="sans-serif" w:hAnsi="sans-serif" w:cs="sans-serif"/>
          <w:color w:val="000000"/>
          <w:sz w:val="20"/>
          <w:szCs w:val="20"/>
        </w:rPr>
        <w:t xml:space="preserve">Refer to Note 15 of the Notes to Condensed Consolidated Financial Statements for disclosure regarding segment </w:t>
      </w:r>
      <w:r>
        <w:rPr>
          <w:rFonts w:ascii="sans-serif" w:eastAsia="sans-serif" w:hAnsi="sans-serif" w:cs="sans-serif"/>
          <w:color w:val="000000"/>
          <w:sz w:val="20"/>
          <w:szCs w:val="20"/>
        </w:rPr>
        <w:t>information.</w:t>
      </w:r>
    </w:p>
    <w:p w14:paraId="27E08A42" w14:textId="77777777" w:rsidR="00A85061" w:rsidRDefault="00A85061">
      <w:pPr>
        <w:spacing w:before="240" w:after="120"/>
        <w:jc w:val="both"/>
      </w:pPr>
    </w:p>
    <w:p w14:paraId="27E08A43" w14:textId="77777777" w:rsidR="00A85061" w:rsidRDefault="00F04891">
      <w:pPr>
        <w:spacing w:after="180"/>
        <w:jc w:val="center"/>
      </w:pPr>
      <w:r>
        <w:rPr>
          <w:rFonts w:ascii="sans-serif" w:eastAsia="sans-serif" w:hAnsi="sans-serif" w:cs="sans-serif"/>
          <w:color w:val="000000"/>
          <w:sz w:val="20"/>
          <w:szCs w:val="20"/>
        </w:rPr>
        <w:t>26</w:t>
      </w:r>
    </w:p>
    <w:p w14:paraId="27E08A44" w14:textId="77777777" w:rsidR="00A85061" w:rsidRDefault="00F04891">
      <w:r>
        <w:pict w14:anchorId="27E08F0B">
          <v:rect id="_x0000_i1050" style="width:415.3pt;height:1.5pt" o:hralign="center" o:hrstd="t" o:hr="t" fillcolor="#a0a0a0" stroked="f"/>
        </w:pict>
      </w:r>
    </w:p>
    <w:p w14:paraId="27E08A45" w14:textId="77777777" w:rsidR="00A85061" w:rsidRDefault="00A85061">
      <w:pPr>
        <w:spacing w:after="180"/>
        <w:jc w:val="both"/>
      </w:pPr>
    </w:p>
    <w:p w14:paraId="27E08A46" w14:textId="77777777" w:rsidR="00A85061" w:rsidRDefault="00A85061">
      <w:pPr>
        <w:spacing w:after="180"/>
        <w:jc w:val="both"/>
      </w:pPr>
    </w:p>
    <w:p w14:paraId="27E08A47" w14:textId="77777777" w:rsidR="00A85061" w:rsidRDefault="00A85061">
      <w:pPr>
        <w:spacing w:after="180"/>
        <w:jc w:val="both"/>
      </w:pPr>
    </w:p>
    <w:p w14:paraId="27E08A48" w14:textId="77777777" w:rsidR="00A85061" w:rsidRDefault="00F04891">
      <w:pPr>
        <w:spacing w:before="240" w:after="120"/>
        <w:jc w:val="both"/>
      </w:pPr>
      <w:r>
        <w:rPr>
          <w:rFonts w:ascii="sans-serif" w:eastAsia="sans-serif" w:hAnsi="sans-serif" w:cs="sans-serif"/>
          <w:b/>
          <w:bCs/>
          <w:color w:val="76B900"/>
          <w:sz w:val="22"/>
          <w:szCs w:val="22"/>
        </w:rPr>
        <w:t>Results of Operations</w:t>
      </w:r>
    </w:p>
    <w:p w14:paraId="27E08A49" w14:textId="77777777" w:rsidR="00A85061" w:rsidRDefault="00F04891">
      <w:pPr>
        <w:spacing w:after="180"/>
        <w:jc w:val="both"/>
      </w:pPr>
      <w:r>
        <w:rPr>
          <w:rFonts w:ascii="sans-serif" w:eastAsia="sans-serif" w:hAnsi="sans-serif" w:cs="sans-serif"/>
          <w:color w:val="000000"/>
          <w:sz w:val="20"/>
          <w:szCs w:val="20"/>
        </w:rPr>
        <w:t>The 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5686"/>
        <w:gridCol w:w="39"/>
        <w:gridCol w:w="40"/>
        <w:gridCol w:w="908"/>
        <w:gridCol w:w="164"/>
        <w:gridCol w:w="37"/>
        <w:gridCol w:w="36"/>
        <w:gridCol w:w="36"/>
        <w:gridCol w:w="40"/>
        <w:gridCol w:w="859"/>
        <w:gridCol w:w="163"/>
        <w:gridCol w:w="36"/>
        <w:gridCol w:w="36"/>
        <w:gridCol w:w="36"/>
        <w:gridCol w:w="36"/>
        <w:gridCol w:w="36"/>
        <w:gridCol w:w="36"/>
        <w:gridCol w:w="36"/>
        <w:gridCol w:w="36"/>
      </w:tblGrid>
      <w:tr w:rsidR="00A85061" w14:paraId="27E08A5A" w14:textId="77777777">
        <w:tc>
          <w:tcPr>
            <w:tcW w:w="50" w:type="pct"/>
            <w:shd w:val="clear" w:color="auto" w:fill="auto"/>
            <w:vAlign w:val="bottom"/>
          </w:tcPr>
          <w:p w14:paraId="27E08A4A" w14:textId="77777777" w:rsidR="00A85061" w:rsidRDefault="00A85061">
            <w:pPr>
              <w:rPr>
                <w:rFonts w:ascii="宋体"/>
              </w:rPr>
            </w:pPr>
          </w:p>
        </w:tc>
        <w:tc>
          <w:tcPr>
            <w:tcW w:w="3578" w:type="pct"/>
            <w:shd w:val="clear" w:color="auto" w:fill="auto"/>
            <w:vAlign w:val="bottom"/>
          </w:tcPr>
          <w:p w14:paraId="27E08A4B" w14:textId="77777777" w:rsidR="00A85061" w:rsidRDefault="00A85061">
            <w:pPr>
              <w:rPr>
                <w:rFonts w:ascii="宋体"/>
              </w:rPr>
            </w:pPr>
          </w:p>
        </w:tc>
        <w:tc>
          <w:tcPr>
            <w:tcW w:w="5" w:type="pct"/>
            <w:shd w:val="clear" w:color="auto" w:fill="auto"/>
            <w:vAlign w:val="bottom"/>
          </w:tcPr>
          <w:p w14:paraId="27E08A4C" w14:textId="77777777" w:rsidR="00A85061" w:rsidRDefault="00A85061">
            <w:pPr>
              <w:rPr>
                <w:rFonts w:ascii="宋体"/>
              </w:rPr>
            </w:pPr>
          </w:p>
        </w:tc>
        <w:tc>
          <w:tcPr>
            <w:tcW w:w="50" w:type="pct"/>
            <w:shd w:val="clear" w:color="auto" w:fill="auto"/>
            <w:vAlign w:val="bottom"/>
          </w:tcPr>
          <w:p w14:paraId="27E08A4D" w14:textId="77777777" w:rsidR="00A85061" w:rsidRDefault="00A85061">
            <w:pPr>
              <w:rPr>
                <w:rFonts w:ascii="宋体"/>
              </w:rPr>
            </w:pPr>
          </w:p>
        </w:tc>
        <w:tc>
          <w:tcPr>
            <w:tcW w:w="610" w:type="pct"/>
            <w:shd w:val="clear" w:color="auto" w:fill="auto"/>
            <w:vAlign w:val="bottom"/>
          </w:tcPr>
          <w:p w14:paraId="27E08A4E" w14:textId="77777777" w:rsidR="00A85061" w:rsidRDefault="00A85061">
            <w:pPr>
              <w:rPr>
                <w:rFonts w:ascii="宋体"/>
              </w:rPr>
            </w:pPr>
          </w:p>
        </w:tc>
        <w:tc>
          <w:tcPr>
            <w:tcW w:w="5" w:type="pct"/>
            <w:shd w:val="clear" w:color="auto" w:fill="auto"/>
            <w:vAlign w:val="bottom"/>
          </w:tcPr>
          <w:p w14:paraId="27E08A4F" w14:textId="77777777" w:rsidR="00A85061" w:rsidRDefault="00A85061">
            <w:pPr>
              <w:rPr>
                <w:rFonts w:ascii="宋体"/>
              </w:rPr>
            </w:pPr>
          </w:p>
        </w:tc>
        <w:tc>
          <w:tcPr>
            <w:tcW w:w="5" w:type="pct"/>
            <w:shd w:val="clear" w:color="auto" w:fill="auto"/>
            <w:vAlign w:val="bottom"/>
          </w:tcPr>
          <w:p w14:paraId="27E08A50" w14:textId="77777777" w:rsidR="00A85061" w:rsidRDefault="00A85061">
            <w:pPr>
              <w:rPr>
                <w:rFonts w:ascii="宋体"/>
              </w:rPr>
            </w:pPr>
          </w:p>
        </w:tc>
        <w:tc>
          <w:tcPr>
            <w:tcW w:w="26" w:type="pct"/>
            <w:shd w:val="clear" w:color="auto" w:fill="auto"/>
            <w:vAlign w:val="bottom"/>
          </w:tcPr>
          <w:p w14:paraId="27E08A51" w14:textId="77777777" w:rsidR="00A85061" w:rsidRDefault="00A85061">
            <w:pPr>
              <w:rPr>
                <w:rFonts w:ascii="宋体"/>
              </w:rPr>
            </w:pPr>
          </w:p>
        </w:tc>
        <w:tc>
          <w:tcPr>
            <w:tcW w:w="5" w:type="pct"/>
            <w:shd w:val="clear" w:color="auto" w:fill="auto"/>
            <w:vAlign w:val="bottom"/>
          </w:tcPr>
          <w:p w14:paraId="27E08A52" w14:textId="77777777" w:rsidR="00A85061" w:rsidRDefault="00A85061">
            <w:pPr>
              <w:rPr>
                <w:rFonts w:ascii="宋体"/>
              </w:rPr>
            </w:pPr>
          </w:p>
        </w:tc>
        <w:tc>
          <w:tcPr>
            <w:tcW w:w="50" w:type="pct"/>
            <w:shd w:val="clear" w:color="auto" w:fill="auto"/>
            <w:vAlign w:val="bottom"/>
          </w:tcPr>
          <w:p w14:paraId="27E08A53" w14:textId="77777777" w:rsidR="00A85061" w:rsidRDefault="00A85061">
            <w:pPr>
              <w:rPr>
                <w:rFonts w:ascii="宋体"/>
              </w:rPr>
            </w:pPr>
          </w:p>
        </w:tc>
        <w:tc>
          <w:tcPr>
            <w:tcW w:w="610" w:type="pct"/>
            <w:shd w:val="clear" w:color="auto" w:fill="auto"/>
            <w:vAlign w:val="bottom"/>
          </w:tcPr>
          <w:p w14:paraId="27E08A54" w14:textId="77777777" w:rsidR="00A85061" w:rsidRDefault="00A85061">
            <w:pPr>
              <w:rPr>
                <w:rFonts w:ascii="宋体"/>
              </w:rPr>
            </w:pPr>
          </w:p>
        </w:tc>
        <w:tc>
          <w:tcPr>
            <w:tcW w:w="5" w:type="pct"/>
            <w:shd w:val="clear" w:color="auto" w:fill="auto"/>
            <w:vAlign w:val="bottom"/>
          </w:tcPr>
          <w:p w14:paraId="27E08A55" w14:textId="77777777" w:rsidR="00A85061" w:rsidRDefault="00A85061">
            <w:pPr>
              <w:rPr>
                <w:rFonts w:ascii="宋体"/>
              </w:rPr>
            </w:pPr>
          </w:p>
        </w:tc>
        <w:tc>
          <w:tcPr>
            <w:tcW w:w="0" w:type="auto"/>
            <w:shd w:val="clear" w:color="auto" w:fill="auto"/>
            <w:vAlign w:val="bottom"/>
          </w:tcPr>
          <w:p w14:paraId="27E08A56" w14:textId="77777777" w:rsidR="00A85061" w:rsidRDefault="00A85061">
            <w:pPr>
              <w:rPr>
                <w:rFonts w:ascii="宋体"/>
                <w:vanish/>
              </w:rPr>
            </w:pPr>
          </w:p>
        </w:tc>
        <w:tc>
          <w:tcPr>
            <w:tcW w:w="0" w:type="auto"/>
            <w:shd w:val="clear" w:color="auto" w:fill="auto"/>
            <w:vAlign w:val="bottom"/>
          </w:tcPr>
          <w:p w14:paraId="27E08A57" w14:textId="77777777" w:rsidR="00A85061" w:rsidRDefault="00A85061">
            <w:pPr>
              <w:rPr>
                <w:rFonts w:ascii="宋体"/>
                <w:vanish/>
              </w:rPr>
            </w:pPr>
          </w:p>
        </w:tc>
        <w:tc>
          <w:tcPr>
            <w:tcW w:w="0" w:type="auto"/>
            <w:gridSpan w:val="3"/>
            <w:shd w:val="clear" w:color="auto" w:fill="auto"/>
            <w:vAlign w:val="bottom"/>
          </w:tcPr>
          <w:p w14:paraId="27E08A58" w14:textId="77777777" w:rsidR="00A85061" w:rsidRDefault="00A85061">
            <w:pPr>
              <w:rPr>
                <w:rFonts w:ascii="宋体"/>
                <w:vanish/>
              </w:rPr>
            </w:pPr>
          </w:p>
        </w:tc>
        <w:tc>
          <w:tcPr>
            <w:tcW w:w="0" w:type="auto"/>
            <w:gridSpan w:val="3"/>
            <w:shd w:val="clear" w:color="auto" w:fill="auto"/>
            <w:vAlign w:val="bottom"/>
          </w:tcPr>
          <w:p w14:paraId="27E08A59" w14:textId="77777777" w:rsidR="00A85061" w:rsidRDefault="00A85061">
            <w:pPr>
              <w:rPr>
                <w:rFonts w:ascii="宋体"/>
                <w:vanish/>
              </w:rPr>
            </w:pPr>
          </w:p>
        </w:tc>
      </w:tr>
      <w:tr w:rsidR="00A85061" w14:paraId="27E08A65" w14:textId="77777777">
        <w:tc>
          <w:tcPr>
            <w:tcW w:w="0" w:type="auto"/>
            <w:gridSpan w:val="3"/>
            <w:shd w:val="clear" w:color="auto" w:fill="auto"/>
            <w:tcMar>
              <w:top w:w="40" w:type="dxa"/>
              <w:left w:w="20" w:type="dxa"/>
              <w:bottom w:w="40" w:type="dxa"/>
              <w:right w:w="20" w:type="dxa"/>
            </w:tcMar>
            <w:vAlign w:val="bottom"/>
          </w:tcPr>
          <w:p w14:paraId="27E08A5B" w14:textId="77777777" w:rsidR="00A85061" w:rsidRDefault="00F04891">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A5C"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shd w:val="clear" w:color="auto" w:fill="auto"/>
            <w:vAlign w:val="bottom"/>
          </w:tcPr>
          <w:p w14:paraId="27E08A5D" w14:textId="77777777" w:rsidR="00A85061" w:rsidRDefault="00A85061">
            <w:pPr>
              <w:rPr>
                <w:rFonts w:ascii="宋体"/>
                <w:vanish/>
              </w:rPr>
            </w:pPr>
          </w:p>
        </w:tc>
        <w:tc>
          <w:tcPr>
            <w:tcW w:w="0" w:type="auto"/>
            <w:shd w:val="clear" w:color="auto" w:fill="auto"/>
            <w:vAlign w:val="bottom"/>
          </w:tcPr>
          <w:p w14:paraId="27E08A5E" w14:textId="77777777" w:rsidR="00A85061" w:rsidRDefault="00A85061">
            <w:pPr>
              <w:rPr>
                <w:rFonts w:ascii="宋体"/>
                <w:vanish/>
              </w:rPr>
            </w:pPr>
          </w:p>
        </w:tc>
        <w:tc>
          <w:tcPr>
            <w:tcW w:w="0" w:type="auto"/>
            <w:shd w:val="clear" w:color="auto" w:fill="auto"/>
            <w:vAlign w:val="bottom"/>
          </w:tcPr>
          <w:p w14:paraId="27E08A5F" w14:textId="77777777" w:rsidR="00A85061" w:rsidRDefault="00A85061">
            <w:pPr>
              <w:rPr>
                <w:rFonts w:ascii="宋体"/>
              </w:rPr>
            </w:pPr>
          </w:p>
        </w:tc>
        <w:tc>
          <w:tcPr>
            <w:tcW w:w="0" w:type="auto"/>
            <w:shd w:val="clear" w:color="auto" w:fill="auto"/>
            <w:vAlign w:val="bottom"/>
          </w:tcPr>
          <w:p w14:paraId="27E08A60" w14:textId="77777777" w:rsidR="00A85061" w:rsidRDefault="00A85061">
            <w:pPr>
              <w:rPr>
                <w:rFonts w:ascii="宋体"/>
              </w:rPr>
            </w:pPr>
          </w:p>
        </w:tc>
        <w:tc>
          <w:tcPr>
            <w:tcW w:w="0" w:type="auto"/>
            <w:shd w:val="clear" w:color="auto" w:fill="auto"/>
            <w:vAlign w:val="bottom"/>
          </w:tcPr>
          <w:p w14:paraId="27E08A61" w14:textId="77777777" w:rsidR="00A85061" w:rsidRDefault="00A85061">
            <w:pPr>
              <w:rPr>
                <w:rFonts w:ascii="宋体"/>
              </w:rPr>
            </w:pPr>
          </w:p>
        </w:tc>
        <w:tc>
          <w:tcPr>
            <w:tcW w:w="0" w:type="auto"/>
            <w:shd w:val="clear" w:color="auto" w:fill="auto"/>
            <w:vAlign w:val="bottom"/>
          </w:tcPr>
          <w:p w14:paraId="27E08A62" w14:textId="77777777" w:rsidR="00A85061" w:rsidRDefault="00A85061">
            <w:pPr>
              <w:rPr>
                <w:rFonts w:ascii="宋体"/>
              </w:rPr>
            </w:pPr>
          </w:p>
        </w:tc>
        <w:tc>
          <w:tcPr>
            <w:tcW w:w="0" w:type="auto"/>
            <w:shd w:val="clear" w:color="auto" w:fill="auto"/>
            <w:vAlign w:val="bottom"/>
          </w:tcPr>
          <w:p w14:paraId="27E08A63" w14:textId="77777777" w:rsidR="00A85061" w:rsidRDefault="00A85061">
            <w:pPr>
              <w:rPr>
                <w:rFonts w:ascii="宋体"/>
              </w:rPr>
            </w:pPr>
          </w:p>
        </w:tc>
        <w:tc>
          <w:tcPr>
            <w:tcW w:w="0" w:type="auto"/>
            <w:shd w:val="clear" w:color="auto" w:fill="auto"/>
            <w:vAlign w:val="bottom"/>
          </w:tcPr>
          <w:p w14:paraId="27E08A64" w14:textId="77777777" w:rsidR="00A85061" w:rsidRDefault="00A85061">
            <w:pPr>
              <w:rPr>
                <w:rFonts w:ascii="宋体"/>
              </w:rPr>
            </w:pPr>
          </w:p>
        </w:tc>
      </w:tr>
      <w:tr w:rsidR="00A85061" w14:paraId="27E08A6E" w14:textId="77777777">
        <w:tc>
          <w:tcPr>
            <w:tcW w:w="0" w:type="auto"/>
            <w:gridSpan w:val="3"/>
            <w:shd w:val="clear" w:color="auto" w:fill="auto"/>
            <w:tcMar>
              <w:top w:w="40" w:type="dxa"/>
              <w:left w:w="20" w:type="dxa"/>
              <w:bottom w:w="40" w:type="dxa"/>
              <w:right w:w="20" w:type="dxa"/>
            </w:tcMar>
            <w:vAlign w:val="bottom"/>
          </w:tcPr>
          <w:p w14:paraId="27E08A66" w14:textId="77777777" w:rsidR="00A85061" w:rsidRDefault="00F04891">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A67" w14:textId="77777777" w:rsidR="00A85061" w:rsidRDefault="00F04891">
            <w:pPr>
              <w:jc w:val="center"/>
              <w:textAlignment w:val="bottom"/>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A68"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A69" w14:textId="77777777" w:rsidR="00A85061" w:rsidRDefault="00F04891">
            <w:pPr>
              <w:jc w:val="center"/>
              <w:textAlignment w:val="bottom"/>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shd w:val="clear" w:color="auto" w:fill="auto"/>
            <w:vAlign w:val="bottom"/>
          </w:tcPr>
          <w:p w14:paraId="27E08A6A" w14:textId="77777777" w:rsidR="00A85061" w:rsidRDefault="00A85061">
            <w:pPr>
              <w:rPr>
                <w:rFonts w:ascii="宋体"/>
                <w:vanish/>
              </w:rPr>
            </w:pPr>
          </w:p>
        </w:tc>
        <w:tc>
          <w:tcPr>
            <w:tcW w:w="0" w:type="auto"/>
            <w:shd w:val="clear" w:color="auto" w:fill="auto"/>
            <w:vAlign w:val="bottom"/>
          </w:tcPr>
          <w:p w14:paraId="27E08A6B" w14:textId="77777777" w:rsidR="00A85061" w:rsidRDefault="00A85061">
            <w:pPr>
              <w:rPr>
                <w:rFonts w:ascii="宋体"/>
                <w:vanish/>
              </w:rPr>
            </w:pPr>
          </w:p>
        </w:tc>
        <w:tc>
          <w:tcPr>
            <w:tcW w:w="0" w:type="auto"/>
            <w:gridSpan w:val="3"/>
            <w:shd w:val="clear" w:color="auto" w:fill="auto"/>
            <w:vAlign w:val="bottom"/>
          </w:tcPr>
          <w:p w14:paraId="27E08A6C" w14:textId="77777777" w:rsidR="00A85061" w:rsidRDefault="00A85061">
            <w:pPr>
              <w:rPr>
                <w:rFonts w:ascii="宋体"/>
                <w:vanish/>
              </w:rPr>
            </w:pPr>
          </w:p>
        </w:tc>
        <w:tc>
          <w:tcPr>
            <w:tcW w:w="0" w:type="auto"/>
            <w:gridSpan w:val="3"/>
            <w:shd w:val="clear" w:color="auto" w:fill="auto"/>
            <w:vAlign w:val="bottom"/>
          </w:tcPr>
          <w:p w14:paraId="27E08A6D" w14:textId="77777777" w:rsidR="00A85061" w:rsidRDefault="00A85061">
            <w:pPr>
              <w:rPr>
                <w:rFonts w:ascii="宋体"/>
                <w:vanish/>
              </w:rPr>
            </w:pPr>
          </w:p>
        </w:tc>
      </w:tr>
      <w:tr w:rsidR="00A85061" w14:paraId="27E08A79" w14:textId="77777777">
        <w:tc>
          <w:tcPr>
            <w:tcW w:w="0" w:type="auto"/>
            <w:gridSpan w:val="3"/>
            <w:shd w:val="clear" w:color="auto" w:fill="E2EFD9"/>
            <w:tcMar>
              <w:top w:w="40" w:type="dxa"/>
              <w:left w:w="20" w:type="dxa"/>
              <w:bottom w:w="40" w:type="dxa"/>
              <w:right w:w="20" w:type="dxa"/>
            </w:tcMar>
            <w:vAlign w:val="bottom"/>
          </w:tcPr>
          <w:p w14:paraId="27E08A6F" w14:textId="77777777" w:rsidR="00A85061" w:rsidRDefault="00F04891">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70"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71"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27E08A72"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73" w14:textId="77777777" w:rsidR="00A85061" w:rsidRDefault="00F04891">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74" w14:textId="77777777" w:rsidR="00A85061" w:rsidRDefault="00F04891">
            <w:pPr>
              <w:jc w:val="right"/>
              <w:textAlignment w:val="bottom"/>
            </w:pPr>
            <w:r>
              <w:rPr>
                <w:rFonts w:ascii="sans-serif" w:eastAsia="sans-serif" w:hAnsi="sans-serif" w:cs="sans-serif"/>
                <w:color w:val="000000"/>
                <w:sz w:val="20"/>
                <w:szCs w:val="20"/>
              </w:rPr>
              <w:t>%</w:t>
            </w:r>
          </w:p>
        </w:tc>
        <w:tc>
          <w:tcPr>
            <w:tcW w:w="0" w:type="auto"/>
            <w:shd w:val="clear" w:color="auto" w:fill="auto"/>
            <w:vAlign w:val="bottom"/>
          </w:tcPr>
          <w:p w14:paraId="27E08A75" w14:textId="77777777" w:rsidR="00A85061" w:rsidRDefault="00A85061">
            <w:pPr>
              <w:rPr>
                <w:rFonts w:ascii="宋体"/>
                <w:vanish/>
              </w:rPr>
            </w:pPr>
          </w:p>
        </w:tc>
        <w:tc>
          <w:tcPr>
            <w:tcW w:w="0" w:type="auto"/>
            <w:shd w:val="clear" w:color="auto" w:fill="auto"/>
            <w:vAlign w:val="bottom"/>
          </w:tcPr>
          <w:p w14:paraId="27E08A76" w14:textId="77777777" w:rsidR="00A85061" w:rsidRDefault="00A85061">
            <w:pPr>
              <w:rPr>
                <w:rFonts w:ascii="宋体"/>
                <w:vanish/>
              </w:rPr>
            </w:pPr>
          </w:p>
        </w:tc>
        <w:tc>
          <w:tcPr>
            <w:tcW w:w="0" w:type="auto"/>
            <w:gridSpan w:val="3"/>
            <w:shd w:val="clear" w:color="auto" w:fill="auto"/>
            <w:vAlign w:val="bottom"/>
          </w:tcPr>
          <w:p w14:paraId="27E08A77" w14:textId="77777777" w:rsidR="00A85061" w:rsidRDefault="00A85061">
            <w:pPr>
              <w:rPr>
                <w:rFonts w:ascii="宋体"/>
                <w:vanish/>
              </w:rPr>
            </w:pPr>
          </w:p>
        </w:tc>
        <w:tc>
          <w:tcPr>
            <w:tcW w:w="0" w:type="auto"/>
            <w:gridSpan w:val="3"/>
            <w:shd w:val="clear" w:color="auto" w:fill="auto"/>
            <w:vAlign w:val="bottom"/>
          </w:tcPr>
          <w:p w14:paraId="27E08A78" w14:textId="77777777" w:rsidR="00A85061" w:rsidRDefault="00A85061">
            <w:pPr>
              <w:rPr>
                <w:rFonts w:ascii="宋体"/>
                <w:vanish/>
              </w:rPr>
            </w:pPr>
          </w:p>
        </w:tc>
      </w:tr>
      <w:tr w:rsidR="00A85061" w14:paraId="27E08A84" w14:textId="77777777">
        <w:tc>
          <w:tcPr>
            <w:tcW w:w="0" w:type="auto"/>
            <w:gridSpan w:val="3"/>
            <w:shd w:val="clear" w:color="auto" w:fill="FFFFFF"/>
            <w:tcMar>
              <w:top w:w="40" w:type="dxa"/>
              <w:left w:w="20" w:type="dxa"/>
              <w:bottom w:w="40" w:type="dxa"/>
              <w:right w:w="20" w:type="dxa"/>
            </w:tcMar>
            <w:vAlign w:val="bottom"/>
          </w:tcPr>
          <w:p w14:paraId="27E08A7A" w14:textId="77777777" w:rsidR="00A85061" w:rsidRDefault="00F04891">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27E08A7B" w14:textId="77777777" w:rsidR="00A85061" w:rsidRDefault="00F04891">
            <w:pPr>
              <w:jc w:val="right"/>
              <w:textAlignment w:val="bottom"/>
            </w:pPr>
            <w:r>
              <w:rPr>
                <w:rFonts w:ascii="sans-serif" w:eastAsia="sans-serif" w:hAnsi="sans-serif" w:cs="sans-serif"/>
                <w:color w:val="000000"/>
                <w:sz w:val="20"/>
                <w:szCs w:val="20"/>
              </w:rPr>
              <w:t>35.9 </w:t>
            </w:r>
          </w:p>
        </w:tc>
        <w:tc>
          <w:tcPr>
            <w:tcW w:w="0" w:type="auto"/>
            <w:shd w:val="clear" w:color="auto" w:fill="FFFFFF"/>
            <w:tcMar>
              <w:top w:w="40" w:type="dxa"/>
              <w:left w:w="0" w:type="dxa"/>
              <w:bottom w:w="40" w:type="dxa"/>
              <w:right w:w="20" w:type="dxa"/>
            </w:tcMar>
            <w:vAlign w:val="bottom"/>
          </w:tcPr>
          <w:p w14:paraId="27E08A7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7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7E" w14:textId="77777777" w:rsidR="00A85061" w:rsidRDefault="00F04891">
            <w:pPr>
              <w:jc w:val="right"/>
              <w:textAlignment w:val="bottom"/>
            </w:pPr>
            <w:r>
              <w:rPr>
                <w:rFonts w:ascii="sans-serif" w:eastAsia="sans-serif" w:hAnsi="sans-serif" w:cs="sans-serif"/>
                <w:color w:val="000000"/>
                <w:sz w:val="20"/>
                <w:szCs w:val="20"/>
              </w:rPr>
              <w:t>34.9 </w:t>
            </w:r>
          </w:p>
        </w:tc>
        <w:tc>
          <w:tcPr>
            <w:tcW w:w="0" w:type="auto"/>
            <w:shd w:val="clear" w:color="auto" w:fill="FFFFFF"/>
            <w:tcMar>
              <w:top w:w="40" w:type="dxa"/>
              <w:left w:w="0" w:type="dxa"/>
              <w:bottom w:w="40" w:type="dxa"/>
              <w:right w:w="20" w:type="dxa"/>
            </w:tcMar>
            <w:vAlign w:val="bottom"/>
          </w:tcPr>
          <w:p w14:paraId="27E08A7F" w14:textId="77777777" w:rsidR="00A85061" w:rsidRDefault="00A85061">
            <w:pPr>
              <w:jc w:val="right"/>
              <w:rPr>
                <w:rFonts w:ascii="宋体"/>
              </w:rPr>
            </w:pPr>
          </w:p>
        </w:tc>
        <w:tc>
          <w:tcPr>
            <w:tcW w:w="0" w:type="auto"/>
            <w:shd w:val="clear" w:color="auto" w:fill="auto"/>
            <w:vAlign w:val="bottom"/>
          </w:tcPr>
          <w:p w14:paraId="27E08A80" w14:textId="77777777" w:rsidR="00A85061" w:rsidRDefault="00A85061">
            <w:pPr>
              <w:rPr>
                <w:rFonts w:ascii="宋体"/>
                <w:vanish/>
              </w:rPr>
            </w:pPr>
          </w:p>
        </w:tc>
        <w:tc>
          <w:tcPr>
            <w:tcW w:w="0" w:type="auto"/>
            <w:shd w:val="clear" w:color="auto" w:fill="auto"/>
            <w:vAlign w:val="bottom"/>
          </w:tcPr>
          <w:p w14:paraId="27E08A81" w14:textId="77777777" w:rsidR="00A85061" w:rsidRDefault="00A85061">
            <w:pPr>
              <w:rPr>
                <w:rFonts w:ascii="宋体"/>
                <w:vanish/>
              </w:rPr>
            </w:pPr>
          </w:p>
        </w:tc>
        <w:tc>
          <w:tcPr>
            <w:tcW w:w="0" w:type="auto"/>
            <w:gridSpan w:val="3"/>
            <w:shd w:val="clear" w:color="auto" w:fill="auto"/>
            <w:vAlign w:val="bottom"/>
          </w:tcPr>
          <w:p w14:paraId="27E08A82" w14:textId="77777777" w:rsidR="00A85061" w:rsidRDefault="00A85061">
            <w:pPr>
              <w:rPr>
                <w:rFonts w:ascii="宋体"/>
                <w:vanish/>
              </w:rPr>
            </w:pPr>
          </w:p>
        </w:tc>
        <w:tc>
          <w:tcPr>
            <w:tcW w:w="0" w:type="auto"/>
            <w:gridSpan w:val="3"/>
            <w:shd w:val="clear" w:color="auto" w:fill="auto"/>
            <w:vAlign w:val="bottom"/>
          </w:tcPr>
          <w:p w14:paraId="27E08A83" w14:textId="77777777" w:rsidR="00A85061" w:rsidRDefault="00A85061">
            <w:pPr>
              <w:rPr>
                <w:rFonts w:ascii="宋体"/>
                <w:vanish/>
              </w:rPr>
            </w:pPr>
          </w:p>
        </w:tc>
      </w:tr>
      <w:tr w:rsidR="00A85061" w14:paraId="27E08A8F" w14:textId="77777777">
        <w:tc>
          <w:tcPr>
            <w:tcW w:w="0" w:type="auto"/>
            <w:gridSpan w:val="3"/>
            <w:shd w:val="clear" w:color="auto" w:fill="E2EFD9"/>
            <w:tcMar>
              <w:top w:w="40" w:type="dxa"/>
              <w:left w:w="20" w:type="dxa"/>
              <w:bottom w:w="40" w:type="dxa"/>
              <w:right w:w="20" w:type="dxa"/>
            </w:tcMar>
            <w:vAlign w:val="bottom"/>
          </w:tcPr>
          <w:p w14:paraId="27E08A85" w14:textId="77777777" w:rsidR="00A85061" w:rsidRDefault="00F04891">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86" w14:textId="77777777" w:rsidR="00A85061" w:rsidRDefault="00F04891">
            <w:pPr>
              <w:jc w:val="right"/>
              <w:textAlignment w:val="bottom"/>
            </w:pPr>
            <w:r>
              <w:rPr>
                <w:rFonts w:ascii="sans-serif" w:eastAsia="sans-serif" w:hAnsi="sans-serif" w:cs="sans-serif"/>
                <w:color w:val="000000"/>
                <w:sz w:val="20"/>
                <w:szCs w:val="20"/>
              </w:rPr>
              <w:t>64.1 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8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88"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89" w14:textId="77777777" w:rsidR="00A85061" w:rsidRDefault="00F04891">
            <w:pPr>
              <w:jc w:val="right"/>
              <w:textAlignment w:val="bottom"/>
            </w:pPr>
            <w:r>
              <w:rPr>
                <w:rFonts w:ascii="sans-serif" w:eastAsia="sans-serif" w:hAnsi="sans-serif" w:cs="sans-serif"/>
                <w:color w:val="000000"/>
                <w:sz w:val="20"/>
                <w:szCs w:val="20"/>
              </w:rPr>
              <w:t>65.1 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8A" w14:textId="77777777" w:rsidR="00A85061" w:rsidRDefault="00A85061">
            <w:pPr>
              <w:jc w:val="right"/>
              <w:rPr>
                <w:rFonts w:ascii="宋体"/>
              </w:rPr>
            </w:pPr>
          </w:p>
        </w:tc>
        <w:tc>
          <w:tcPr>
            <w:tcW w:w="0" w:type="auto"/>
            <w:shd w:val="clear" w:color="auto" w:fill="auto"/>
            <w:vAlign w:val="bottom"/>
          </w:tcPr>
          <w:p w14:paraId="27E08A8B" w14:textId="77777777" w:rsidR="00A85061" w:rsidRDefault="00A85061">
            <w:pPr>
              <w:rPr>
                <w:rFonts w:ascii="宋体"/>
                <w:vanish/>
              </w:rPr>
            </w:pPr>
          </w:p>
        </w:tc>
        <w:tc>
          <w:tcPr>
            <w:tcW w:w="0" w:type="auto"/>
            <w:shd w:val="clear" w:color="auto" w:fill="auto"/>
            <w:vAlign w:val="bottom"/>
          </w:tcPr>
          <w:p w14:paraId="27E08A8C" w14:textId="77777777" w:rsidR="00A85061" w:rsidRDefault="00A85061">
            <w:pPr>
              <w:rPr>
                <w:rFonts w:ascii="宋体"/>
                <w:vanish/>
              </w:rPr>
            </w:pPr>
          </w:p>
        </w:tc>
        <w:tc>
          <w:tcPr>
            <w:tcW w:w="0" w:type="auto"/>
            <w:gridSpan w:val="3"/>
            <w:shd w:val="clear" w:color="auto" w:fill="auto"/>
            <w:vAlign w:val="bottom"/>
          </w:tcPr>
          <w:p w14:paraId="27E08A8D" w14:textId="77777777" w:rsidR="00A85061" w:rsidRDefault="00A85061">
            <w:pPr>
              <w:rPr>
                <w:rFonts w:ascii="宋体"/>
                <w:vanish/>
              </w:rPr>
            </w:pPr>
          </w:p>
        </w:tc>
        <w:tc>
          <w:tcPr>
            <w:tcW w:w="0" w:type="auto"/>
            <w:gridSpan w:val="3"/>
            <w:shd w:val="clear" w:color="auto" w:fill="auto"/>
            <w:vAlign w:val="bottom"/>
          </w:tcPr>
          <w:p w14:paraId="27E08A8E" w14:textId="77777777" w:rsidR="00A85061" w:rsidRDefault="00A85061">
            <w:pPr>
              <w:rPr>
                <w:rFonts w:ascii="宋体"/>
                <w:vanish/>
              </w:rPr>
            </w:pPr>
          </w:p>
        </w:tc>
      </w:tr>
      <w:tr w:rsidR="00A85061" w14:paraId="27E08A98" w14:textId="77777777">
        <w:tc>
          <w:tcPr>
            <w:tcW w:w="0" w:type="auto"/>
            <w:gridSpan w:val="3"/>
            <w:shd w:val="clear" w:color="auto" w:fill="FFFFFF"/>
            <w:tcMar>
              <w:top w:w="40" w:type="dxa"/>
              <w:left w:w="20" w:type="dxa"/>
              <w:bottom w:w="40" w:type="dxa"/>
              <w:right w:w="20" w:type="dxa"/>
            </w:tcMar>
            <w:vAlign w:val="bottom"/>
          </w:tcPr>
          <w:p w14:paraId="27E08A90" w14:textId="77777777" w:rsidR="00A85061" w:rsidRDefault="00F04891">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27E08A91" w14:textId="77777777" w:rsidR="00A85061" w:rsidRDefault="00F04891">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27E08A92"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A93" w14:textId="77777777" w:rsidR="00A85061" w:rsidRDefault="00A85061">
            <w:pPr>
              <w:rPr>
                <w:rFonts w:ascii="宋体"/>
              </w:rPr>
            </w:pPr>
          </w:p>
        </w:tc>
        <w:tc>
          <w:tcPr>
            <w:tcW w:w="0" w:type="auto"/>
            <w:shd w:val="clear" w:color="auto" w:fill="auto"/>
            <w:vAlign w:val="bottom"/>
          </w:tcPr>
          <w:p w14:paraId="27E08A94" w14:textId="77777777" w:rsidR="00A85061" w:rsidRDefault="00A85061">
            <w:pPr>
              <w:rPr>
                <w:rFonts w:ascii="宋体"/>
                <w:vanish/>
              </w:rPr>
            </w:pPr>
          </w:p>
        </w:tc>
        <w:tc>
          <w:tcPr>
            <w:tcW w:w="0" w:type="auto"/>
            <w:shd w:val="clear" w:color="auto" w:fill="auto"/>
            <w:vAlign w:val="bottom"/>
          </w:tcPr>
          <w:p w14:paraId="27E08A95" w14:textId="77777777" w:rsidR="00A85061" w:rsidRDefault="00A85061">
            <w:pPr>
              <w:rPr>
                <w:rFonts w:ascii="宋体"/>
                <w:vanish/>
              </w:rPr>
            </w:pPr>
          </w:p>
        </w:tc>
        <w:tc>
          <w:tcPr>
            <w:tcW w:w="0" w:type="auto"/>
            <w:gridSpan w:val="3"/>
            <w:shd w:val="clear" w:color="auto" w:fill="auto"/>
            <w:vAlign w:val="bottom"/>
          </w:tcPr>
          <w:p w14:paraId="27E08A96" w14:textId="77777777" w:rsidR="00A85061" w:rsidRDefault="00A85061">
            <w:pPr>
              <w:rPr>
                <w:rFonts w:ascii="宋体"/>
                <w:vanish/>
              </w:rPr>
            </w:pPr>
          </w:p>
        </w:tc>
        <w:tc>
          <w:tcPr>
            <w:tcW w:w="0" w:type="auto"/>
            <w:gridSpan w:val="3"/>
            <w:shd w:val="clear" w:color="auto" w:fill="auto"/>
            <w:vAlign w:val="bottom"/>
          </w:tcPr>
          <w:p w14:paraId="27E08A97" w14:textId="77777777" w:rsidR="00A85061" w:rsidRDefault="00A85061">
            <w:pPr>
              <w:rPr>
                <w:rFonts w:ascii="宋体"/>
                <w:vanish/>
              </w:rPr>
            </w:pPr>
          </w:p>
        </w:tc>
      </w:tr>
      <w:tr w:rsidR="00A85061" w14:paraId="27E08AA3" w14:textId="77777777">
        <w:tc>
          <w:tcPr>
            <w:tcW w:w="0" w:type="auto"/>
            <w:gridSpan w:val="3"/>
            <w:shd w:val="clear" w:color="auto" w:fill="E2EFD9"/>
            <w:tcMar>
              <w:top w:w="40" w:type="dxa"/>
              <w:left w:w="20" w:type="dxa"/>
              <w:bottom w:w="40" w:type="dxa"/>
              <w:right w:w="20" w:type="dxa"/>
            </w:tcMar>
            <w:vAlign w:val="bottom"/>
          </w:tcPr>
          <w:p w14:paraId="27E08A99" w14:textId="77777777" w:rsidR="00A85061" w:rsidRDefault="00F04891">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27E08A9A" w14:textId="77777777" w:rsidR="00A85061" w:rsidRDefault="00F04891">
            <w:pPr>
              <w:jc w:val="right"/>
              <w:textAlignment w:val="bottom"/>
            </w:pPr>
            <w:r>
              <w:rPr>
                <w:rFonts w:ascii="sans-serif" w:eastAsia="sans-serif" w:hAnsi="sans-serif" w:cs="sans-serif"/>
                <w:color w:val="000000"/>
                <w:sz w:val="20"/>
                <w:szCs w:val="20"/>
              </w:rPr>
              <w:t>20.4 </w:t>
            </w:r>
          </w:p>
        </w:tc>
        <w:tc>
          <w:tcPr>
            <w:tcW w:w="0" w:type="auto"/>
            <w:shd w:val="clear" w:color="auto" w:fill="E2EFD9"/>
            <w:tcMar>
              <w:top w:w="40" w:type="dxa"/>
              <w:left w:w="0" w:type="dxa"/>
              <w:bottom w:w="40" w:type="dxa"/>
              <w:right w:w="20" w:type="dxa"/>
            </w:tcMar>
            <w:vAlign w:val="bottom"/>
          </w:tcPr>
          <w:p w14:paraId="27E08A9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9C"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A9D" w14:textId="77777777" w:rsidR="00A85061" w:rsidRDefault="00F04891">
            <w:pPr>
              <w:jc w:val="right"/>
              <w:textAlignment w:val="bottom"/>
            </w:pPr>
            <w:r>
              <w:rPr>
                <w:rFonts w:ascii="sans-serif" w:eastAsia="sans-serif" w:hAnsi="sans-serif" w:cs="sans-serif"/>
                <w:color w:val="000000"/>
                <w:sz w:val="20"/>
                <w:szCs w:val="20"/>
              </w:rPr>
              <w:t>23.9 </w:t>
            </w:r>
          </w:p>
        </w:tc>
        <w:tc>
          <w:tcPr>
            <w:tcW w:w="0" w:type="auto"/>
            <w:shd w:val="clear" w:color="auto" w:fill="E2EFD9"/>
            <w:tcMar>
              <w:top w:w="40" w:type="dxa"/>
              <w:left w:w="0" w:type="dxa"/>
              <w:bottom w:w="40" w:type="dxa"/>
              <w:right w:w="20" w:type="dxa"/>
            </w:tcMar>
            <w:vAlign w:val="bottom"/>
          </w:tcPr>
          <w:p w14:paraId="27E08A9E" w14:textId="77777777" w:rsidR="00A85061" w:rsidRDefault="00A85061">
            <w:pPr>
              <w:jc w:val="right"/>
              <w:rPr>
                <w:rFonts w:ascii="宋体"/>
              </w:rPr>
            </w:pPr>
          </w:p>
        </w:tc>
        <w:tc>
          <w:tcPr>
            <w:tcW w:w="0" w:type="auto"/>
            <w:shd w:val="clear" w:color="auto" w:fill="auto"/>
            <w:vAlign w:val="bottom"/>
          </w:tcPr>
          <w:p w14:paraId="27E08A9F" w14:textId="77777777" w:rsidR="00A85061" w:rsidRDefault="00A85061">
            <w:pPr>
              <w:rPr>
                <w:rFonts w:ascii="宋体"/>
                <w:vanish/>
              </w:rPr>
            </w:pPr>
          </w:p>
        </w:tc>
        <w:tc>
          <w:tcPr>
            <w:tcW w:w="0" w:type="auto"/>
            <w:shd w:val="clear" w:color="auto" w:fill="auto"/>
            <w:vAlign w:val="bottom"/>
          </w:tcPr>
          <w:p w14:paraId="27E08AA0" w14:textId="77777777" w:rsidR="00A85061" w:rsidRDefault="00A85061">
            <w:pPr>
              <w:rPr>
                <w:rFonts w:ascii="宋体"/>
                <w:vanish/>
              </w:rPr>
            </w:pPr>
          </w:p>
        </w:tc>
        <w:tc>
          <w:tcPr>
            <w:tcW w:w="0" w:type="auto"/>
            <w:gridSpan w:val="3"/>
            <w:shd w:val="clear" w:color="auto" w:fill="auto"/>
            <w:vAlign w:val="bottom"/>
          </w:tcPr>
          <w:p w14:paraId="27E08AA1" w14:textId="77777777" w:rsidR="00A85061" w:rsidRDefault="00A85061">
            <w:pPr>
              <w:rPr>
                <w:rFonts w:ascii="宋体"/>
                <w:vanish/>
              </w:rPr>
            </w:pPr>
          </w:p>
        </w:tc>
        <w:tc>
          <w:tcPr>
            <w:tcW w:w="0" w:type="auto"/>
            <w:gridSpan w:val="3"/>
            <w:shd w:val="clear" w:color="auto" w:fill="auto"/>
            <w:vAlign w:val="bottom"/>
          </w:tcPr>
          <w:p w14:paraId="27E08AA2" w14:textId="77777777" w:rsidR="00A85061" w:rsidRDefault="00A85061">
            <w:pPr>
              <w:rPr>
                <w:rFonts w:ascii="宋体"/>
                <w:vanish/>
              </w:rPr>
            </w:pPr>
          </w:p>
        </w:tc>
      </w:tr>
      <w:tr w:rsidR="00A85061" w14:paraId="27E08AAE" w14:textId="77777777">
        <w:tc>
          <w:tcPr>
            <w:tcW w:w="0" w:type="auto"/>
            <w:gridSpan w:val="3"/>
            <w:shd w:val="clear" w:color="auto" w:fill="FFFFFF"/>
            <w:tcMar>
              <w:top w:w="40" w:type="dxa"/>
              <w:left w:w="20" w:type="dxa"/>
              <w:bottom w:w="40" w:type="dxa"/>
              <w:right w:w="20" w:type="dxa"/>
            </w:tcMar>
            <w:vAlign w:val="bottom"/>
          </w:tcPr>
          <w:p w14:paraId="27E08AA4" w14:textId="77777777" w:rsidR="00A85061" w:rsidRDefault="00F04891">
            <w:pPr>
              <w:textAlignment w:val="bottom"/>
            </w:pPr>
            <w:r>
              <w:rPr>
                <w:rFonts w:ascii="sans-serif" w:eastAsia="sans-serif" w:hAnsi="sans-serif" w:cs="sans-serif"/>
                <w:color w:val="000000"/>
                <w:sz w:val="20"/>
                <w:szCs w:val="20"/>
              </w:rPr>
              <w:t xml:space="preserve">     Sales, general and </w:t>
            </w:r>
            <w:r>
              <w:rPr>
                <w:rFonts w:ascii="sans-serif" w:eastAsia="sans-serif" w:hAnsi="sans-serif" w:cs="sans-serif"/>
                <w:color w:val="000000"/>
                <w:sz w:val="20"/>
                <w:szCs w:val="20"/>
              </w:rPr>
              <w:t>administrative</w:t>
            </w:r>
          </w:p>
        </w:tc>
        <w:tc>
          <w:tcPr>
            <w:tcW w:w="0" w:type="auto"/>
            <w:gridSpan w:val="2"/>
            <w:shd w:val="clear" w:color="auto" w:fill="FFFFFF"/>
            <w:tcMar>
              <w:top w:w="40" w:type="dxa"/>
              <w:left w:w="20" w:type="dxa"/>
              <w:bottom w:w="40" w:type="dxa"/>
              <w:right w:w="0" w:type="dxa"/>
            </w:tcMar>
            <w:vAlign w:val="bottom"/>
          </w:tcPr>
          <w:p w14:paraId="27E08AA5" w14:textId="77777777" w:rsidR="00A85061" w:rsidRDefault="00F04891">
            <w:pPr>
              <w:jc w:val="right"/>
              <w:textAlignment w:val="bottom"/>
            </w:pPr>
            <w:r>
              <w:rPr>
                <w:rFonts w:ascii="sans-serif" w:eastAsia="sans-serif" w:hAnsi="sans-serif" w:cs="sans-serif"/>
                <w:color w:val="000000"/>
                <w:sz w:val="20"/>
                <w:szCs w:val="20"/>
              </w:rPr>
              <w:t>9.2 </w:t>
            </w:r>
          </w:p>
        </w:tc>
        <w:tc>
          <w:tcPr>
            <w:tcW w:w="0" w:type="auto"/>
            <w:shd w:val="clear" w:color="auto" w:fill="FFFFFF"/>
            <w:tcMar>
              <w:top w:w="40" w:type="dxa"/>
              <w:left w:w="0" w:type="dxa"/>
              <w:bottom w:w="40" w:type="dxa"/>
              <w:right w:w="20" w:type="dxa"/>
            </w:tcMar>
            <w:vAlign w:val="bottom"/>
          </w:tcPr>
          <w:p w14:paraId="27E08AA6"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A7"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A8" w14:textId="77777777" w:rsidR="00A85061" w:rsidRDefault="00F04891">
            <w:pPr>
              <w:jc w:val="right"/>
              <w:textAlignment w:val="bottom"/>
            </w:pPr>
            <w:r>
              <w:rPr>
                <w:rFonts w:ascii="sans-serif" w:eastAsia="sans-serif" w:hAnsi="sans-serif" w:cs="sans-serif"/>
                <w:color w:val="000000"/>
                <w:sz w:val="20"/>
                <w:szCs w:val="20"/>
              </w:rPr>
              <w:t>9.5 </w:t>
            </w:r>
          </w:p>
        </w:tc>
        <w:tc>
          <w:tcPr>
            <w:tcW w:w="0" w:type="auto"/>
            <w:shd w:val="clear" w:color="auto" w:fill="FFFFFF"/>
            <w:tcMar>
              <w:top w:w="40" w:type="dxa"/>
              <w:left w:w="0" w:type="dxa"/>
              <w:bottom w:w="40" w:type="dxa"/>
              <w:right w:w="20" w:type="dxa"/>
            </w:tcMar>
            <w:vAlign w:val="bottom"/>
          </w:tcPr>
          <w:p w14:paraId="27E08AA9" w14:textId="77777777" w:rsidR="00A85061" w:rsidRDefault="00A85061">
            <w:pPr>
              <w:jc w:val="right"/>
              <w:rPr>
                <w:rFonts w:ascii="宋体"/>
              </w:rPr>
            </w:pPr>
          </w:p>
        </w:tc>
        <w:tc>
          <w:tcPr>
            <w:tcW w:w="0" w:type="auto"/>
            <w:shd w:val="clear" w:color="auto" w:fill="auto"/>
            <w:vAlign w:val="bottom"/>
          </w:tcPr>
          <w:p w14:paraId="27E08AAA" w14:textId="77777777" w:rsidR="00A85061" w:rsidRDefault="00A85061">
            <w:pPr>
              <w:rPr>
                <w:rFonts w:ascii="宋体"/>
                <w:vanish/>
              </w:rPr>
            </w:pPr>
          </w:p>
        </w:tc>
        <w:tc>
          <w:tcPr>
            <w:tcW w:w="0" w:type="auto"/>
            <w:shd w:val="clear" w:color="auto" w:fill="auto"/>
            <w:vAlign w:val="bottom"/>
          </w:tcPr>
          <w:p w14:paraId="27E08AAB" w14:textId="77777777" w:rsidR="00A85061" w:rsidRDefault="00A85061">
            <w:pPr>
              <w:rPr>
                <w:rFonts w:ascii="宋体"/>
                <w:vanish/>
              </w:rPr>
            </w:pPr>
          </w:p>
        </w:tc>
        <w:tc>
          <w:tcPr>
            <w:tcW w:w="0" w:type="auto"/>
            <w:gridSpan w:val="3"/>
            <w:shd w:val="clear" w:color="auto" w:fill="auto"/>
            <w:vAlign w:val="bottom"/>
          </w:tcPr>
          <w:p w14:paraId="27E08AAC" w14:textId="77777777" w:rsidR="00A85061" w:rsidRDefault="00A85061">
            <w:pPr>
              <w:rPr>
                <w:rFonts w:ascii="宋体"/>
                <w:vanish/>
              </w:rPr>
            </w:pPr>
          </w:p>
        </w:tc>
        <w:tc>
          <w:tcPr>
            <w:tcW w:w="0" w:type="auto"/>
            <w:gridSpan w:val="3"/>
            <w:shd w:val="clear" w:color="auto" w:fill="auto"/>
            <w:vAlign w:val="bottom"/>
          </w:tcPr>
          <w:p w14:paraId="27E08AAD" w14:textId="77777777" w:rsidR="00A85061" w:rsidRDefault="00A85061">
            <w:pPr>
              <w:rPr>
                <w:rFonts w:ascii="宋体"/>
                <w:vanish/>
              </w:rPr>
            </w:pPr>
          </w:p>
        </w:tc>
      </w:tr>
      <w:tr w:rsidR="00A85061" w14:paraId="27E08AB7" w14:textId="77777777">
        <w:trPr>
          <w:hidden/>
        </w:trPr>
        <w:tc>
          <w:tcPr>
            <w:tcW w:w="0" w:type="auto"/>
            <w:gridSpan w:val="3"/>
            <w:shd w:val="clear" w:color="auto" w:fill="auto"/>
            <w:vAlign w:val="bottom"/>
          </w:tcPr>
          <w:p w14:paraId="27E08AAF" w14:textId="77777777" w:rsidR="00A85061" w:rsidRDefault="00A85061">
            <w:pPr>
              <w:rPr>
                <w:rFonts w:ascii="宋体"/>
                <w:vanish/>
              </w:rPr>
            </w:pPr>
          </w:p>
        </w:tc>
        <w:tc>
          <w:tcPr>
            <w:tcW w:w="0" w:type="auto"/>
            <w:gridSpan w:val="3"/>
            <w:shd w:val="clear" w:color="auto" w:fill="auto"/>
            <w:vAlign w:val="bottom"/>
          </w:tcPr>
          <w:p w14:paraId="27E08AB0" w14:textId="77777777" w:rsidR="00A85061" w:rsidRDefault="00A85061">
            <w:pPr>
              <w:rPr>
                <w:rFonts w:ascii="宋体"/>
                <w:vanish/>
              </w:rPr>
            </w:pPr>
          </w:p>
        </w:tc>
        <w:tc>
          <w:tcPr>
            <w:tcW w:w="0" w:type="auto"/>
            <w:gridSpan w:val="3"/>
            <w:shd w:val="clear" w:color="auto" w:fill="auto"/>
            <w:vAlign w:val="bottom"/>
          </w:tcPr>
          <w:p w14:paraId="27E08AB1" w14:textId="77777777" w:rsidR="00A85061" w:rsidRDefault="00A85061">
            <w:pPr>
              <w:rPr>
                <w:rFonts w:ascii="宋体"/>
                <w:vanish/>
              </w:rPr>
            </w:pPr>
          </w:p>
        </w:tc>
        <w:tc>
          <w:tcPr>
            <w:tcW w:w="0" w:type="auto"/>
            <w:gridSpan w:val="3"/>
            <w:shd w:val="clear" w:color="auto" w:fill="auto"/>
            <w:vAlign w:val="bottom"/>
          </w:tcPr>
          <w:p w14:paraId="27E08AB2" w14:textId="77777777" w:rsidR="00A85061" w:rsidRDefault="00A85061">
            <w:pPr>
              <w:rPr>
                <w:rFonts w:ascii="宋体"/>
                <w:vanish/>
              </w:rPr>
            </w:pPr>
          </w:p>
        </w:tc>
        <w:tc>
          <w:tcPr>
            <w:tcW w:w="0" w:type="auto"/>
            <w:shd w:val="clear" w:color="auto" w:fill="auto"/>
            <w:vAlign w:val="bottom"/>
          </w:tcPr>
          <w:p w14:paraId="27E08AB3" w14:textId="77777777" w:rsidR="00A85061" w:rsidRDefault="00A85061">
            <w:pPr>
              <w:rPr>
                <w:rFonts w:ascii="宋体"/>
                <w:vanish/>
              </w:rPr>
            </w:pPr>
          </w:p>
        </w:tc>
        <w:tc>
          <w:tcPr>
            <w:tcW w:w="0" w:type="auto"/>
            <w:shd w:val="clear" w:color="auto" w:fill="auto"/>
            <w:vAlign w:val="bottom"/>
          </w:tcPr>
          <w:p w14:paraId="27E08AB4" w14:textId="77777777" w:rsidR="00A85061" w:rsidRDefault="00A85061">
            <w:pPr>
              <w:rPr>
                <w:rFonts w:ascii="宋体"/>
                <w:vanish/>
              </w:rPr>
            </w:pPr>
          </w:p>
        </w:tc>
        <w:tc>
          <w:tcPr>
            <w:tcW w:w="0" w:type="auto"/>
            <w:gridSpan w:val="3"/>
            <w:shd w:val="clear" w:color="auto" w:fill="auto"/>
            <w:vAlign w:val="bottom"/>
          </w:tcPr>
          <w:p w14:paraId="27E08AB5" w14:textId="77777777" w:rsidR="00A85061" w:rsidRDefault="00A85061">
            <w:pPr>
              <w:rPr>
                <w:rFonts w:ascii="宋体"/>
                <w:vanish/>
              </w:rPr>
            </w:pPr>
          </w:p>
        </w:tc>
        <w:tc>
          <w:tcPr>
            <w:tcW w:w="0" w:type="auto"/>
            <w:gridSpan w:val="3"/>
            <w:shd w:val="clear" w:color="auto" w:fill="auto"/>
            <w:vAlign w:val="bottom"/>
          </w:tcPr>
          <w:p w14:paraId="27E08AB6" w14:textId="77777777" w:rsidR="00A85061" w:rsidRDefault="00A85061">
            <w:pPr>
              <w:rPr>
                <w:rFonts w:ascii="宋体"/>
                <w:vanish/>
              </w:rPr>
            </w:pPr>
          </w:p>
        </w:tc>
      </w:tr>
      <w:tr w:rsidR="00A85061" w14:paraId="27E08AC2" w14:textId="77777777">
        <w:tc>
          <w:tcPr>
            <w:tcW w:w="0" w:type="auto"/>
            <w:gridSpan w:val="3"/>
            <w:shd w:val="clear" w:color="auto" w:fill="E2EFD9"/>
            <w:tcMar>
              <w:top w:w="40" w:type="dxa"/>
              <w:left w:w="20" w:type="dxa"/>
              <w:bottom w:w="40" w:type="dxa"/>
              <w:right w:w="20" w:type="dxa"/>
            </w:tcMar>
            <w:vAlign w:val="bottom"/>
          </w:tcPr>
          <w:p w14:paraId="27E08AB8" w14:textId="77777777" w:rsidR="00A85061" w:rsidRDefault="00F04891">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B9" w14:textId="77777777" w:rsidR="00A85061" w:rsidRDefault="00F04891">
            <w:pPr>
              <w:jc w:val="right"/>
              <w:textAlignment w:val="bottom"/>
            </w:pPr>
            <w:r>
              <w:rPr>
                <w:rFonts w:ascii="sans-serif" w:eastAsia="sans-serif" w:hAnsi="sans-serif" w:cs="sans-serif"/>
                <w:color w:val="000000"/>
                <w:sz w:val="20"/>
                <w:szCs w:val="20"/>
              </w:rPr>
              <w:t>29.6 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B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BB"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BC" w14:textId="77777777" w:rsidR="00A85061" w:rsidRDefault="00F04891">
            <w:pPr>
              <w:jc w:val="right"/>
              <w:textAlignment w:val="bottom"/>
            </w:pPr>
            <w:r>
              <w:rPr>
                <w:rFonts w:ascii="sans-serif" w:eastAsia="sans-serif" w:hAnsi="sans-serif" w:cs="sans-serif"/>
                <w:color w:val="000000"/>
                <w:sz w:val="20"/>
                <w:szCs w:val="20"/>
              </w:rPr>
              <w:t>33.4 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BD" w14:textId="77777777" w:rsidR="00A85061" w:rsidRDefault="00A85061">
            <w:pPr>
              <w:jc w:val="right"/>
              <w:rPr>
                <w:rFonts w:ascii="宋体"/>
              </w:rPr>
            </w:pPr>
          </w:p>
        </w:tc>
        <w:tc>
          <w:tcPr>
            <w:tcW w:w="0" w:type="auto"/>
            <w:shd w:val="clear" w:color="auto" w:fill="auto"/>
            <w:vAlign w:val="bottom"/>
          </w:tcPr>
          <w:p w14:paraId="27E08ABE" w14:textId="77777777" w:rsidR="00A85061" w:rsidRDefault="00A85061">
            <w:pPr>
              <w:rPr>
                <w:rFonts w:ascii="宋体"/>
                <w:vanish/>
              </w:rPr>
            </w:pPr>
          </w:p>
        </w:tc>
        <w:tc>
          <w:tcPr>
            <w:tcW w:w="0" w:type="auto"/>
            <w:shd w:val="clear" w:color="auto" w:fill="auto"/>
            <w:vAlign w:val="bottom"/>
          </w:tcPr>
          <w:p w14:paraId="27E08ABF" w14:textId="77777777" w:rsidR="00A85061" w:rsidRDefault="00A85061">
            <w:pPr>
              <w:rPr>
                <w:rFonts w:ascii="宋体"/>
                <w:vanish/>
              </w:rPr>
            </w:pPr>
          </w:p>
        </w:tc>
        <w:tc>
          <w:tcPr>
            <w:tcW w:w="0" w:type="auto"/>
            <w:gridSpan w:val="3"/>
            <w:shd w:val="clear" w:color="auto" w:fill="auto"/>
            <w:vAlign w:val="bottom"/>
          </w:tcPr>
          <w:p w14:paraId="27E08AC0" w14:textId="77777777" w:rsidR="00A85061" w:rsidRDefault="00A85061">
            <w:pPr>
              <w:rPr>
                <w:rFonts w:ascii="宋体"/>
                <w:vanish/>
              </w:rPr>
            </w:pPr>
          </w:p>
        </w:tc>
        <w:tc>
          <w:tcPr>
            <w:tcW w:w="0" w:type="auto"/>
            <w:gridSpan w:val="3"/>
            <w:shd w:val="clear" w:color="auto" w:fill="auto"/>
            <w:vAlign w:val="bottom"/>
          </w:tcPr>
          <w:p w14:paraId="27E08AC1" w14:textId="77777777" w:rsidR="00A85061" w:rsidRDefault="00A85061">
            <w:pPr>
              <w:rPr>
                <w:rFonts w:ascii="宋体"/>
                <w:vanish/>
              </w:rPr>
            </w:pPr>
          </w:p>
        </w:tc>
      </w:tr>
      <w:tr w:rsidR="00A85061" w14:paraId="27E08ACD" w14:textId="77777777">
        <w:tc>
          <w:tcPr>
            <w:tcW w:w="0" w:type="auto"/>
            <w:gridSpan w:val="3"/>
            <w:shd w:val="clear" w:color="auto" w:fill="FFFFFF"/>
            <w:tcMar>
              <w:top w:w="40" w:type="dxa"/>
              <w:left w:w="20" w:type="dxa"/>
              <w:bottom w:w="40" w:type="dxa"/>
              <w:right w:w="20" w:type="dxa"/>
            </w:tcMar>
            <w:vAlign w:val="bottom"/>
          </w:tcPr>
          <w:p w14:paraId="27E08AC3" w14:textId="77777777" w:rsidR="00A85061" w:rsidRDefault="00F04891">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AC4" w14:textId="77777777" w:rsidR="00A85061" w:rsidRDefault="00F04891">
            <w:pPr>
              <w:jc w:val="right"/>
              <w:textAlignment w:val="bottom"/>
            </w:pPr>
            <w:r>
              <w:rPr>
                <w:rFonts w:ascii="sans-serif" w:eastAsia="sans-serif" w:hAnsi="sans-serif" w:cs="sans-serif"/>
                <w:color w:val="000000"/>
                <w:sz w:val="20"/>
                <w:szCs w:val="20"/>
              </w:rPr>
              <w:t>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AC5"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C6"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AC7" w14:textId="77777777" w:rsidR="00A85061" w:rsidRDefault="00F04891">
            <w:pPr>
              <w:jc w:val="right"/>
              <w:textAlignment w:val="bottom"/>
            </w:pPr>
            <w:r>
              <w:rPr>
                <w:rFonts w:ascii="sans-serif" w:eastAsia="sans-serif" w:hAnsi="sans-serif" w:cs="sans-serif"/>
                <w:color w:val="000000"/>
                <w:sz w:val="20"/>
                <w:szCs w:val="20"/>
              </w:rPr>
              <w:t>31.7 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AC8" w14:textId="77777777" w:rsidR="00A85061" w:rsidRDefault="00A85061">
            <w:pPr>
              <w:jc w:val="right"/>
              <w:rPr>
                <w:rFonts w:ascii="宋体"/>
              </w:rPr>
            </w:pPr>
          </w:p>
        </w:tc>
        <w:tc>
          <w:tcPr>
            <w:tcW w:w="0" w:type="auto"/>
            <w:shd w:val="clear" w:color="auto" w:fill="auto"/>
            <w:vAlign w:val="bottom"/>
          </w:tcPr>
          <w:p w14:paraId="27E08AC9" w14:textId="77777777" w:rsidR="00A85061" w:rsidRDefault="00A85061">
            <w:pPr>
              <w:rPr>
                <w:rFonts w:ascii="宋体"/>
                <w:vanish/>
              </w:rPr>
            </w:pPr>
          </w:p>
        </w:tc>
        <w:tc>
          <w:tcPr>
            <w:tcW w:w="0" w:type="auto"/>
            <w:shd w:val="clear" w:color="auto" w:fill="auto"/>
            <w:vAlign w:val="bottom"/>
          </w:tcPr>
          <w:p w14:paraId="27E08ACA" w14:textId="77777777" w:rsidR="00A85061" w:rsidRDefault="00A85061">
            <w:pPr>
              <w:rPr>
                <w:rFonts w:ascii="宋体"/>
                <w:vanish/>
              </w:rPr>
            </w:pPr>
          </w:p>
        </w:tc>
        <w:tc>
          <w:tcPr>
            <w:tcW w:w="0" w:type="auto"/>
            <w:gridSpan w:val="3"/>
            <w:shd w:val="clear" w:color="auto" w:fill="auto"/>
            <w:vAlign w:val="bottom"/>
          </w:tcPr>
          <w:p w14:paraId="27E08ACB" w14:textId="77777777" w:rsidR="00A85061" w:rsidRDefault="00A85061">
            <w:pPr>
              <w:rPr>
                <w:rFonts w:ascii="宋体"/>
                <w:vanish/>
              </w:rPr>
            </w:pPr>
          </w:p>
        </w:tc>
        <w:tc>
          <w:tcPr>
            <w:tcW w:w="0" w:type="auto"/>
            <w:gridSpan w:val="3"/>
            <w:shd w:val="clear" w:color="auto" w:fill="auto"/>
            <w:vAlign w:val="bottom"/>
          </w:tcPr>
          <w:p w14:paraId="27E08ACC" w14:textId="77777777" w:rsidR="00A85061" w:rsidRDefault="00A85061">
            <w:pPr>
              <w:rPr>
                <w:rFonts w:ascii="宋体"/>
                <w:vanish/>
              </w:rPr>
            </w:pPr>
          </w:p>
        </w:tc>
      </w:tr>
      <w:tr w:rsidR="00A85061" w14:paraId="27E08AD8" w14:textId="77777777">
        <w:tc>
          <w:tcPr>
            <w:tcW w:w="0" w:type="auto"/>
            <w:gridSpan w:val="3"/>
            <w:shd w:val="clear" w:color="auto" w:fill="E2EFD9"/>
            <w:tcMar>
              <w:top w:w="40" w:type="dxa"/>
              <w:left w:w="20" w:type="dxa"/>
              <w:bottom w:w="40" w:type="dxa"/>
              <w:right w:w="20" w:type="dxa"/>
            </w:tcMar>
            <w:vAlign w:val="bottom"/>
          </w:tcPr>
          <w:p w14:paraId="27E08ACE" w14:textId="77777777" w:rsidR="00A85061" w:rsidRDefault="00F04891">
            <w:pPr>
              <w:textAlignment w:val="bottom"/>
            </w:pPr>
            <w:r>
              <w:rPr>
                <w:rFonts w:ascii="sans-serif" w:eastAsia="sans-serif" w:hAnsi="sans-serif" w:cs="sans-serif"/>
                <w:color w:val="000000"/>
                <w:sz w:val="20"/>
                <w:szCs w:val="20"/>
              </w:rPr>
              <w:t>     Interest income</w:t>
            </w:r>
          </w:p>
        </w:tc>
        <w:tc>
          <w:tcPr>
            <w:tcW w:w="0" w:type="auto"/>
            <w:gridSpan w:val="2"/>
            <w:shd w:val="clear" w:color="auto" w:fill="E2EFD9"/>
            <w:tcMar>
              <w:top w:w="40" w:type="dxa"/>
              <w:left w:w="20" w:type="dxa"/>
              <w:bottom w:w="40" w:type="dxa"/>
              <w:right w:w="0" w:type="dxa"/>
            </w:tcMar>
            <w:vAlign w:val="bottom"/>
          </w:tcPr>
          <w:p w14:paraId="27E08ACF" w14:textId="77777777" w:rsidR="00A85061" w:rsidRDefault="00F04891">
            <w:pPr>
              <w:jc w:val="right"/>
              <w:textAlignment w:val="bottom"/>
            </w:pPr>
            <w:r>
              <w:rPr>
                <w:rFonts w:ascii="sans-serif" w:eastAsia="sans-serif" w:hAnsi="sans-serif" w:cs="sans-serif"/>
                <w:color w:val="000000"/>
                <w:sz w:val="20"/>
                <w:szCs w:val="20"/>
              </w:rPr>
              <w:t>0.1 </w:t>
            </w:r>
          </w:p>
        </w:tc>
        <w:tc>
          <w:tcPr>
            <w:tcW w:w="0" w:type="auto"/>
            <w:shd w:val="clear" w:color="auto" w:fill="E2EFD9"/>
            <w:tcMar>
              <w:top w:w="40" w:type="dxa"/>
              <w:left w:w="0" w:type="dxa"/>
              <w:bottom w:w="40" w:type="dxa"/>
              <w:right w:w="20" w:type="dxa"/>
            </w:tcMar>
            <w:vAlign w:val="bottom"/>
          </w:tcPr>
          <w:p w14:paraId="27E08AD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D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AD2" w14:textId="77777777" w:rsidR="00A85061" w:rsidRDefault="00F04891">
            <w:pPr>
              <w:jc w:val="right"/>
              <w:textAlignment w:val="bottom"/>
            </w:pPr>
            <w:r>
              <w:rPr>
                <w:rFonts w:ascii="sans-serif" w:eastAsia="sans-serif" w:hAnsi="sans-serif" w:cs="sans-serif"/>
                <w:color w:val="000000"/>
                <w:sz w:val="20"/>
                <w:szCs w:val="20"/>
              </w:rPr>
              <w:t>1.0 </w:t>
            </w:r>
          </w:p>
        </w:tc>
        <w:tc>
          <w:tcPr>
            <w:tcW w:w="0" w:type="auto"/>
            <w:shd w:val="clear" w:color="auto" w:fill="E2EFD9"/>
            <w:tcMar>
              <w:top w:w="40" w:type="dxa"/>
              <w:left w:w="0" w:type="dxa"/>
              <w:bottom w:w="40" w:type="dxa"/>
              <w:right w:w="20" w:type="dxa"/>
            </w:tcMar>
            <w:vAlign w:val="bottom"/>
          </w:tcPr>
          <w:p w14:paraId="27E08AD3" w14:textId="77777777" w:rsidR="00A85061" w:rsidRDefault="00A85061">
            <w:pPr>
              <w:jc w:val="right"/>
              <w:rPr>
                <w:rFonts w:ascii="宋体"/>
              </w:rPr>
            </w:pPr>
          </w:p>
        </w:tc>
        <w:tc>
          <w:tcPr>
            <w:tcW w:w="0" w:type="auto"/>
            <w:shd w:val="clear" w:color="auto" w:fill="auto"/>
            <w:vAlign w:val="bottom"/>
          </w:tcPr>
          <w:p w14:paraId="27E08AD4" w14:textId="77777777" w:rsidR="00A85061" w:rsidRDefault="00A85061">
            <w:pPr>
              <w:rPr>
                <w:rFonts w:ascii="宋体"/>
                <w:vanish/>
              </w:rPr>
            </w:pPr>
          </w:p>
        </w:tc>
        <w:tc>
          <w:tcPr>
            <w:tcW w:w="0" w:type="auto"/>
            <w:shd w:val="clear" w:color="auto" w:fill="auto"/>
            <w:vAlign w:val="bottom"/>
          </w:tcPr>
          <w:p w14:paraId="27E08AD5" w14:textId="77777777" w:rsidR="00A85061" w:rsidRDefault="00A85061">
            <w:pPr>
              <w:rPr>
                <w:rFonts w:ascii="宋体"/>
                <w:vanish/>
              </w:rPr>
            </w:pPr>
          </w:p>
        </w:tc>
        <w:tc>
          <w:tcPr>
            <w:tcW w:w="0" w:type="auto"/>
            <w:gridSpan w:val="3"/>
            <w:shd w:val="clear" w:color="auto" w:fill="auto"/>
            <w:vAlign w:val="bottom"/>
          </w:tcPr>
          <w:p w14:paraId="27E08AD6" w14:textId="77777777" w:rsidR="00A85061" w:rsidRDefault="00A85061">
            <w:pPr>
              <w:rPr>
                <w:rFonts w:ascii="宋体"/>
                <w:vanish/>
              </w:rPr>
            </w:pPr>
          </w:p>
        </w:tc>
        <w:tc>
          <w:tcPr>
            <w:tcW w:w="0" w:type="auto"/>
            <w:gridSpan w:val="3"/>
            <w:shd w:val="clear" w:color="auto" w:fill="auto"/>
            <w:vAlign w:val="bottom"/>
          </w:tcPr>
          <w:p w14:paraId="27E08AD7" w14:textId="77777777" w:rsidR="00A85061" w:rsidRDefault="00A85061">
            <w:pPr>
              <w:rPr>
                <w:rFonts w:ascii="宋体"/>
                <w:vanish/>
              </w:rPr>
            </w:pPr>
          </w:p>
        </w:tc>
      </w:tr>
      <w:tr w:rsidR="00A85061" w14:paraId="27E08AE3" w14:textId="77777777">
        <w:tc>
          <w:tcPr>
            <w:tcW w:w="0" w:type="auto"/>
            <w:gridSpan w:val="3"/>
            <w:shd w:val="clear" w:color="auto" w:fill="FFFFFF"/>
            <w:tcMar>
              <w:top w:w="40" w:type="dxa"/>
              <w:left w:w="20" w:type="dxa"/>
              <w:bottom w:w="40" w:type="dxa"/>
              <w:right w:w="20" w:type="dxa"/>
            </w:tcMar>
            <w:vAlign w:val="bottom"/>
          </w:tcPr>
          <w:p w14:paraId="27E08AD9" w14:textId="77777777" w:rsidR="00A85061" w:rsidRDefault="00F04891">
            <w:pPr>
              <w:textAlignment w:val="bottom"/>
            </w:pPr>
            <w:r>
              <w:rPr>
                <w:rFonts w:ascii="sans-serif" w:eastAsia="sans-serif" w:hAnsi="sans-serif" w:cs="sans-serif"/>
                <w:color w:val="000000"/>
                <w:sz w:val="20"/>
                <w:szCs w:val="20"/>
              </w:rPr>
              <w:t>     Interest expense</w:t>
            </w:r>
          </w:p>
        </w:tc>
        <w:tc>
          <w:tcPr>
            <w:tcW w:w="0" w:type="auto"/>
            <w:gridSpan w:val="2"/>
            <w:shd w:val="clear" w:color="auto" w:fill="FFFFFF"/>
            <w:tcMar>
              <w:top w:w="40" w:type="dxa"/>
              <w:left w:w="20" w:type="dxa"/>
              <w:bottom w:w="40" w:type="dxa"/>
              <w:right w:w="0" w:type="dxa"/>
            </w:tcMar>
            <w:vAlign w:val="bottom"/>
          </w:tcPr>
          <w:p w14:paraId="27E08ADA" w14:textId="77777777" w:rsidR="00A85061" w:rsidRDefault="00F04891">
            <w:pPr>
              <w:jc w:val="right"/>
              <w:textAlignment w:val="bottom"/>
            </w:pPr>
            <w:r>
              <w:rPr>
                <w:rFonts w:ascii="sans-serif" w:eastAsia="sans-serif" w:hAnsi="sans-serif" w:cs="sans-serif"/>
                <w:color w:val="000000"/>
                <w:sz w:val="20"/>
                <w:szCs w:val="20"/>
              </w:rPr>
              <w:t>(0.9)</w:t>
            </w:r>
          </w:p>
        </w:tc>
        <w:tc>
          <w:tcPr>
            <w:tcW w:w="0" w:type="auto"/>
            <w:shd w:val="clear" w:color="auto" w:fill="FFFFFF"/>
            <w:tcMar>
              <w:top w:w="40" w:type="dxa"/>
              <w:left w:w="0" w:type="dxa"/>
              <w:bottom w:w="40" w:type="dxa"/>
              <w:right w:w="20" w:type="dxa"/>
            </w:tcMar>
            <w:vAlign w:val="bottom"/>
          </w:tcPr>
          <w:p w14:paraId="27E08ADB"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DC"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ADD" w14:textId="77777777" w:rsidR="00A85061" w:rsidRDefault="00F04891">
            <w:pPr>
              <w:jc w:val="right"/>
              <w:textAlignment w:val="bottom"/>
            </w:pPr>
            <w:r>
              <w:rPr>
                <w:rFonts w:ascii="sans-serif" w:eastAsia="sans-serif" w:hAnsi="sans-serif" w:cs="sans-serif"/>
                <w:color w:val="000000"/>
                <w:sz w:val="20"/>
                <w:szCs w:val="20"/>
              </w:rPr>
              <w:t>(0.8)</w:t>
            </w:r>
          </w:p>
        </w:tc>
        <w:tc>
          <w:tcPr>
            <w:tcW w:w="0" w:type="auto"/>
            <w:shd w:val="clear" w:color="auto" w:fill="FFFFFF"/>
            <w:tcMar>
              <w:top w:w="40" w:type="dxa"/>
              <w:left w:w="0" w:type="dxa"/>
              <w:bottom w:w="40" w:type="dxa"/>
              <w:right w:w="20" w:type="dxa"/>
            </w:tcMar>
            <w:vAlign w:val="bottom"/>
          </w:tcPr>
          <w:p w14:paraId="27E08ADE" w14:textId="77777777" w:rsidR="00A85061" w:rsidRDefault="00A85061">
            <w:pPr>
              <w:jc w:val="right"/>
              <w:rPr>
                <w:rFonts w:ascii="宋体"/>
              </w:rPr>
            </w:pPr>
          </w:p>
        </w:tc>
        <w:tc>
          <w:tcPr>
            <w:tcW w:w="0" w:type="auto"/>
            <w:shd w:val="clear" w:color="auto" w:fill="auto"/>
            <w:vAlign w:val="bottom"/>
          </w:tcPr>
          <w:p w14:paraId="27E08ADF" w14:textId="77777777" w:rsidR="00A85061" w:rsidRDefault="00A85061">
            <w:pPr>
              <w:rPr>
                <w:rFonts w:ascii="宋体"/>
                <w:vanish/>
              </w:rPr>
            </w:pPr>
          </w:p>
        </w:tc>
        <w:tc>
          <w:tcPr>
            <w:tcW w:w="0" w:type="auto"/>
            <w:shd w:val="clear" w:color="auto" w:fill="auto"/>
            <w:vAlign w:val="bottom"/>
          </w:tcPr>
          <w:p w14:paraId="27E08AE0" w14:textId="77777777" w:rsidR="00A85061" w:rsidRDefault="00A85061">
            <w:pPr>
              <w:rPr>
                <w:rFonts w:ascii="宋体"/>
                <w:vanish/>
              </w:rPr>
            </w:pPr>
          </w:p>
        </w:tc>
        <w:tc>
          <w:tcPr>
            <w:tcW w:w="0" w:type="auto"/>
            <w:gridSpan w:val="3"/>
            <w:shd w:val="clear" w:color="auto" w:fill="auto"/>
            <w:vAlign w:val="bottom"/>
          </w:tcPr>
          <w:p w14:paraId="27E08AE1" w14:textId="77777777" w:rsidR="00A85061" w:rsidRDefault="00A85061">
            <w:pPr>
              <w:rPr>
                <w:rFonts w:ascii="宋体"/>
                <w:vanish/>
              </w:rPr>
            </w:pPr>
          </w:p>
        </w:tc>
        <w:tc>
          <w:tcPr>
            <w:tcW w:w="0" w:type="auto"/>
            <w:gridSpan w:val="3"/>
            <w:shd w:val="clear" w:color="auto" w:fill="auto"/>
            <w:vAlign w:val="bottom"/>
          </w:tcPr>
          <w:p w14:paraId="27E08AE2" w14:textId="77777777" w:rsidR="00A85061" w:rsidRDefault="00A85061">
            <w:pPr>
              <w:rPr>
                <w:rFonts w:ascii="宋体"/>
                <w:vanish/>
              </w:rPr>
            </w:pPr>
          </w:p>
        </w:tc>
      </w:tr>
      <w:tr w:rsidR="00A85061" w14:paraId="27E08AEE" w14:textId="77777777">
        <w:tc>
          <w:tcPr>
            <w:tcW w:w="0" w:type="auto"/>
            <w:gridSpan w:val="3"/>
            <w:shd w:val="clear" w:color="auto" w:fill="E2EFD9"/>
            <w:tcMar>
              <w:top w:w="40" w:type="dxa"/>
              <w:left w:w="20" w:type="dxa"/>
              <w:bottom w:w="40" w:type="dxa"/>
              <w:right w:w="20" w:type="dxa"/>
            </w:tcMar>
            <w:vAlign w:val="bottom"/>
          </w:tcPr>
          <w:p w14:paraId="27E08AE4" w14:textId="77777777" w:rsidR="00A85061" w:rsidRDefault="00F04891">
            <w:pPr>
              <w:textAlignment w:val="bottom"/>
            </w:pPr>
            <w:r>
              <w:rPr>
                <w:rFonts w:ascii="sans-serif" w:eastAsia="sans-serif" w:hAnsi="sans-serif" w:cs="sans-serif"/>
                <w:color w:val="000000"/>
                <w:sz w:val="20"/>
                <w:szCs w:val="20"/>
              </w:rPr>
              <w:t>     Other, net</w:t>
            </w:r>
          </w:p>
        </w:tc>
        <w:tc>
          <w:tcPr>
            <w:tcW w:w="0" w:type="auto"/>
            <w:gridSpan w:val="2"/>
            <w:shd w:val="clear" w:color="auto" w:fill="E2EFD9"/>
            <w:tcMar>
              <w:top w:w="40" w:type="dxa"/>
              <w:left w:w="20" w:type="dxa"/>
              <w:bottom w:w="40" w:type="dxa"/>
              <w:right w:w="0" w:type="dxa"/>
            </w:tcMar>
            <w:vAlign w:val="bottom"/>
          </w:tcPr>
          <w:p w14:paraId="27E08AE5" w14:textId="77777777" w:rsidR="00A85061" w:rsidRDefault="00F04891">
            <w:pPr>
              <w:jc w:val="right"/>
              <w:textAlignment w:val="bottom"/>
            </w:pPr>
            <w:r>
              <w:rPr>
                <w:rFonts w:ascii="sans-serif" w:eastAsia="sans-serif" w:hAnsi="sans-serif" w:cs="sans-serif"/>
                <w:color w:val="000000"/>
                <w:sz w:val="20"/>
                <w:szCs w:val="20"/>
              </w:rPr>
              <w:t>2.4 </w:t>
            </w:r>
          </w:p>
        </w:tc>
        <w:tc>
          <w:tcPr>
            <w:tcW w:w="0" w:type="auto"/>
            <w:shd w:val="clear" w:color="auto" w:fill="E2EFD9"/>
            <w:tcMar>
              <w:top w:w="40" w:type="dxa"/>
              <w:left w:w="0" w:type="dxa"/>
              <w:bottom w:w="40" w:type="dxa"/>
              <w:right w:w="20" w:type="dxa"/>
            </w:tcMar>
            <w:vAlign w:val="bottom"/>
          </w:tcPr>
          <w:p w14:paraId="27E08AE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E7"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AE8" w14:textId="77777777" w:rsidR="00A85061" w:rsidRDefault="00F04891">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27E08AE9" w14:textId="77777777" w:rsidR="00A85061" w:rsidRDefault="00A85061">
            <w:pPr>
              <w:jc w:val="right"/>
              <w:rPr>
                <w:rFonts w:ascii="宋体"/>
              </w:rPr>
            </w:pPr>
          </w:p>
        </w:tc>
        <w:tc>
          <w:tcPr>
            <w:tcW w:w="0" w:type="auto"/>
            <w:shd w:val="clear" w:color="auto" w:fill="auto"/>
            <w:vAlign w:val="bottom"/>
          </w:tcPr>
          <w:p w14:paraId="27E08AEA" w14:textId="77777777" w:rsidR="00A85061" w:rsidRDefault="00A85061">
            <w:pPr>
              <w:rPr>
                <w:rFonts w:ascii="宋体"/>
                <w:vanish/>
              </w:rPr>
            </w:pPr>
          </w:p>
        </w:tc>
        <w:tc>
          <w:tcPr>
            <w:tcW w:w="0" w:type="auto"/>
            <w:shd w:val="clear" w:color="auto" w:fill="auto"/>
            <w:vAlign w:val="bottom"/>
          </w:tcPr>
          <w:p w14:paraId="27E08AEB" w14:textId="77777777" w:rsidR="00A85061" w:rsidRDefault="00A85061">
            <w:pPr>
              <w:rPr>
                <w:rFonts w:ascii="宋体"/>
                <w:vanish/>
              </w:rPr>
            </w:pPr>
          </w:p>
        </w:tc>
        <w:tc>
          <w:tcPr>
            <w:tcW w:w="0" w:type="auto"/>
            <w:gridSpan w:val="3"/>
            <w:shd w:val="clear" w:color="auto" w:fill="auto"/>
            <w:vAlign w:val="bottom"/>
          </w:tcPr>
          <w:p w14:paraId="27E08AEC" w14:textId="77777777" w:rsidR="00A85061" w:rsidRDefault="00A85061">
            <w:pPr>
              <w:rPr>
                <w:rFonts w:ascii="宋体"/>
                <w:vanish/>
              </w:rPr>
            </w:pPr>
          </w:p>
        </w:tc>
        <w:tc>
          <w:tcPr>
            <w:tcW w:w="0" w:type="auto"/>
            <w:gridSpan w:val="3"/>
            <w:shd w:val="clear" w:color="auto" w:fill="auto"/>
            <w:vAlign w:val="bottom"/>
          </w:tcPr>
          <w:p w14:paraId="27E08AED" w14:textId="77777777" w:rsidR="00A85061" w:rsidRDefault="00A85061">
            <w:pPr>
              <w:rPr>
                <w:rFonts w:ascii="宋体"/>
                <w:vanish/>
              </w:rPr>
            </w:pPr>
          </w:p>
        </w:tc>
      </w:tr>
      <w:tr w:rsidR="00A85061" w14:paraId="27E08AF9" w14:textId="77777777">
        <w:tc>
          <w:tcPr>
            <w:tcW w:w="0" w:type="auto"/>
            <w:gridSpan w:val="3"/>
            <w:shd w:val="clear" w:color="auto" w:fill="FFFFFF"/>
            <w:tcMar>
              <w:top w:w="40" w:type="dxa"/>
              <w:left w:w="20" w:type="dxa"/>
              <w:bottom w:w="40" w:type="dxa"/>
              <w:right w:w="20" w:type="dxa"/>
            </w:tcMar>
            <w:vAlign w:val="bottom"/>
          </w:tcPr>
          <w:p w14:paraId="27E08AEF" w14:textId="77777777" w:rsidR="00A85061" w:rsidRDefault="00F04891">
            <w:pPr>
              <w:textAlignment w:val="bottom"/>
            </w:pPr>
            <w:r>
              <w:rPr>
                <w:rFonts w:ascii="sans-serif" w:eastAsia="sans-serif" w:hAnsi="sans-serif" w:cs="sans-serif"/>
                <w:color w:val="000000"/>
                <w:sz w:val="20"/>
                <w:szCs w:val="20"/>
              </w:rPr>
              <w:t xml:space="preserve">Other </w:t>
            </w:r>
            <w:r>
              <w:rPr>
                <w:rFonts w:ascii="sans-serif" w:eastAsia="sans-serif" w:hAnsi="sans-serif" w:cs="sans-serif"/>
                <w:color w:val="000000"/>
                <w:sz w:val="20"/>
                <w:szCs w:val="20"/>
              </w:rPr>
              <w:t>income (expense),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AF0" w14:textId="77777777" w:rsidR="00A85061" w:rsidRDefault="00F04891">
            <w:pPr>
              <w:jc w:val="right"/>
              <w:textAlignment w:val="bottom"/>
            </w:pPr>
            <w:r>
              <w:rPr>
                <w:rFonts w:ascii="sans-serif" w:eastAsia="sans-serif" w:hAnsi="sans-serif" w:cs="sans-serif"/>
                <w:color w:val="000000"/>
                <w:sz w:val="20"/>
                <w:szCs w:val="20"/>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AF1"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AF2" w14:textId="77777777" w:rsidR="00A85061" w:rsidRDefault="00A8506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27E08AF3" w14:textId="77777777" w:rsidR="00A85061" w:rsidRDefault="00F04891">
            <w:pPr>
              <w:jc w:val="right"/>
              <w:textAlignment w:val="bottom"/>
            </w:pPr>
            <w:r>
              <w:rPr>
                <w:rFonts w:ascii="sans-serif" w:eastAsia="sans-serif" w:hAnsi="sans-serif" w:cs="sans-serif"/>
                <w:color w:val="000000"/>
                <w:sz w:val="20"/>
                <w:szCs w:val="20"/>
              </w:rPr>
              <w:t>0.2 </w:t>
            </w:r>
          </w:p>
        </w:tc>
        <w:tc>
          <w:tcPr>
            <w:tcW w:w="0" w:type="auto"/>
            <w:tcBorders>
              <w:top w:val="single" w:sz="8" w:space="0" w:color="000000"/>
            </w:tcBorders>
            <w:shd w:val="clear" w:color="auto" w:fill="FFFFFF"/>
            <w:tcMar>
              <w:top w:w="40" w:type="dxa"/>
              <w:left w:w="0" w:type="dxa"/>
              <w:bottom w:w="40" w:type="dxa"/>
              <w:right w:w="20" w:type="dxa"/>
            </w:tcMar>
            <w:vAlign w:val="bottom"/>
          </w:tcPr>
          <w:p w14:paraId="27E08AF4" w14:textId="77777777" w:rsidR="00A85061" w:rsidRDefault="00A85061">
            <w:pPr>
              <w:jc w:val="right"/>
              <w:rPr>
                <w:rFonts w:ascii="宋体"/>
              </w:rPr>
            </w:pPr>
          </w:p>
        </w:tc>
        <w:tc>
          <w:tcPr>
            <w:tcW w:w="0" w:type="auto"/>
            <w:shd w:val="clear" w:color="auto" w:fill="auto"/>
            <w:vAlign w:val="bottom"/>
          </w:tcPr>
          <w:p w14:paraId="27E08AF5" w14:textId="77777777" w:rsidR="00A85061" w:rsidRDefault="00A85061">
            <w:pPr>
              <w:rPr>
                <w:rFonts w:ascii="宋体"/>
                <w:vanish/>
              </w:rPr>
            </w:pPr>
          </w:p>
        </w:tc>
        <w:tc>
          <w:tcPr>
            <w:tcW w:w="0" w:type="auto"/>
            <w:shd w:val="clear" w:color="auto" w:fill="auto"/>
            <w:vAlign w:val="bottom"/>
          </w:tcPr>
          <w:p w14:paraId="27E08AF6" w14:textId="77777777" w:rsidR="00A85061" w:rsidRDefault="00A85061">
            <w:pPr>
              <w:rPr>
                <w:rFonts w:ascii="宋体"/>
                <w:vanish/>
              </w:rPr>
            </w:pPr>
          </w:p>
        </w:tc>
        <w:tc>
          <w:tcPr>
            <w:tcW w:w="0" w:type="auto"/>
            <w:gridSpan w:val="3"/>
            <w:shd w:val="clear" w:color="auto" w:fill="auto"/>
            <w:vAlign w:val="bottom"/>
          </w:tcPr>
          <w:p w14:paraId="27E08AF7" w14:textId="77777777" w:rsidR="00A85061" w:rsidRDefault="00A85061">
            <w:pPr>
              <w:rPr>
                <w:rFonts w:ascii="宋体"/>
                <w:vanish/>
              </w:rPr>
            </w:pPr>
          </w:p>
        </w:tc>
        <w:tc>
          <w:tcPr>
            <w:tcW w:w="0" w:type="auto"/>
            <w:gridSpan w:val="3"/>
            <w:shd w:val="clear" w:color="auto" w:fill="auto"/>
            <w:vAlign w:val="bottom"/>
          </w:tcPr>
          <w:p w14:paraId="27E08AF8" w14:textId="77777777" w:rsidR="00A85061" w:rsidRDefault="00A85061">
            <w:pPr>
              <w:rPr>
                <w:rFonts w:ascii="宋体"/>
                <w:vanish/>
              </w:rPr>
            </w:pPr>
          </w:p>
        </w:tc>
      </w:tr>
      <w:tr w:rsidR="00A85061" w14:paraId="27E08B04" w14:textId="77777777">
        <w:tc>
          <w:tcPr>
            <w:tcW w:w="0" w:type="auto"/>
            <w:gridSpan w:val="3"/>
            <w:shd w:val="clear" w:color="auto" w:fill="E2EFD9"/>
            <w:tcMar>
              <w:top w:w="40" w:type="dxa"/>
              <w:left w:w="20" w:type="dxa"/>
              <w:bottom w:w="40" w:type="dxa"/>
              <w:right w:w="20" w:type="dxa"/>
            </w:tcMar>
            <w:vAlign w:val="bottom"/>
          </w:tcPr>
          <w:p w14:paraId="27E08AFA" w14:textId="77777777" w:rsidR="00A85061" w:rsidRDefault="00F04891">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FB" w14:textId="77777777" w:rsidR="00A85061" w:rsidRDefault="00F04891">
            <w:pPr>
              <w:jc w:val="right"/>
              <w:textAlignment w:val="bottom"/>
            </w:pPr>
            <w:r>
              <w:rPr>
                <w:rFonts w:ascii="sans-serif" w:eastAsia="sans-serif" w:hAnsi="sans-serif" w:cs="sans-serif"/>
                <w:color w:val="000000"/>
                <w:sz w:val="20"/>
                <w:szCs w:val="20"/>
              </w:rPr>
              <w:t>36.1 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FC"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AFD" w14:textId="77777777" w:rsidR="00A85061" w:rsidRDefault="00A85061">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27E08AFE" w14:textId="77777777" w:rsidR="00A85061" w:rsidRDefault="00F04891">
            <w:pPr>
              <w:jc w:val="right"/>
              <w:textAlignment w:val="bottom"/>
            </w:pPr>
            <w:r>
              <w:rPr>
                <w:rFonts w:ascii="sans-serif" w:eastAsia="sans-serif" w:hAnsi="sans-serif" w:cs="sans-serif"/>
                <w:color w:val="000000"/>
                <w:sz w:val="20"/>
                <w:szCs w:val="20"/>
              </w:rPr>
              <w:t>31.9 </w:t>
            </w:r>
          </w:p>
        </w:tc>
        <w:tc>
          <w:tcPr>
            <w:tcW w:w="0" w:type="auto"/>
            <w:tcBorders>
              <w:top w:val="single" w:sz="8" w:space="0" w:color="000000"/>
            </w:tcBorders>
            <w:shd w:val="clear" w:color="auto" w:fill="E2EFD9"/>
            <w:tcMar>
              <w:top w:w="40" w:type="dxa"/>
              <w:left w:w="0" w:type="dxa"/>
              <w:bottom w:w="40" w:type="dxa"/>
              <w:right w:w="20" w:type="dxa"/>
            </w:tcMar>
            <w:vAlign w:val="bottom"/>
          </w:tcPr>
          <w:p w14:paraId="27E08AFF" w14:textId="77777777" w:rsidR="00A85061" w:rsidRDefault="00A85061">
            <w:pPr>
              <w:jc w:val="right"/>
              <w:rPr>
                <w:rFonts w:ascii="宋体"/>
              </w:rPr>
            </w:pPr>
          </w:p>
        </w:tc>
        <w:tc>
          <w:tcPr>
            <w:tcW w:w="0" w:type="auto"/>
            <w:shd w:val="clear" w:color="auto" w:fill="auto"/>
            <w:vAlign w:val="bottom"/>
          </w:tcPr>
          <w:p w14:paraId="27E08B00" w14:textId="77777777" w:rsidR="00A85061" w:rsidRDefault="00A85061">
            <w:pPr>
              <w:rPr>
                <w:rFonts w:ascii="宋体"/>
                <w:vanish/>
              </w:rPr>
            </w:pPr>
          </w:p>
        </w:tc>
        <w:tc>
          <w:tcPr>
            <w:tcW w:w="0" w:type="auto"/>
            <w:shd w:val="clear" w:color="auto" w:fill="auto"/>
            <w:vAlign w:val="bottom"/>
          </w:tcPr>
          <w:p w14:paraId="27E08B01" w14:textId="77777777" w:rsidR="00A85061" w:rsidRDefault="00A85061">
            <w:pPr>
              <w:rPr>
                <w:rFonts w:ascii="宋体"/>
                <w:vanish/>
              </w:rPr>
            </w:pPr>
          </w:p>
        </w:tc>
        <w:tc>
          <w:tcPr>
            <w:tcW w:w="0" w:type="auto"/>
            <w:gridSpan w:val="3"/>
            <w:shd w:val="clear" w:color="auto" w:fill="auto"/>
            <w:vAlign w:val="bottom"/>
          </w:tcPr>
          <w:p w14:paraId="27E08B02" w14:textId="77777777" w:rsidR="00A85061" w:rsidRDefault="00A85061">
            <w:pPr>
              <w:rPr>
                <w:rFonts w:ascii="宋体"/>
                <w:vanish/>
              </w:rPr>
            </w:pPr>
          </w:p>
        </w:tc>
        <w:tc>
          <w:tcPr>
            <w:tcW w:w="0" w:type="auto"/>
            <w:gridSpan w:val="3"/>
            <w:shd w:val="clear" w:color="auto" w:fill="auto"/>
            <w:vAlign w:val="bottom"/>
          </w:tcPr>
          <w:p w14:paraId="27E08B03" w14:textId="77777777" w:rsidR="00A85061" w:rsidRDefault="00A85061">
            <w:pPr>
              <w:rPr>
                <w:rFonts w:ascii="宋体"/>
                <w:vanish/>
              </w:rPr>
            </w:pPr>
          </w:p>
        </w:tc>
      </w:tr>
      <w:tr w:rsidR="00A85061" w14:paraId="27E08B0F" w14:textId="77777777">
        <w:tc>
          <w:tcPr>
            <w:tcW w:w="0" w:type="auto"/>
            <w:gridSpan w:val="3"/>
            <w:shd w:val="clear" w:color="auto" w:fill="FFFFFF"/>
            <w:tcMar>
              <w:top w:w="40" w:type="dxa"/>
              <w:left w:w="20" w:type="dxa"/>
              <w:bottom w:w="40" w:type="dxa"/>
              <w:right w:w="20" w:type="dxa"/>
            </w:tcMar>
            <w:vAlign w:val="bottom"/>
          </w:tcPr>
          <w:p w14:paraId="27E08B05" w14:textId="77777777" w:rsidR="00A85061" w:rsidRDefault="00F04891">
            <w:pPr>
              <w:textAlignment w:val="bottom"/>
            </w:pPr>
            <w:r>
              <w:rPr>
                <w:rFonts w:ascii="sans-serif" w:eastAsia="sans-serif" w:hAnsi="sans-serif" w:cs="sans-serif"/>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27E08B06" w14:textId="77777777" w:rsidR="00A85061" w:rsidRDefault="00F04891">
            <w:pPr>
              <w:jc w:val="right"/>
              <w:textAlignment w:val="bottom"/>
            </w:pPr>
            <w:r>
              <w:rPr>
                <w:rFonts w:ascii="sans-serif" w:eastAsia="sans-serif" w:hAnsi="sans-serif" w:cs="sans-serif"/>
                <w:color w:val="000000"/>
                <w:sz w:val="20"/>
                <w:szCs w:val="20"/>
              </w:rPr>
              <w:t>2.3 </w:t>
            </w:r>
          </w:p>
        </w:tc>
        <w:tc>
          <w:tcPr>
            <w:tcW w:w="0" w:type="auto"/>
            <w:shd w:val="clear" w:color="auto" w:fill="FFFFFF"/>
            <w:tcMar>
              <w:top w:w="40" w:type="dxa"/>
              <w:left w:w="0" w:type="dxa"/>
              <w:bottom w:w="40" w:type="dxa"/>
              <w:right w:w="20" w:type="dxa"/>
            </w:tcMar>
            <w:vAlign w:val="bottom"/>
          </w:tcPr>
          <w:p w14:paraId="27E08B07"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B0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B09" w14:textId="77777777" w:rsidR="00A85061" w:rsidRDefault="00F04891">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27E08B0A" w14:textId="77777777" w:rsidR="00A85061" w:rsidRDefault="00A85061">
            <w:pPr>
              <w:jc w:val="right"/>
              <w:rPr>
                <w:rFonts w:ascii="宋体"/>
              </w:rPr>
            </w:pPr>
          </w:p>
        </w:tc>
        <w:tc>
          <w:tcPr>
            <w:tcW w:w="0" w:type="auto"/>
            <w:shd w:val="clear" w:color="auto" w:fill="auto"/>
            <w:vAlign w:val="bottom"/>
          </w:tcPr>
          <w:p w14:paraId="27E08B0B" w14:textId="77777777" w:rsidR="00A85061" w:rsidRDefault="00A85061">
            <w:pPr>
              <w:rPr>
                <w:rFonts w:ascii="宋体"/>
                <w:vanish/>
              </w:rPr>
            </w:pPr>
          </w:p>
        </w:tc>
        <w:tc>
          <w:tcPr>
            <w:tcW w:w="0" w:type="auto"/>
            <w:shd w:val="clear" w:color="auto" w:fill="auto"/>
            <w:vAlign w:val="bottom"/>
          </w:tcPr>
          <w:p w14:paraId="27E08B0C" w14:textId="77777777" w:rsidR="00A85061" w:rsidRDefault="00A85061">
            <w:pPr>
              <w:rPr>
                <w:rFonts w:ascii="宋体"/>
                <w:vanish/>
              </w:rPr>
            </w:pPr>
          </w:p>
        </w:tc>
        <w:tc>
          <w:tcPr>
            <w:tcW w:w="0" w:type="auto"/>
            <w:gridSpan w:val="3"/>
            <w:shd w:val="clear" w:color="auto" w:fill="auto"/>
            <w:vAlign w:val="bottom"/>
          </w:tcPr>
          <w:p w14:paraId="27E08B0D" w14:textId="77777777" w:rsidR="00A85061" w:rsidRDefault="00A85061">
            <w:pPr>
              <w:rPr>
                <w:rFonts w:ascii="宋体"/>
                <w:vanish/>
              </w:rPr>
            </w:pPr>
          </w:p>
        </w:tc>
        <w:tc>
          <w:tcPr>
            <w:tcW w:w="0" w:type="auto"/>
            <w:gridSpan w:val="3"/>
            <w:shd w:val="clear" w:color="auto" w:fill="auto"/>
            <w:vAlign w:val="bottom"/>
          </w:tcPr>
          <w:p w14:paraId="27E08B0E" w14:textId="77777777" w:rsidR="00A85061" w:rsidRDefault="00A85061">
            <w:pPr>
              <w:rPr>
                <w:rFonts w:ascii="宋体"/>
                <w:vanish/>
              </w:rPr>
            </w:pPr>
          </w:p>
        </w:tc>
      </w:tr>
      <w:tr w:rsidR="00A85061" w14:paraId="27E08B1A" w14:textId="77777777">
        <w:tc>
          <w:tcPr>
            <w:tcW w:w="0" w:type="auto"/>
            <w:gridSpan w:val="3"/>
            <w:shd w:val="clear" w:color="auto" w:fill="E2EFD9"/>
            <w:tcMar>
              <w:top w:w="40" w:type="dxa"/>
              <w:left w:w="20" w:type="dxa"/>
              <w:bottom w:w="40" w:type="dxa"/>
              <w:right w:w="20" w:type="dxa"/>
            </w:tcMar>
            <w:vAlign w:val="bottom"/>
          </w:tcPr>
          <w:p w14:paraId="27E08B10" w14:textId="77777777" w:rsidR="00A85061" w:rsidRDefault="00F04891">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11" w14:textId="77777777" w:rsidR="00A85061" w:rsidRDefault="00F04891">
            <w:pPr>
              <w:jc w:val="right"/>
              <w:textAlignment w:val="bottom"/>
            </w:pPr>
            <w:r>
              <w:rPr>
                <w:rFonts w:ascii="sans-serif" w:eastAsia="sans-serif" w:hAnsi="sans-serif" w:cs="sans-serif"/>
                <w:color w:val="000000"/>
                <w:sz w:val="20"/>
                <w:szCs w:val="20"/>
              </w:rPr>
              <w:t>33.8 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12"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27E08B13" w14:textId="77777777" w:rsidR="00A85061" w:rsidRDefault="00A85061">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14" w14:textId="77777777" w:rsidR="00A85061" w:rsidRDefault="00F04891">
            <w:pPr>
              <w:jc w:val="right"/>
              <w:textAlignment w:val="bottom"/>
            </w:pPr>
            <w:r>
              <w:rPr>
                <w:rFonts w:ascii="sans-serif" w:eastAsia="sans-serif" w:hAnsi="sans-serif" w:cs="sans-serif"/>
                <w:color w:val="000000"/>
                <w:sz w:val="20"/>
                <w:szCs w:val="20"/>
              </w:rPr>
              <w:t>29.8 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15" w14:textId="77777777" w:rsidR="00A85061" w:rsidRDefault="00F04891">
            <w:pPr>
              <w:jc w:val="right"/>
              <w:textAlignment w:val="bottom"/>
            </w:pPr>
            <w:r>
              <w:rPr>
                <w:rFonts w:ascii="sans-serif" w:eastAsia="sans-serif" w:hAnsi="sans-serif" w:cs="sans-serif"/>
                <w:color w:val="000000"/>
                <w:sz w:val="20"/>
                <w:szCs w:val="20"/>
              </w:rPr>
              <w:t>%</w:t>
            </w:r>
          </w:p>
        </w:tc>
        <w:tc>
          <w:tcPr>
            <w:tcW w:w="0" w:type="auto"/>
            <w:shd w:val="clear" w:color="auto" w:fill="auto"/>
            <w:vAlign w:val="bottom"/>
          </w:tcPr>
          <w:p w14:paraId="27E08B16" w14:textId="77777777" w:rsidR="00A85061" w:rsidRDefault="00A85061">
            <w:pPr>
              <w:rPr>
                <w:rFonts w:ascii="宋体"/>
                <w:vanish/>
              </w:rPr>
            </w:pPr>
          </w:p>
        </w:tc>
        <w:tc>
          <w:tcPr>
            <w:tcW w:w="0" w:type="auto"/>
            <w:shd w:val="clear" w:color="auto" w:fill="auto"/>
            <w:vAlign w:val="bottom"/>
          </w:tcPr>
          <w:p w14:paraId="27E08B17" w14:textId="77777777" w:rsidR="00A85061" w:rsidRDefault="00A85061">
            <w:pPr>
              <w:rPr>
                <w:rFonts w:ascii="宋体"/>
                <w:vanish/>
              </w:rPr>
            </w:pPr>
          </w:p>
        </w:tc>
        <w:tc>
          <w:tcPr>
            <w:tcW w:w="0" w:type="auto"/>
            <w:gridSpan w:val="3"/>
            <w:shd w:val="clear" w:color="auto" w:fill="auto"/>
            <w:vAlign w:val="bottom"/>
          </w:tcPr>
          <w:p w14:paraId="27E08B18" w14:textId="77777777" w:rsidR="00A85061" w:rsidRDefault="00A85061">
            <w:pPr>
              <w:rPr>
                <w:rFonts w:ascii="宋体"/>
                <w:vanish/>
              </w:rPr>
            </w:pPr>
          </w:p>
        </w:tc>
        <w:tc>
          <w:tcPr>
            <w:tcW w:w="0" w:type="auto"/>
            <w:gridSpan w:val="3"/>
            <w:shd w:val="clear" w:color="auto" w:fill="auto"/>
            <w:vAlign w:val="bottom"/>
          </w:tcPr>
          <w:p w14:paraId="27E08B19" w14:textId="77777777" w:rsidR="00A85061" w:rsidRDefault="00A85061">
            <w:pPr>
              <w:rPr>
                <w:rFonts w:ascii="宋体"/>
                <w:vanish/>
              </w:rPr>
            </w:pPr>
          </w:p>
        </w:tc>
      </w:tr>
    </w:tbl>
    <w:p w14:paraId="27E08B1B" w14:textId="77777777" w:rsidR="00A85061" w:rsidRDefault="00F04891">
      <w:pPr>
        <w:spacing w:before="240" w:after="60"/>
        <w:jc w:val="both"/>
      </w:pPr>
      <w:r>
        <w:rPr>
          <w:rFonts w:ascii="sans-serif" w:eastAsia="sans-serif" w:hAnsi="sans-serif" w:cs="sans-serif"/>
          <w:b/>
          <w:bCs/>
          <w:color w:val="76B900"/>
          <w:sz w:val="20"/>
          <w:szCs w:val="20"/>
        </w:rPr>
        <w:t>Revenue</w:t>
      </w:r>
    </w:p>
    <w:p w14:paraId="27E08B1C" w14:textId="77777777" w:rsidR="00A85061" w:rsidRDefault="00F04891">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127"/>
        <w:gridCol w:w="36"/>
        <w:gridCol w:w="122"/>
        <w:gridCol w:w="612"/>
        <w:gridCol w:w="36"/>
        <w:gridCol w:w="36"/>
        <w:gridCol w:w="36"/>
        <w:gridCol w:w="36"/>
        <w:gridCol w:w="122"/>
        <w:gridCol w:w="549"/>
        <w:gridCol w:w="36"/>
        <w:gridCol w:w="36"/>
        <w:gridCol w:w="36"/>
        <w:gridCol w:w="36"/>
        <w:gridCol w:w="122"/>
        <w:gridCol w:w="501"/>
        <w:gridCol w:w="36"/>
        <w:gridCol w:w="36"/>
        <w:gridCol w:w="36"/>
        <w:gridCol w:w="36"/>
        <w:gridCol w:w="75"/>
        <w:gridCol w:w="573"/>
        <w:gridCol w:w="16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A85061" w14:paraId="27E08B3D" w14:textId="77777777">
        <w:tc>
          <w:tcPr>
            <w:tcW w:w="50" w:type="pct"/>
            <w:shd w:val="clear" w:color="auto" w:fill="auto"/>
            <w:vAlign w:val="bottom"/>
          </w:tcPr>
          <w:p w14:paraId="27E08B1D" w14:textId="77777777" w:rsidR="00A85061" w:rsidRDefault="00A85061">
            <w:pPr>
              <w:rPr>
                <w:rFonts w:ascii="宋体"/>
              </w:rPr>
            </w:pPr>
          </w:p>
        </w:tc>
        <w:tc>
          <w:tcPr>
            <w:tcW w:w="2861" w:type="pct"/>
            <w:shd w:val="clear" w:color="auto" w:fill="auto"/>
            <w:vAlign w:val="bottom"/>
          </w:tcPr>
          <w:p w14:paraId="27E08B1E" w14:textId="77777777" w:rsidR="00A85061" w:rsidRDefault="00A85061">
            <w:pPr>
              <w:rPr>
                <w:rFonts w:ascii="宋体"/>
              </w:rPr>
            </w:pPr>
          </w:p>
        </w:tc>
        <w:tc>
          <w:tcPr>
            <w:tcW w:w="5" w:type="pct"/>
            <w:shd w:val="clear" w:color="auto" w:fill="auto"/>
            <w:vAlign w:val="bottom"/>
          </w:tcPr>
          <w:p w14:paraId="27E08B1F" w14:textId="77777777" w:rsidR="00A85061" w:rsidRDefault="00A85061">
            <w:pPr>
              <w:rPr>
                <w:rFonts w:ascii="宋体"/>
              </w:rPr>
            </w:pPr>
          </w:p>
        </w:tc>
        <w:tc>
          <w:tcPr>
            <w:tcW w:w="50" w:type="pct"/>
            <w:shd w:val="clear" w:color="auto" w:fill="auto"/>
            <w:vAlign w:val="bottom"/>
          </w:tcPr>
          <w:p w14:paraId="27E08B20" w14:textId="77777777" w:rsidR="00A85061" w:rsidRDefault="00A85061">
            <w:pPr>
              <w:rPr>
                <w:rFonts w:ascii="宋体"/>
              </w:rPr>
            </w:pPr>
          </w:p>
        </w:tc>
        <w:tc>
          <w:tcPr>
            <w:tcW w:w="493" w:type="pct"/>
            <w:shd w:val="clear" w:color="auto" w:fill="auto"/>
            <w:vAlign w:val="bottom"/>
          </w:tcPr>
          <w:p w14:paraId="27E08B21" w14:textId="77777777" w:rsidR="00A85061" w:rsidRDefault="00A85061">
            <w:pPr>
              <w:rPr>
                <w:rFonts w:ascii="宋体"/>
              </w:rPr>
            </w:pPr>
          </w:p>
        </w:tc>
        <w:tc>
          <w:tcPr>
            <w:tcW w:w="5" w:type="pct"/>
            <w:shd w:val="clear" w:color="auto" w:fill="auto"/>
            <w:vAlign w:val="bottom"/>
          </w:tcPr>
          <w:p w14:paraId="27E08B22" w14:textId="77777777" w:rsidR="00A85061" w:rsidRDefault="00A85061">
            <w:pPr>
              <w:rPr>
                <w:rFonts w:ascii="宋体"/>
              </w:rPr>
            </w:pPr>
          </w:p>
        </w:tc>
        <w:tc>
          <w:tcPr>
            <w:tcW w:w="5" w:type="pct"/>
            <w:shd w:val="clear" w:color="auto" w:fill="auto"/>
            <w:vAlign w:val="bottom"/>
          </w:tcPr>
          <w:p w14:paraId="27E08B23" w14:textId="77777777" w:rsidR="00A85061" w:rsidRDefault="00A85061">
            <w:pPr>
              <w:rPr>
                <w:rFonts w:ascii="宋体"/>
              </w:rPr>
            </w:pPr>
          </w:p>
        </w:tc>
        <w:tc>
          <w:tcPr>
            <w:tcW w:w="26" w:type="pct"/>
            <w:shd w:val="clear" w:color="auto" w:fill="auto"/>
            <w:vAlign w:val="bottom"/>
          </w:tcPr>
          <w:p w14:paraId="27E08B24" w14:textId="77777777" w:rsidR="00A85061" w:rsidRDefault="00A85061">
            <w:pPr>
              <w:rPr>
                <w:rFonts w:ascii="宋体"/>
              </w:rPr>
            </w:pPr>
          </w:p>
        </w:tc>
        <w:tc>
          <w:tcPr>
            <w:tcW w:w="5" w:type="pct"/>
            <w:shd w:val="clear" w:color="auto" w:fill="auto"/>
            <w:vAlign w:val="bottom"/>
          </w:tcPr>
          <w:p w14:paraId="27E08B25" w14:textId="77777777" w:rsidR="00A85061" w:rsidRDefault="00A85061">
            <w:pPr>
              <w:rPr>
                <w:rFonts w:ascii="宋体"/>
              </w:rPr>
            </w:pPr>
          </w:p>
        </w:tc>
        <w:tc>
          <w:tcPr>
            <w:tcW w:w="50" w:type="pct"/>
            <w:shd w:val="clear" w:color="auto" w:fill="auto"/>
            <w:vAlign w:val="bottom"/>
          </w:tcPr>
          <w:p w14:paraId="27E08B26" w14:textId="77777777" w:rsidR="00A85061" w:rsidRDefault="00A85061">
            <w:pPr>
              <w:rPr>
                <w:rFonts w:ascii="宋体"/>
              </w:rPr>
            </w:pPr>
          </w:p>
        </w:tc>
        <w:tc>
          <w:tcPr>
            <w:tcW w:w="493" w:type="pct"/>
            <w:shd w:val="clear" w:color="auto" w:fill="auto"/>
            <w:vAlign w:val="bottom"/>
          </w:tcPr>
          <w:p w14:paraId="27E08B27" w14:textId="77777777" w:rsidR="00A85061" w:rsidRDefault="00A85061">
            <w:pPr>
              <w:rPr>
                <w:rFonts w:ascii="宋体"/>
              </w:rPr>
            </w:pPr>
          </w:p>
        </w:tc>
        <w:tc>
          <w:tcPr>
            <w:tcW w:w="5" w:type="pct"/>
            <w:shd w:val="clear" w:color="auto" w:fill="auto"/>
            <w:vAlign w:val="bottom"/>
          </w:tcPr>
          <w:p w14:paraId="27E08B28" w14:textId="77777777" w:rsidR="00A85061" w:rsidRDefault="00A85061">
            <w:pPr>
              <w:rPr>
                <w:rFonts w:ascii="宋体"/>
              </w:rPr>
            </w:pPr>
          </w:p>
        </w:tc>
        <w:tc>
          <w:tcPr>
            <w:tcW w:w="5" w:type="pct"/>
            <w:shd w:val="clear" w:color="auto" w:fill="auto"/>
            <w:vAlign w:val="bottom"/>
          </w:tcPr>
          <w:p w14:paraId="27E08B29" w14:textId="77777777" w:rsidR="00A85061" w:rsidRDefault="00A85061">
            <w:pPr>
              <w:rPr>
                <w:rFonts w:ascii="宋体"/>
              </w:rPr>
            </w:pPr>
          </w:p>
        </w:tc>
        <w:tc>
          <w:tcPr>
            <w:tcW w:w="26" w:type="pct"/>
            <w:shd w:val="clear" w:color="auto" w:fill="auto"/>
            <w:vAlign w:val="bottom"/>
          </w:tcPr>
          <w:p w14:paraId="27E08B2A" w14:textId="77777777" w:rsidR="00A85061" w:rsidRDefault="00A85061">
            <w:pPr>
              <w:rPr>
                <w:rFonts w:ascii="宋体"/>
              </w:rPr>
            </w:pPr>
          </w:p>
        </w:tc>
        <w:tc>
          <w:tcPr>
            <w:tcW w:w="5" w:type="pct"/>
            <w:shd w:val="clear" w:color="auto" w:fill="auto"/>
            <w:vAlign w:val="bottom"/>
          </w:tcPr>
          <w:p w14:paraId="27E08B2B" w14:textId="77777777" w:rsidR="00A85061" w:rsidRDefault="00A85061">
            <w:pPr>
              <w:rPr>
                <w:rFonts w:ascii="宋体"/>
              </w:rPr>
            </w:pPr>
          </w:p>
        </w:tc>
        <w:tc>
          <w:tcPr>
            <w:tcW w:w="50" w:type="pct"/>
            <w:shd w:val="clear" w:color="auto" w:fill="auto"/>
            <w:vAlign w:val="bottom"/>
          </w:tcPr>
          <w:p w14:paraId="27E08B2C" w14:textId="77777777" w:rsidR="00A85061" w:rsidRDefault="00A85061">
            <w:pPr>
              <w:rPr>
                <w:rFonts w:ascii="宋体"/>
              </w:rPr>
            </w:pPr>
          </w:p>
        </w:tc>
        <w:tc>
          <w:tcPr>
            <w:tcW w:w="383" w:type="pct"/>
            <w:shd w:val="clear" w:color="auto" w:fill="auto"/>
            <w:vAlign w:val="bottom"/>
          </w:tcPr>
          <w:p w14:paraId="27E08B2D" w14:textId="77777777" w:rsidR="00A85061" w:rsidRDefault="00A85061">
            <w:pPr>
              <w:rPr>
                <w:rFonts w:ascii="宋体"/>
              </w:rPr>
            </w:pPr>
          </w:p>
        </w:tc>
        <w:tc>
          <w:tcPr>
            <w:tcW w:w="5" w:type="pct"/>
            <w:shd w:val="clear" w:color="auto" w:fill="auto"/>
            <w:vAlign w:val="bottom"/>
          </w:tcPr>
          <w:p w14:paraId="27E08B2E" w14:textId="77777777" w:rsidR="00A85061" w:rsidRDefault="00A85061">
            <w:pPr>
              <w:rPr>
                <w:rFonts w:ascii="宋体"/>
              </w:rPr>
            </w:pPr>
          </w:p>
        </w:tc>
        <w:tc>
          <w:tcPr>
            <w:tcW w:w="5" w:type="pct"/>
            <w:shd w:val="clear" w:color="auto" w:fill="auto"/>
            <w:vAlign w:val="bottom"/>
          </w:tcPr>
          <w:p w14:paraId="27E08B2F" w14:textId="77777777" w:rsidR="00A85061" w:rsidRDefault="00A85061">
            <w:pPr>
              <w:rPr>
                <w:rFonts w:ascii="宋体"/>
              </w:rPr>
            </w:pPr>
          </w:p>
        </w:tc>
        <w:tc>
          <w:tcPr>
            <w:tcW w:w="26" w:type="pct"/>
            <w:shd w:val="clear" w:color="auto" w:fill="auto"/>
            <w:vAlign w:val="bottom"/>
          </w:tcPr>
          <w:p w14:paraId="27E08B30" w14:textId="77777777" w:rsidR="00A85061" w:rsidRDefault="00A85061">
            <w:pPr>
              <w:rPr>
                <w:rFonts w:ascii="宋体"/>
              </w:rPr>
            </w:pPr>
          </w:p>
        </w:tc>
        <w:tc>
          <w:tcPr>
            <w:tcW w:w="5" w:type="pct"/>
            <w:shd w:val="clear" w:color="auto" w:fill="auto"/>
            <w:vAlign w:val="bottom"/>
          </w:tcPr>
          <w:p w14:paraId="27E08B31" w14:textId="77777777" w:rsidR="00A85061" w:rsidRDefault="00A85061">
            <w:pPr>
              <w:rPr>
                <w:rFonts w:ascii="宋体"/>
              </w:rPr>
            </w:pPr>
          </w:p>
        </w:tc>
        <w:tc>
          <w:tcPr>
            <w:tcW w:w="50" w:type="pct"/>
            <w:shd w:val="clear" w:color="auto" w:fill="auto"/>
            <w:vAlign w:val="bottom"/>
          </w:tcPr>
          <w:p w14:paraId="27E08B32" w14:textId="77777777" w:rsidR="00A85061" w:rsidRDefault="00A85061">
            <w:pPr>
              <w:rPr>
                <w:rFonts w:ascii="宋体"/>
              </w:rPr>
            </w:pPr>
          </w:p>
        </w:tc>
        <w:tc>
          <w:tcPr>
            <w:tcW w:w="383" w:type="pct"/>
            <w:shd w:val="clear" w:color="auto" w:fill="auto"/>
            <w:vAlign w:val="bottom"/>
          </w:tcPr>
          <w:p w14:paraId="27E08B33" w14:textId="77777777" w:rsidR="00A85061" w:rsidRDefault="00A85061">
            <w:pPr>
              <w:rPr>
                <w:rFonts w:ascii="宋体"/>
              </w:rPr>
            </w:pPr>
          </w:p>
        </w:tc>
        <w:tc>
          <w:tcPr>
            <w:tcW w:w="5" w:type="pct"/>
            <w:shd w:val="clear" w:color="auto" w:fill="auto"/>
            <w:vAlign w:val="bottom"/>
          </w:tcPr>
          <w:p w14:paraId="27E08B34" w14:textId="77777777" w:rsidR="00A85061" w:rsidRDefault="00A85061">
            <w:pPr>
              <w:rPr>
                <w:rFonts w:ascii="宋体"/>
              </w:rPr>
            </w:pPr>
          </w:p>
        </w:tc>
        <w:tc>
          <w:tcPr>
            <w:tcW w:w="0" w:type="auto"/>
            <w:gridSpan w:val="3"/>
            <w:shd w:val="clear" w:color="auto" w:fill="auto"/>
            <w:vAlign w:val="bottom"/>
          </w:tcPr>
          <w:p w14:paraId="27E08B35" w14:textId="77777777" w:rsidR="00A85061" w:rsidRDefault="00A85061">
            <w:pPr>
              <w:rPr>
                <w:rFonts w:ascii="宋体"/>
                <w:vanish/>
              </w:rPr>
            </w:pPr>
          </w:p>
        </w:tc>
        <w:tc>
          <w:tcPr>
            <w:tcW w:w="0" w:type="auto"/>
            <w:gridSpan w:val="3"/>
            <w:shd w:val="clear" w:color="auto" w:fill="auto"/>
            <w:vAlign w:val="bottom"/>
          </w:tcPr>
          <w:p w14:paraId="27E08B36" w14:textId="77777777" w:rsidR="00A85061" w:rsidRDefault="00A85061">
            <w:pPr>
              <w:rPr>
                <w:rFonts w:ascii="宋体"/>
                <w:vanish/>
              </w:rPr>
            </w:pPr>
          </w:p>
        </w:tc>
        <w:tc>
          <w:tcPr>
            <w:tcW w:w="0" w:type="auto"/>
            <w:gridSpan w:val="3"/>
            <w:shd w:val="clear" w:color="auto" w:fill="auto"/>
            <w:vAlign w:val="bottom"/>
          </w:tcPr>
          <w:p w14:paraId="27E08B37" w14:textId="77777777" w:rsidR="00A85061" w:rsidRDefault="00A85061">
            <w:pPr>
              <w:rPr>
                <w:rFonts w:ascii="宋体"/>
                <w:vanish/>
              </w:rPr>
            </w:pPr>
          </w:p>
        </w:tc>
        <w:tc>
          <w:tcPr>
            <w:tcW w:w="0" w:type="auto"/>
            <w:gridSpan w:val="3"/>
            <w:shd w:val="clear" w:color="auto" w:fill="auto"/>
            <w:vAlign w:val="bottom"/>
          </w:tcPr>
          <w:p w14:paraId="27E08B38" w14:textId="77777777" w:rsidR="00A85061" w:rsidRDefault="00A85061">
            <w:pPr>
              <w:rPr>
                <w:rFonts w:ascii="宋体"/>
                <w:vanish/>
              </w:rPr>
            </w:pPr>
          </w:p>
        </w:tc>
        <w:tc>
          <w:tcPr>
            <w:tcW w:w="0" w:type="auto"/>
            <w:gridSpan w:val="3"/>
            <w:shd w:val="clear" w:color="auto" w:fill="auto"/>
            <w:vAlign w:val="bottom"/>
          </w:tcPr>
          <w:p w14:paraId="27E08B39" w14:textId="77777777" w:rsidR="00A85061" w:rsidRDefault="00A85061">
            <w:pPr>
              <w:rPr>
                <w:rFonts w:ascii="宋体"/>
                <w:vanish/>
              </w:rPr>
            </w:pPr>
          </w:p>
        </w:tc>
        <w:tc>
          <w:tcPr>
            <w:tcW w:w="0" w:type="auto"/>
            <w:gridSpan w:val="3"/>
            <w:shd w:val="clear" w:color="auto" w:fill="auto"/>
            <w:vAlign w:val="bottom"/>
          </w:tcPr>
          <w:p w14:paraId="27E08B3A" w14:textId="77777777" w:rsidR="00A85061" w:rsidRDefault="00A85061">
            <w:pPr>
              <w:rPr>
                <w:rFonts w:ascii="宋体"/>
                <w:vanish/>
              </w:rPr>
            </w:pPr>
          </w:p>
        </w:tc>
        <w:tc>
          <w:tcPr>
            <w:tcW w:w="0" w:type="auto"/>
            <w:gridSpan w:val="3"/>
            <w:shd w:val="clear" w:color="auto" w:fill="auto"/>
            <w:vAlign w:val="bottom"/>
          </w:tcPr>
          <w:p w14:paraId="27E08B3B" w14:textId="77777777" w:rsidR="00A85061" w:rsidRDefault="00A85061">
            <w:pPr>
              <w:rPr>
                <w:rFonts w:ascii="宋体"/>
                <w:vanish/>
              </w:rPr>
            </w:pPr>
          </w:p>
        </w:tc>
        <w:tc>
          <w:tcPr>
            <w:tcW w:w="0" w:type="auto"/>
            <w:gridSpan w:val="3"/>
            <w:shd w:val="clear" w:color="auto" w:fill="auto"/>
            <w:vAlign w:val="bottom"/>
          </w:tcPr>
          <w:p w14:paraId="27E08B3C" w14:textId="77777777" w:rsidR="00A85061" w:rsidRDefault="00A85061">
            <w:pPr>
              <w:rPr>
                <w:rFonts w:ascii="宋体"/>
                <w:vanish/>
              </w:rPr>
            </w:pPr>
          </w:p>
        </w:tc>
      </w:tr>
      <w:tr w:rsidR="00A85061" w14:paraId="27E08B54" w14:textId="77777777">
        <w:tc>
          <w:tcPr>
            <w:tcW w:w="0" w:type="auto"/>
            <w:gridSpan w:val="3"/>
            <w:shd w:val="clear" w:color="auto" w:fill="auto"/>
            <w:tcMar>
              <w:top w:w="0" w:type="dxa"/>
              <w:left w:w="20" w:type="dxa"/>
              <w:bottom w:w="0" w:type="dxa"/>
              <w:right w:w="20" w:type="dxa"/>
            </w:tcMar>
            <w:vAlign w:val="bottom"/>
          </w:tcPr>
          <w:p w14:paraId="27E08B3E" w14:textId="77777777" w:rsidR="00A85061" w:rsidRDefault="00A85061">
            <w:pPr>
              <w:rPr>
                <w:rFonts w:ascii="宋体"/>
              </w:rPr>
            </w:pPr>
          </w:p>
        </w:tc>
        <w:tc>
          <w:tcPr>
            <w:tcW w:w="0" w:type="auto"/>
            <w:gridSpan w:val="21"/>
            <w:shd w:val="clear" w:color="auto" w:fill="auto"/>
            <w:tcMar>
              <w:top w:w="40" w:type="dxa"/>
              <w:left w:w="20" w:type="dxa"/>
              <w:bottom w:w="40" w:type="dxa"/>
              <w:right w:w="20" w:type="dxa"/>
            </w:tcMar>
            <w:vAlign w:val="bottom"/>
          </w:tcPr>
          <w:p w14:paraId="27E08B3F" w14:textId="77777777" w:rsidR="00A85061" w:rsidRDefault="00F04891">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8B40" w14:textId="77777777" w:rsidR="00A85061" w:rsidRDefault="00A85061">
            <w:pPr>
              <w:rPr>
                <w:rFonts w:ascii="宋体"/>
                <w:vanish/>
              </w:rPr>
            </w:pPr>
          </w:p>
        </w:tc>
        <w:tc>
          <w:tcPr>
            <w:tcW w:w="0" w:type="auto"/>
            <w:gridSpan w:val="3"/>
            <w:shd w:val="clear" w:color="auto" w:fill="auto"/>
            <w:vAlign w:val="bottom"/>
          </w:tcPr>
          <w:p w14:paraId="27E08B41" w14:textId="77777777" w:rsidR="00A85061" w:rsidRDefault="00A85061">
            <w:pPr>
              <w:rPr>
                <w:rFonts w:ascii="宋体"/>
                <w:vanish/>
              </w:rPr>
            </w:pPr>
          </w:p>
        </w:tc>
        <w:tc>
          <w:tcPr>
            <w:tcW w:w="0" w:type="auto"/>
            <w:shd w:val="clear" w:color="auto" w:fill="auto"/>
            <w:vAlign w:val="bottom"/>
          </w:tcPr>
          <w:p w14:paraId="27E08B42" w14:textId="77777777" w:rsidR="00A85061" w:rsidRDefault="00A85061">
            <w:pPr>
              <w:rPr>
                <w:rFonts w:ascii="宋体"/>
              </w:rPr>
            </w:pPr>
          </w:p>
        </w:tc>
        <w:tc>
          <w:tcPr>
            <w:tcW w:w="0" w:type="auto"/>
            <w:shd w:val="clear" w:color="auto" w:fill="auto"/>
            <w:vAlign w:val="bottom"/>
          </w:tcPr>
          <w:p w14:paraId="27E08B43" w14:textId="77777777" w:rsidR="00A85061" w:rsidRDefault="00A85061">
            <w:pPr>
              <w:rPr>
                <w:rFonts w:ascii="宋体"/>
              </w:rPr>
            </w:pPr>
          </w:p>
        </w:tc>
        <w:tc>
          <w:tcPr>
            <w:tcW w:w="0" w:type="auto"/>
            <w:shd w:val="clear" w:color="auto" w:fill="auto"/>
            <w:vAlign w:val="bottom"/>
          </w:tcPr>
          <w:p w14:paraId="27E08B44" w14:textId="77777777" w:rsidR="00A85061" w:rsidRDefault="00A85061">
            <w:pPr>
              <w:rPr>
                <w:rFonts w:ascii="宋体"/>
              </w:rPr>
            </w:pPr>
          </w:p>
        </w:tc>
        <w:tc>
          <w:tcPr>
            <w:tcW w:w="0" w:type="auto"/>
            <w:shd w:val="clear" w:color="auto" w:fill="auto"/>
            <w:vAlign w:val="bottom"/>
          </w:tcPr>
          <w:p w14:paraId="27E08B45" w14:textId="77777777" w:rsidR="00A85061" w:rsidRDefault="00A85061">
            <w:pPr>
              <w:rPr>
                <w:rFonts w:ascii="宋体"/>
              </w:rPr>
            </w:pPr>
          </w:p>
        </w:tc>
        <w:tc>
          <w:tcPr>
            <w:tcW w:w="0" w:type="auto"/>
            <w:shd w:val="clear" w:color="auto" w:fill="auto"/>
            <w:vAlign w:val="bottom"/>
          </w:tcPr>
          <w:p w14:paraId="27E08B46" w14:textId="77777777" w:rsidR="00A85061" w:rsidRDefault="00A85061">
            <w:pPr>
              <w:rPr>
                <w:rFonts w:ascii="宋体"/>
              </w:rPr>
            </w:pPr>
          </w:p>
        </w:tc>
        <w:tc>
          <w:tcPr>
            <w:tcW w:w="0" w:type="auto"/>
            <w:shd w:val="clear" w:color="auto" w:fill="auto"/>
            <w:vAlign w:val="bottom"/>
          </w:tcPr>
          <w:p w14:paraId="27E08B47" w14:textId="77777777" w:rsidR="00A85061" w:rsidRDefault="00A85061">
            <w:pPr>
              <w:rPr>
                <w:rFonts w:ascii="宋体"/>
              </w:rPr>
            </w:pPr>
          </w:p>
        </w:tc>
        <w:tc>
          <w:tcPr>
            <w:tcW w:w="0" w:type="auto"/>
            <w:shd w:val="clear" w:color="auto" w:fill="auto"/>
            <w:vAlign w:val="bottom"/>
          </w:tcPr>
          <w:p w14:paraId="27E08B48" w14:textId="77777777" w:rsidR="00A85061" w:rsidRDefault="00A85061">
            <w:pPr>
              <w:rPr>
                <w:rFonts w:ascii="宋体"/>
              </w:rPr>
            </w:pPr>
          </w:p>
        </w:tc>
        <w:tc>
          <w:tcPr>
            <w:tcW w:w="0" w:type="auto"/>
            <w:shd w:val="clear" w:color="auto" w:fill="auto"/>
            <w:vAlign w:val="bottom"/>
          </w:tcPr>
          <w:p w14:paraId="27E08B49" w14:textId="77777777" w:rsidR="00A85061" w:rsidRDefault="00A85061">
            <w:pPr>
              <w:rPr>
                <w:rFonts w:ascii="宋体"/>
              </w:rPr>
            </w:pPr>
          </w:p>
        </w:tc>
        <w:tc>
          <w:tcPr>
            <w:tcW w:w="0" w:type="auto"/>
            <w:shd w:val="clear" w:color="auto" w:fill="auto"/>
            <w:vAlign w:val="bottom"/>
          </w:tcPr>
          <w:p w14:paraId="27E08B4A" w14:textId="77777777" w:rsidR="00A85061" w:rsidRDefault="00A85061">
            <w:pPr>
              <w:rPr>
                <w:rFonts w:ascii="宋体"/>
              </w:rPr>
            </w:pPr>
          </w:p>
        </w:tc>
        <w:tc>
          <w:tcPr>
            <w:tcW w:w="0" w:type="auto"/>
            <w:shd w:val="clear" w:color="auto" w:fill="auto"/>
            <w:vAlign w:val="bottom"/>
          </w:tcPr>
          <w:p w14:paraId="27E08B4B" w14:textId="77777777" w:rsidR="00A85061" w:rsidRDefault="00A85061">
            <w:pPr>
              <w:rPr>
                <w:rFonts w:ascii="宋体"/>
              </w:rPr>
            </w:pPr>
          </w:p>
        </w:tc>
        <w:tc>
          <w:tcPr>
            <w:tcW w:w="0" w:type="auto"/>
            <w:shd w:val="clear" w:color="auto" w:fill="auto"/>
            <w:vAlign w:val="bottom"/>
          </w:tcPr>
          <w:p w14:paraId="27E08B4C" w14:textId="77777777" w:rsidR="00A85061" w:rsidRDefault="00A85061">
            <w:pPr>
              <w:rPr>
                <w:rFonts w:ascii="宋体"/>
              </w:rPr>
            </w:pPr>
          </w:p>
        </w:tc>
        <w:tc>
          <w:tcPr>
            <w:tcW w:w="0" w:type="auto"/>
            <w:shd w:val="clear" w:color="auto" w:fill="auto"/>
            <w:vAlign w:val="bottom"/>
          </w:tcPr>
          <w:p w14:paraId="27E08B4D" w14:textId="77777777" w:rsidR="00A85061" w:rsidRDefault="00A85061">
            <w:pPr>
              <w:rPr>
                <w:rFonts w:ascii="宋体"/>
              </w:rPr>
            </w:pPr>
          </w:p>
        </w:tc>
        <w:tc>
          <w:tcPr>
            <w:tcW w:w="0" w:type="auto"/>
            <w:shd w:val="clear" w:color="auto" w:fill="auto"/>
            <w:vAlign w:val="bottom"/>
          </w:tcPr>
          <w:p w14:paraId="27E08B4E" w14:textId="77777777" w:rsidR="00A85061" w:rsidRDefault="00A85061">
            <w:pPr>
              <w:rPr>
                <w:rFonts w:ascii="宋体"/>
              </w:rPr>
            </w:pPr>
          </w:p>
        </w:tc>
        <w:tc>
          <w:tcPr>
            <w:tcW w:w="0" w:type="auto"/>
            <w:shd w:val="clear" w:color="auto" w:fill="auto"/>
            <w:vAlign w:val="bottom"/>
          </w:tcPr>
          <w:p w14:paraId="27E08B4F" w14:textId="77777777" w:rsidR="00A85061" w:rsidRDefault="00A85061">
            <w:pPr>
              <w:rPr>
                <w:rFonts w:ascii="宋体"/>
              </w:rPr>
            </w:pPr>
          </w:p>
        </w:tc>
        <w:tc>
          <w:tcPr>
            <w:tcW w:w="0" w:type="auto"/>
            <w:shd w:val="clear" w:color="auto" w:fill="auto"/>
            <w:vAlign w:val="bottom"/>
          </w:tcPr>
          <w:p w14:paraId="27E08B50" w14:textId="77777777" w:rsidR="00A85061" w:rsidRDefault="00A85061">
            <w:pPr>
              <w:rPr>
                <w:rFonts w:ascii="宋体"/>
              </w:rPr>
            </w:pPr>
          </w:p>
        </w:tc>
        <w:tc>
          <w:tcPr>
            <w:tcW w:w="0" w:type="auto"/>
            <w:shd w:val="clear" w:color="auto" w:fill="auto"/>
            <w:vAlign w:val="bottom"/>
          </w:tcPr>
          <w:p w14:paraId="27E08B51" w14:textId="77777777" w:rsidR="00A85061" w:rsidRDefault="00A85061">
            <w:pPr>
              <w:rPr>
                <w:rFonts w:ascii="宋体"/>
              </w:rPr>
            </w:pPr>
          </w:p>
        </w:tc>
        <w:tc>
          <w:tcPr>
            <w:tcW w:w="0" w:type="auto"/>
            <w:shd w:val="clear" w:color="auto" w:fill="auto"/>
            <w:vAlign w:val="bottom"/>
          </w:tcPr>
          <w:p w14:paraId="27E08B52" w14:textId="77777777" w:rsidR="00A85061" w:rsidRDefault="00A85061">
            <w:pPr>
              <w:rPr>
                <w:rFonts w:ascii="宋体"/>
              </w:rPr>
            </w:pPr>
          </w:p>
        </w:tc>
        <w:tc>
          <w:tcPr>
            <w:tcW w:w="0" w:type="auto"/>
            <w:shd w:val="clear" w:color="auto" w:fill="auto"/>
            <w:vAlign w:val="bottom"/>
          </w:tcPr>
          <w:p w14:paraId="27E08B53" w14:textId="77777777" w:rsidR="00A85061" w:rsidRDefault="00A85061">
            <w:pPr>
              <w:rPr>
                <w:rFonts w:ascii="宋体"/>
              </w:rPr>
            </w:pPr>
          </w:p>
        </w:tc>
      </w:tr>
      <w:tr w:rsidR="00A85061" w14:paraId="27E08B65" w14:textId="77777777">
        <w:tc>
          <w:tcPr>
            <w:tcW w:w="0" w:type="auto"/>
            <w:gridSpan w:val="3"/>
            <w:shd w:val="clear" w:color="auto" w:fill="auto"/>
            <w:tcMar>
              <w:top w:w="40" w:type="dxa"/>
              <w:left w:w="20" w:type="dxa"/>
              <w:bottom w:w="40" w:type="dxa"/>
              <w:right w:w="20" w:type="dxa"/>
            </w:tcMar>
            <w:vAlign w:val="center"/>
          </w:tcPr>
          <w:p w14:paraId="27E08B55" w14:textId="77777777" w:rsidR="00A85061" w:rsidRDefault="00F04891">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B56" w14:textId="77777777" w:rsidR="00A85061" w:rsidRDefault="00F04891">
            <w:pPr>
              <w:jc w:val="center"/>
              <w:textAlignment w:val="center"/>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57"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B58" w14:textId="77777777" w:rsidR="00A85061" w:rsidRDefault="00F04891">
            <w:pPr>
              <w:jc w:val="center"/>
              <w:textAlignment w:val="center"/>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59"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B5A" w14:textId="77777777" w:rsidR="00A85061" w:rsidRDefault="00F04891">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5B"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B5C" w14:textId="77777777" w:rsidR="00A85061" w:rsidRDefault="00F04891">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vAlign w:val="bottom"/>
          </w:tcPr>
          <w:p w14:paraId="27E08B5D" w14:textId="77777777" w:rsidR="00A85061" w:rsidRDefault="00A85061">
            <w:pPr>
              <w:rPr>
                <w:rFonts w:ascii="宋体"/>
                <w:vanish/>
              </w:rPr>
            </w:pPr>
          </w:p>
        </w:tc>
        <w:tc>
          <w:tcPr>
            <w:tcW w:w="0" w:type="auto"/>
            <w:gridSpan w:val="3"/>
            <w:shd w:val="clear" w:color="auto" w:fill="auto"/>
            <w:vAlign w:val="bottom"/>
          </w:tcPr>
          <w:p w14:paraId="27E08B5E" w14:textId="77777777" w:rsidR="00A85061" w:rsidRDefault="00A85061">
            <w:pPr>
              <w:rPr>
                <w:rFonts w:ascii="宋体"/>
                <w:vanish/>
              </w:rPr>
            </w:pPr>
          </w:p>
        </w:tc>
        <w:tc>
          <w:tcPr>
            <w:tcW w:w="0" w:type="auto"/>
            <w:gridSpan w:val="3"/>
            <w:shd w:val="clear" w:color="auto" w:fill="auto"/>
            <w:vAlign w:val="bottom"/>
          </w:tcPr>
          <w:p w14:paraId="27E08B5F" w14:textId="77777777" w:rsidR="00A85061" w:rsidRDefault="00A85061">
            <w:pPr>
              <w:rPr>
                <w:rFonts w:ascii="宋体"/>
                <w:vanish/>
              </w:rPr>
            </w:pPr>
          </w:p>
        </w:tc>
        <w:tc>
          <w:tcPr>
            <w:tcW w:w="0" w:type="auto"/>
            <w:gridSpan w:val="3"/>
            <w:shd w:val="clear" w:color="auto" w:fill="auto"/>
            <w:vAlign w:val="bottom"/>
          </w:tcPr>
          <w:p w14:paraId="27E08B60" w14:textId="77777777" w:rsidR="00A85061" w:rsidRDefault="00A85061">
            <w:pPr>
              <w:rPr>
                <w:rFonts w:ascii="宋体"/>
                <w:vanish/>
              </w:rPr>
            </w:pPr>
          </w:p>
        </w:tc>
        <w:tc>
          <w:tcPr>
            <w:tcW w:w="0" w:type="auto"/>
            <w:gridSpan w:val="3"/>
            <w:shd w:val="clear" w:color="auto" w:fill="auto"/>
            <w:vAlign w:val="bottom"/>
          </w:tcPr>
          <w:p w14:paraId="27E08B61" w14:textId="77777777" w:rsidR="00A85061" w:rsidRDefault="00A85061">
            <w:pPr>
              <w:rPr>
                <w:rFonts w:ascii="宋体"/>
                <w:vanish/>
              </w:rPr>
            </w:pPr>
          </w:p>
        </w:tc>
        <w:tc>
          <w:tcPr>
            <w:tcW w:w="0" w:type="auto"/>
            <w:gridSpan w:val="3"/>
            <w:shd w:val="clear" w:color="auto" w:fill="auto"/>
            <w:vAlign w:val="bottom"/>
          </w:tcPr>
          <w:p w14:paraId="27E08B62" w14:textId="77777777" w:rsidR="00A85061" w:rsidRDefault="00A85061">
            <w:pPr>
              <w:rPr>
                <w:rFonts w:ascii="宋体"/>
                <w:vanish/>
              </w:rPr>
            </w:pPr>
          </w:p>
        </w:tc>
        <w:tc>
          <w:tcPr>
            <w:tcW w:w="0" w:type="auto"/>
            <w:gridSpan w:val="3"/>
            <w:shd w:val="clear" w:color="auto" w:fill="auto"/>
            <w:vAlign w:val="bottom"/>
          </w:tcPr>
          <w:p w14:paraId="27E08B63" w14:textId="77777777" w:rsidR="00A85061" w:rsidRDefault="00A85061">
            <w:pPr>
              <w:rPr>
                <w:rFonts w:ascii="宋体"/>
                <w:vanish/>
              </w:rPr>
            </w:pPr>
          </w:p>
        </w:tc>
        <w:tc>
          <w:tcPr>
            <w:tcW w:w="0" w:type="auto"/>
            <w:gridSpan w:val="3"/>
            <w:shd w:val="clear" w:color="auto" w:fill="auto"/>
            <w:vAlign w:val="bottom"/>
          </w:tcPr>
          <w:p w14:paraId="27E08B64" w14:textId="77777777" w:rsidR="00A85061" w:rsidRDefault="00A85061">
            <w:pPr>
              <w:rPr>
                <w:rFonts w:ascii="宋体"/>
                <w:vanish/>
              </w:rPr>
            </w:pPr>
          </w:p>
        </w:tc>
      </w:tr>
      <w:tr w:rsidR="00A85061" w14:paraId="27E08B76" w14:textId="77777777">
        <w:trPr>
          <w:trHeight w:val="60"/>
        </w:trPr>
        <w:tc>
          <w:tcPr>
            <w:tcW w:w="0" w:type="auto"/>
            <w:gridSpan w:val="3"/>
            <w:shd w:val="clear" w:color="auto" w:fill="auto"/>
            <w:tcMar>
              <w:top w:w="0" w:type="dxa"/>
              <w:left w:w="20" w:type="dxa"/>
              <w:bottom w:w="0" w:type="dxa"/>
              <w:right w:w="20" w:type="dxa"/>
            </w:tcMar>
            <w:vAlign w:val="bottom"/>
          </w:tcPr>
          <w:p w14:paraId="27E08B6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6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B68"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6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B6A"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6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B6C"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B6D" w14:textId="77777777" w:rsidR="00A85061" w:rsidRDefault="00A85061">
            <w:pPr>
              <w:rPr>
                <w:rFonts w:ascii="宋体"/>
              </w:rPr>
            </w:pPr>
          </w:p>
        </w:tc>
        <w:tc>
          <w:tcPr>
            <w:tcW w:w="0" w:type="auto"/>
            <w:gridSpan w:val="3"/>
            <w:shd w:val="clear" w:color="auto" w:fill="auto"/>
            <w:vAlign w:val="bottom"/>
          </w:tcPr>
          <w:p w14:paraId="27E08B6E" w14:textId="77777777" w:rsidR="00A85061" w:rsidRDefault="00A85061">
            <w:pPr>
              <w:rPr>
                <w:rFonts w:ascii="宋体"/>
                <w:vanish/>
              </w:rPr>
            </w:pPr>
          </w:p>
        </w:tc>
        <w:tc>
          <w:tcPr>
            <w:tcW w:w="0" w:type="auto"/>
            <w:gridSpan w:val="3"/>
            <w:shd w:val="clear" w:color="auto" w:fill="auto"/>
            <w:vAlign w:val="bottom"/>
          </w:tcPr>
          <w:p w14:paraId="27E08B6F" w14:textId="77777777" w:rsidR="00A85061" w:rsidRDefault="00A85061">
            <w:pPr>
              <w:rPr>
                <w:rFonts w:ascii="宋体"/>
                <w:vanish/>
              </w:rPr>
            </w:pPr>
          </w:p>
        </w:tc>
        <w:tc>
          <w:tcPr>
            <w:tcW w:w="0" w:type="auto"/>
            <w:gridSpan w:val="3"/>
            <w:shd w:val="clear" w:color="auto" w:fill="auto"/>
            <w:vAlign w:val="bottom"/>
          </w:tcPr>
          <w:p w14:paraId="27E08B70" w14:textId="77777777" w:rsidR="00A85061" w:rsidRDefault="00A85061">
            <w:pPr>
              <w:rPr>
                <w:rFonts w:ascii="宋体"/>
                <w:vanish/>
              </w:rPr>
            </w:pPr>
          </w:p>
        </w:tc>
        <w:tc>
          <w:tcPr>
            <w:tcW w:w="0" w:type="auto"/>
            <w:gridSpan w:val="3"/>
            <w:shd w:val="clear" w:color="auto" w:fill="auto"/>
            <w:vAlign w:val="bottom"/>
          </w:tcPr>
          <w:p w14:paraId="27E08B71" w14:textId="77777777" w:rsidR="00A85061" w:rsidRDefault="00A85061">
            <w:pPr>
              <w:rPr>
                <w:rFonts w:ascii="宋体"/>
                <w:vanish/>
              </w:rPr>
            </w:pPr>
          </w:p>
        </w:tc>
        <w:tc>
          <w:tcPr>
            <w:tcW w:w="0" w:type="auto"/>
            <w:gridSpan w:val="3"/>
            <w:shd w:val="clear" w:color="auto" w:fill="auto"/>
            <w:vAlign w:val="bottom"/>
          </w:tcPr>
          <w:p w14:paraId="27E08B72" w14:textId="77777777" w:rsidR="00A85061" w:rsidRDefault="00A85061">
            <w:pPr>
              <w:rPr>
                <w:rFonts w:ascii="宋体"/>
                <w:vanish/>
              </w:rPr>
            </w:pPr>
          </w:p>
        </w:tc>
        <w:tc>
          <w:tcPr>
            <w:tcW w:w="0" w:type="auto"/>
            <w:gridSpan w:val="3"/>
            <w:shd w:val="clear" w:color="auto" w:fill="auto"/>
            <w:vAlign w:val="bottom"/>
          </w:tcPr>
          <w:p w14:paraId="27E08B73" w14:textId="77777777" w:rsidR="00A85061" w:rsidRDefault="00A85061">
            <w:pPr>
              <w:rPr>
                <w:rFonts w:ascii="宋体"/>
                <w:vanish/>
              </w:rPr>
            </w:pPr>
          </w:p>
        </w:tc>
        <w:tc>
          <w:tcPr>
            <w:tcW w:w="0" w:type="auto"/>
            <w:gridSpan w:val="3"/>
            <w:shd w:val="clear" w:color="auto" w:fill="auto"/>
            <w:vAlign w:val="bottom"/>
          </w:tcPr>
          <w:p w14:paraId="27E08B74" w14:textId="77777777" w:rsidR="00A85061" w:rsidRDefault="00A85061">
            <w:pPr>
              <w:rPr>
                <w:rFonts w:ascii="宋体"/>
                <w:vanish/>
              </w:rPr>
            </w:pPr>
          </w:p>
        </w:tc>
        <w:tc>
          <w:tcPr>
            <w:tcW w:w="0" w:type="auto"/>
            <w:gridSpan w:val="3"/>
            <w:shd w:val="clear" w:color="auto" w:fill="auto"/>
            <w:vAlign w:val="bottom"/>
          </w:tcPr>
          <w:p w14:paraId="27E08B75" w14:textId="77777777" w:rsidR="00A85061" w:rsidRDefault="00A85061">
            <w:pPr>
              <w:rPr>
                <w:rFonts w:ascii="宋体"/>
                <w:vanish/>
              </w:rPr>
            </w:pPr>
          </w:p>
        </w:tc>
      </w:tr>
      <w:tr w:rsidR="00A85061" w14:paraId="27E08B91" w14:textId="77777777">
        <w:tc>
          <w:tcPr>
            <w:tcW w:w="0" w:type="auto"/>
            <w:gridSpan w:val="3"/>
            <w:shd w:val="clear" w:color="auto" w:fill="auto"/>
            <w:tcMar>
              <w:top w:w="40" w:type="dxa"/>
              <w:left w:w="20" w:type="dxa"/>
              <w:bottom w:w="40" w:type="dxa"/>
              <w:right w:w="20" w:type="dxa"/>
            </w:tcMar>
            <w:vAlign w:val="bottom"/>
          </w:tcPr>
          <w:p w14:paraId="27E08B77" w14:textId="77777777" w:rsidR="00A85061" w:rsidRDefault="00F04891">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27E08B78" w14:textId="77777777" w:rsidR="00A85061" w:rsidRDefault="00F04891">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bottom"/>
          </w:tcPr>
          <w:p w14:paraId="27E08B79" w14:textId="77777777" w:rsidR="00A85061" w:rsidRDefault="00A85061">
            <w:pPr>
              <w:rPr>
                <w:rFonts w:ascii="宋体"/>
              </w:rPr>
            </w:pPr>
          </w:p>
        </w:tc>
        <w:tc>
          <w:tcPr>
            <w:tcW w:w="0" w:type="auto"/>
            <w:shd w:val="clear" w:color="auto" w:fill="auto"/>
            <w:vAlign w:val="bottom"/>
          </w:tcPr>
          <w:p w14:paraId="27E08B7A" w14:textId="77777777" w:rsidR="00A85061" w:rsidRDefault="00A85061">
            <w:pPr>
              <w:rPr>
                <w:rFonts w:ascii="宋体"/>
              </w:rPr>
            </w:pPr>
          </w:p>
        </w:tc>
        <w:tc>
          <w:tcPr>
            <w:tcW w:w="0" w:type="auto"/>
            <w:shd w:val="clear" w:color="auto" w:fill="auto"/>
            <w:vAlign w:val="bottom"/>
          </w:tcPr>
          <w:p w14:paraId="27E08B7B" w14:textId="77777777" w:rsidR="00A85061" w:rsidRDefault="00A85061">
            <w:pPr>
              <w:rPr>
                <w:rFonts w:ascii="宋体"/>
              </w:rPr>
            </w:pPr>
          </w:p>
        </w:tc>
        <w:tc>
          <w:tcPr>
            <w:tcW w:w="0" w:type="auto"/>
            <w:shd w:val="clear" w:color="auto" w:fill="auto"/>
            <w:vAlign w:val="bottom"/>
          </w:tcPr>
          <w:p w14:paraId="27E08B7C" w14:textId="77777777" w:rsidR="00A85061" w:rsidRDefault="00A85061">
            <w:pPr>
              <w:rPr>
                <w:rFonts w:ascii="宋体"/>
              </w:rPr>
            </w:pPr>
          </w:p>
        </w:tc>
        <w:tc>
          <w:tcPr>
            <w:tcW w:w="0" w:type="auto"/>
            <w:shd w:val="clear" w:color="auto" w:fill="auto"/>
            <w:vAlign w:val="bottom"/>
          </w:tcPr>
          <w:p w14:paraId="27E08B7D" w14:textId="77777777" w:rsidR="00A85061" w:rsidRDefault="00A85061">
            <w:pPr>
              <w:rPr>
                <w:rFonts w:ascii="宋体"/>
              </w:rPr>
            </w:pPr>
          </w:p>
        </w:tc>
        <w:tc>
          <w:tcPr>
            <w:tcW w:w="0" w:type="auto"/>
            <w:shd w:val="clear" w:color="auto" w:fill="auto"/>
            <w:vAlign w:val="bottom"/>
          </w:tcPr>
          <w:p w14:paraId="27E08B7E" w14:textId="77777777" w:rsidR="00A85061" w:rsidRDefault="00A85061">
            <w:pPr>
              <w:rPr>
                <w:rFonts w:ascii="宋体"/>
              </w:rPr>
            </w:pPr>
          </w:p>
        </w:tc>
        <w:tc>
          <w:tcPr>
            <w:tcW w:w="0" w:type="auto"/>
            <w:shd w:val="clear" w:color="auto" w:fill="auto"/>
            <w:vAlign w:val="bottom"/>
          </w:tcPr>
          <w:p w14:paraId="27E08B7F" w14:textId="77777777" w:rsidR="00A85061" w:rsidRDefault="00A85061">
            <w:pPr>
              <w:rPr>
                <w:rFonts w:ascii="宋体"/>
              </w:rPr>
            </w:pPr>
          </w:p>
        </w:tc>
        <w:tc>
          <w:tcPr>
            <w:tcW w:w="0" w:type="auto"/>
            <w:shd w:val="clear" w:color="auto" w:fill="auto"/>
            <w:vAlign w:val="bottom"/>
          </w:tcPr>
          <w:p w14:paraId="27E08B80" w14:textId="77777777" w:rsidR="00A85061" w:rsidRDefault="00A85061">
            <w:pPr>
              <w:rPr>
                <w:rFonts w:ascii="宋体"/>
              </w:rPr>
            </w:pPr>
          </w:p>
        </w:tc>
        <w:tc>
          <w:tcPr>
            <w:tcW w:w="0" w:type="auto"/>
            <w:shd w:val="clear" w:color="auto" w:fill="auto"/>
            <w:vAlign w:val="bottom"/>
          </w:tcPr>
          <w:p w14:paraId="27E08B81" w14:textId="77777777" w:rsidR="00A85061" w:rsidRDefault="00A85061">
            <w:pPr>
              <w:rPr>
                <w:rFonts w:ascii="宋体"/>
              </w:rPr>
            </w:pPr>
          </w:p>
        </w:tc>
        <w:tc>
          <w:tcPr>
            <w:tcW w:w="0" w:type="auto"/>
            <w:shd w:val="clear" w:color="auto" w:fill="auto"/>
            <w:vAlign w:val="bottom"/>
          </w:tcPr>
          <w:p w14:paraId="27E08B82" w14:textId="77777777" w:rsidR="00A85061" w:rsidRDefault="00A85061">
            <w:pPr>
              <w:rPr>
                <w:rFonts w:ascii="宋体"/>
              </w:rPr>
            </w:pPr>
          </w:p>
        </w:tc>
        <w:tc>
          <w:tcPr>
            <w:tcW w:w="0" w:type="auto"/>
            <w:shd w:val="clear" w:color="auto" w:fill="auto"/>
            <w:vAlign w:val="bottom"/>
          </w:tcPr>
          <w:p w14:paraId="27E08B83" w14:textId="77777777" w:rsidR="00A85061" w:rsidRDefault="00A85061">
            <w:pPr>
              <w:rPr>
                <w:rFonts w:ascii="宋体"/>
              </w:rPr>
            </w:pPr>
          </w:p>
        </w:tc>
        <w:tc>
          <w:tcPr>
            <w:tcW w:w="0" w:type="auto"/>
            <w:shd w:val="clear" w:color="auto" w:fill="auto"/>
            <w:vAlign w:val="bottom"/>
          </w:tcPr>
          <w:p w14:paraId="27E08B84" w14:textId="77777777" w:rsidR="00A85061" w:rsidRDefault="00A85061">
            <w:pPr>
              <w:rPr>
                <w:rFonts w:ascii="宋体"/>
              </w:rPr>
            </w:pPr>
          </w:p>
        </w:tc>
        <w:tc>
          <w:tcPr>
            <w:tcW w:w="0" w:type="auto"/>
            <w:shd w:val="clear" w:color="auto" w:fill="auto"/>
            <w:vAlign w:val="bottom"/>
          </w:tcPr>
          <w:p w14:paraId="27E08B85" w14:textId="77777777" w:rsidR="00A85061" w:rsidRDefault="00A85061">
            <w:pPr>
              <w:rPr>
                <w:rFonts w:ascii="宋体"/>
              </w:rPr>
            </w:pPr>
          </w:p>
        </w:tc>
        <w:tc>
          <w:tcPr>
            <w:tcW w:w="0" w:type="auto"/>
            <w:shd w:val="clear" w:color="auto" w:fill="auto"/>
            <w:vAlign w:val="bottom"/>
          </w:tcPr>
          <w:p w14:paraId="27E08B86" w14:textId="77777777" w:rsidR="00A85061" w:rsidRDefault="00A85061">
            <w:pPr>
              <w:rPr>
                <w:rFonts w:ascii="宋体"/>
              </w:rPr>
            </w:pPr>
          </w:p>
        </w:tc>
        <w:tc>
          <w:tcPr>
            <w:tcW w:w="0" w:type="auto"/>
            <w:shd w:val="clear" w:color="auto" w:fill="auto"/>
            <w:vAlign w:val="bottom"/>
          </w:tcPr>
          <w:p w14:paraId="27E08B87" w14:textId="77777777" w:rsidR="00A85061" w:rsidRDefault="00A85061">
            <w:pPr>
              <w:rPr>
                <w:rFonts w:ascii="宋体"/>
              </w:rPr>
            </w:pPr>
          </w:p>
        </w:tc>
        <w:tc>
          <w:tcPr>
            <w:tcW w:w="0" w:type="auto"/>
            <w:shd w:val="clear" w:color="auto" w:fill="auto"/>
            <w:vAlign w:val="bottom"/>
          </w:tcPr>
          <w:p w14:paraId="27E08B88" w14:textId="77777777" w:rsidR="00A85061" w:rsidRDefault="00A85061">
            <w:pPr>
              <w:rPr>
                <w:rFonts w:ascii="宋体"/>
              </w:rPr>
            </w:pPr>
          </w:p>
        </w:tc>
        <w:tc>
          <w:tcPr>
            <w:tcW w:w="0" w:type="auto"/>
            <w:shd w:val="clear" w:color="auto" w:fill="auto"/>
            <w:vAlign w:val="bottom"/>
          </w:tcPr>
          <w:p w14:paraId="27E08B89" w14:textId="77777777" w:rsidR="00A85061" w:rsidRDefault="00A85061">
            <w:pPr>
              <w:rPr>
                <w:rFonts w:ascii="宋体"/>
              </w:rPr>
            </w:pPr>
          </w:p>
        </w:tc>
        <w:tc>
          <w:tcPr>
            <w:tcW w:w="0" w:type="auto"/>
            <w:shd w:val="clear" w:color="auto" w:fill="auto"/>
            <w:vAlign w:val="bottom"/>
          </w:tcPr>
          <w:p w14:paraId="27E08B8A" w14:textId="77777777" w:rsidR="00A85061" w:rsidRDefault="00A85061">
            <w:pPr>
              <w:rPr>
                <w:rFonts w:ascii="宋体"/>
              </w:rPr>
            </w:pPr>
          </w:p>
        </w:tc>
        <w:tc>
          <w:tcPr>
            <w:tcW w:w="0" w:type="auto"/>
            <w:shd w:val="clear" w:color="auto" w:fill="auto"/>
            <w:vAlign w:val="bottom"/>
          </w:tcPr>
          <w:p w14:paraId="27E08B8B" w14:textId="77777777" w:rsidR="00A85061" w:rsidRDefault="00A85061">
            <w:pPr>
              <w:rPr>
                <w:rFonts w:ascii="宋体"/>
              </w:rPr>
            </w:pPr>
          </w:p>
        </w:tc>
        <w:tc>
          <w:tcPr>
            <w:tcW w:w="0" w:type="auto"/>
            <w:shd w:val="clear" w:color="auto" w:fill="auto"/>
            <w:vAlign w:val="bottom"/>
          </w:tcPr>
          <w:p w14:paraId="27E08B8C" w14:textId="77777777" w:rsidR="00A85061" w:rsidRDefault="00A85061">
            <w:pPr>
              <w:rPr>
                <w:rFonts w:ascii="宋体"/>
              </w:rPr>
            </w:pPr>
          </w:p>
        </w:tc>
        <w:tc>
          <w:tcPr>
            <w:tcW w:w="0" w:type="auto"/>
            <w:shd w:val="clear" w:color="auto" w:fill="auto"/>
            <w:vAlign w:val="bottom"/>
          </w:tcPr>
          <w:p w14:paraId="27E08B8D" w14:textId="77777777" w:rsidR="00A85061" w:rsidRDefault="00A85061">
            <w:pPr>
              <w:rPr>
                <w:rFonts w:ascii="宋体"/>
              </w:rPr>
            </w:pPr>
          </w:p>
        </w:tc>
        <w:tc>
          <w:tcPr>
            <w:tcW w:w="0" w:type="auto"/>
            <w:shd w:val="clear" w:color="auto" w:fill="auto"/>
            <w:vAlign w:val="bottom"/>
          </w:tcPr>
          <w:p w14:paraId="27E08B8E" w14:textId="77777777" w:rsidR="00A85061" w:rsidRDefault="00A85061">
            <w:pPr>
              <w:rPr>
                <w:rFonts w:ascii="宋体"/>
              </w:rPr>
            </w:pPr>
          </w:p>
        </w:tc>
        <w:tc>
          <w:tcPr>
            <w:tcW w:w="0" w:type="auto"/>
            <w:shd w:val="clear" w:color="auto" w:fill="auto"/>
            <w:vAlign w:val="bottom"/>
          </w:tcPr>
          <w:p w14:paraId="27E08B8F" w14:textId="77777777" w:rsidR="00A85061" w:rsidRDefault="00A85061">
            <w:pPr>
              <w:rPr>
                <w:rFonts w:ascii="宋体"/>
              </w:rPr>
            </w:pPr>
          </w:p>
        </w:tc>
        <w:tc>
          <w:tcPr>
            <w:tcW w:w="0" w:type="auto"/>
            <w:shd w:val="clear" w:color="auto" w:fill="auto"/>
            <w:vAlign w:val="bottom"/>
          </w:tcPr>
          <w:p w14:paraId="27E08B90" w14:textId="77777777" w:rsidR="00A85061" w:rsidRDefault="00A85061">
            <w:pPr>
              <w:rPr>
                <w:rFonts w:ascii="宋体"/>
              </w:rPr>
            </w:pPr>
          </w:p>
        </w:tc>
      </w:tr>
      <w:tr w:rsidR="00A85061" w14:paraId="27E08BA9" w14:textId="77777777">
        <w:tc>
          <w:tcPr>
            <w:tcW w:w="0" w:type="auto"/>
            <w:gridSpan w:val="3"/>
            <w:shd w:val="clear" w:color="auto" w:fill="E2EFD9"/>
            <w:tcMar>
              <w:top w:w="40" w:type="dxa"/>
              <w:left w:w="20" w:type="dxa"/>
              <w:bottom w:w="40" w:type="dxa"/>
              <w:right w:w="20" w:type="dxa"/>
            </w:tcMar>
            <w:vAlign w:val="bottom"/>
          </w:tcPr>
          <w:p w14:paraId="27E08B92" w14:textId="77777777" w:rsidR="00A85061" w:rsidRDefault="00F04891">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27E08B9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B94" w14:textId="77777777" w:rsidR="00A85061" w:rsidRDefault="00F04891">
            <w:pPr>
              <w:jc w:val="right"/>
              <w:textAlignment w:val="bottom"/>
            </w:pPr>
            <w:r>
              <w:rPr>
                <w:rFonts w:ascii="sans-serif" w:eastAsia="sans-serif" w:hAnsi="sans-serif" w:cs="sans-serif"/>
                <w:color w:val="000000"/>
                <w:sz w:val="20"/>
                <w:szCs w:val="20"/>
              </w:rPr>
              <w:t>3,451 </w:t>
            </w:r>
          </w:p>
        </w:tc>
        <w:tc>
          <w:tcPr>
            <w:tcW w:w="0" w:type="auto"/>
            <w:shd w:val="clear" w:color="auto" w:fill="E2EFD9"/>
            <w:tcMar>
              <w:top w:w="40" w:type="dxa"/>
              <w:left w:w="0" w:type="dxa"/>
              <w:bottom w:w="40" w:type="dxa"/>
              <w:right w:w="20" w:type="dxa"/>
            </w:tcMar>
            <w:vAlign w:val="bottom"/>
          </w:tcPr>
          <w:p w14:paraId="27E08B95"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96"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B97"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B98" w14:textId="77777777" w:rsidR="00A85061" w:rsidRDefault="00F04891">
            <w:pPr>
              <w:jc w:val="right"/>
              <w:textAlignment w:val="bottom"/>
            </w:pPr>
            <w:r>
              <w:rPr>
                <w:rFonts w:ascii="sans-serif" w:eastAsia="sans-serif" w:hAnsi="sans-serif" w:cs="sans-serif"/>
                <w:color w:val="000000"/>
                <w:sz w:val="20"/>
                <w:szCs w:val="20"/>
              </w:rPr>
              <w:t>1,906 </w:t>
            </w:r>
          </w:p>
        </w:tc>
        <w:tc>
          <w:tcPr>
            <w:tcW w:w="0" w:type="auto"/>
            <w:shd w:val="clear" w:color="auto" w:fill="E2EFD9"/>
            <w:tcMar>
              <w:top w:w="40" w:type="dxa"/>
              <w:left w:w="0" w:type="dxa"/>
              <w:bottom w:w="40" w:type="dxa"/>
              <w:right w:w="20" w:type="dxa"/>
            </w:tcMar>
            <w:vAlign w:val="bottom"/>
          </w:tcPr>
          <w:p w14:paraId="27E08B99"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9A"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B9B"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B9C" w14:textId="77777777" w:rsidR="00A85061" w:rsidRDefault="00F04891">
            <w:pPr>
              <w:jc w:val="right"/>
              <w:textAlignment w:val="bottom"/>
            </w:pPr>
            <w:r>
              <w:rPr>
                <w:rFonts w:ascii="sans-serif" w:eastAsia="sans-serif" w:hAnsi="sans-serif" w:cs="sans-serif"/>
                <w:color w:val="000000"/>
                <w:sz w:val="20"/>
                <w:szCs w:val="20"/>
              </w:rPr>
              <w:t>1,545 </w:t>
            </w:r>
          </w:p>
        </w:tc>
        <w:tc>
          <w:tcPr>
            <w:tcW w:w="0" w:type="auto"/>
            <w:shd w:val="clear" w:color="auto" w:fill="E2EFD9"/>
            <w:tcMar>
              <w:top w:w="40" w:type="dxa"/>
              <w:left w:w="0" w:type="dxa"/>
              <w:bottom w:w="40" w:type="dxa"/>
              <w:right w:w="20" w:type="dxa"/>
            </w:tcMar>
            <w:vAlign w:val="bottom"/>
          </w:tcPr>
          <w:p w14:paraId="27E08B9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9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B9F" w14:textId="77777777" w:rsidR="00A85061" w:rsidRDefault="00F04891">
            <w:pPr>
              <w:jc w:val="right"/>
              <w:textAlignment w:val="bottom"/>
            </w:pPr>
            <w:r>
              <w:rPr>
                <w:rFonts w:ascii="sans-serif" w:eastAsia="sans-serif" w:hAnsi="sans-serif" w:cs="sans-serif"/>
                <w:color w:val="000000"/>
                <w:sz w:val="20"/>
                <w:szCs w:val="20"/>
              </w:rPr>
              <w:t>81 </w:t>
            </w:r>
          </w:p>
        </w:tc>
        <w:tc>
          <w:tcPr>
            <w:tcW w:w="0" w:type="auto"/>
            <w:shd w:val="clear" w:color="auto" w:fill="E2EFD9"/>
            <w:tcMar>
              <w:top w:w="40" w:type="dxa"/>
              <w:left w:w="0" w:type="dxa"/>
              <w:bottom w:w="40" w:type="dxa"/>
              <w:right w:w="20" w:type="dxa"/>
            </w:tcMar>
            <w:vAlign w:val="bottom"/>
          </w:tcPr>
          <w:p w14:paraId="27E08BA0"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BA1" w14:textId="77777777" w:rsidR="00A85061" w:rsidRDefault="00A85061">
            <w:pPr>
              <w:rPr>
                <w:rFonts w:ascii="宋体"/>
                <w:vanish/>
              </w:rPr>
            </w:pPr>
          </w:p>
        </w:tc>
        <w:tc>
          <w:tcPr>
            <w:tcW w:w="0" w:type="auto"/>
            <w:gridSpan w:val="3"/>
            <w:shd w:val="clear" w:color="auto" w:fill="auto"/>
            <w:vAlign w:val="bottom"/>
          </w:tcPr>
          <w:p w14:paraId="27E08BA2" w14:textId="77777777" w:rsidR="00A85061" w:rsidRDefault="00A85061">
            <w:pPr>
              <w:rPr>
                <w:rFonts w:ascii="宋体"/>
                <w:vanish/>
              </w:rPr>
            </w:pPr>
          </w:p>
        </w:tc>
        <w:tc>
          <w:tcPr>
            <w:tcW w:w="0" w:type="auto"/>
            <w:gridSpan w:val="3"/>
            <w:shd w:val="clear" w:color="auto" w:fill="auto"/>
            <w:vAlign w:val="bottom"/>
          </w:tcPr>
          <w:p w14:paraId="27E08BA3" w14:textId="77777777" w:rsidR="00A85061" w:rsidRDefault="00A85061">
            <w:pPr>
              <w:rPr>
                <w:rFonts w:ascii="宋体"/>
                <w:vanish/>
              </w:rPr>
            </w:pPr>
          </w:p>
        </w:tc>
        <w:tc>
          <w:tcPr>
            <w:tcW w:w="0" w:type="auto"/>
            <w:gridSpan w:val="3"/>
            <w:shd w:val="clear" w:color="auto" w:fill="auto"/>
            <w:vAlign w:val="bottom"/>
          </w:tcPr>
          <w:p w14:paraId="27E08BA4" w14:textId="77777777" w:rsidR="00A85061" w:rsidRDefault="00A85061">
            <w:pPr>
              <w:rPr>
                <w:rFonts w:ascii="宋体"/>
                <w:vanish/>
              </w:rPr>
            </w:pPr>
          </w:p>
        </w:tc>
        <w:tc>
          <w:tcPr>
            <w:tcW w:w="0" w:type="auto"/>
            <w:gridSpan w:val="3"/>
            <w:shd w:val="clear" w:color="auto" w:fill="auto"/>
            <w:vAlign w:val="bottom"/>
          </w:tcPr>
          <w:p w14:paraId="27E08BA5" w14:textId="77777777" w:rsidR="00A85061" w:rsidRDefault="00A85061">
            <w:pPr>
              <w:rPr>
                <w:rFonts w:ascii="宋体"/>
                <w:vanish/>
              </w:rPr>
            </w:pPr>
          </w:p>
        </w:tc>
        <w:tc>
          <w:tcPr>
            <w:tcW w:w="0" w:type="auto"/>
            <w:gridSpan w:val="3"/>
            <w:shd w:val="clear" w:color="auto" w:fill="auto"/>
            <w:vAlign w:val="bottom"/>
          </w:tcPr>
          <w:p w14:paraId="27E08BA6" w14:textId="77777777" w:rsidR="00A85061" w:rsidRDefault="00A85061">
            <w:pPr>
              <w:rPr>
                <w:rFonts w:ascii="宋体"/>
                <w:vanish/>
              </w:rPr>
            </w:pPr>
          </w:p>
        </w:tc>
        <w:tc>
          <w:tcPr>
            <w:tcW w:w="0" w:type="auto"/>
            <w:gridSpan w:val="3"/>
            <w:shd w:val="clear" w:color="auto" w:fill="auto"/>
            <w:vAlign w:val="bottom"/>
          </w:tcPr>
          <w:p w14:paraId="27E08BA7" w14:textId="77777777" w:rsidR="00A85061" w:rsidRDefault="00A85061">
            <w:pPr>
              <w:rPr>
                <w:rFonts w:ascii="宋体"/>
                <w:vanish/>
              </w:rPr>
            </w:pPr>
          </w:p>
        </w:tc>
        <w:tc>
          <w:tcPr>
            <w:tcW w:w="0" w:type="auto"/>
            <w:gridSpan w:val="3"/>
            <w:shd w:val="clear" w:color="auto" w:fill="auto"/>
            <w:vAlign w:val="bottom"/>
          </w:tcPr>
          <w:p w14:paraId="27E08BA8" w14:textId="77777777" w:rsidR="00A85061" w:rsidRDefault="00A85061">
            <w:pPr>
              <w:rPr>
                <w:rFonts w:ascii="宋体"/>
                <w:vanish/>
              </w:rPr>
            </w:pPr>
          </w:p>
        </w:tc>
      </w:tr>
      <w:tr w:rsidR="00A85061" w14:paraId="27E08BBE" w14:textId="77777777">
        <w:tc>
          <w:tcPr>
            <w:tcW w:w="0" w:type="auto"/>
            <w:gridSpan w:val="3"/>
            <w:shd w:val="clear" w:color="auto" w:fill="FFFFFF"/>
            <w:tcMar>
              <w:top w:w="40" w:type="dxa"/>
              <w:left w:w="20" w:type="dxa"/>
              <w:bottom w:w="40" w:type="dxa"/>
              <w:right w:w="20" w:type="dxa"/>
            </w:tcMar>
            <w:vAlign w:val="bottom"/>
          </w:tcPr>
          <w:p w14:paraId="27E08BAA" w14:textId="77777777" w:rsidR="00A85061" w:rsidRDefault="00F04891">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27E08BAB" w14:textId="77777777" w:rsidR="00A85061" w:rsidRDefault="00F04891">
            <w:pPr>
              <w:jc w:val="right"/>
              <w:textAlignment w:val="bottom"/>
            </w:pPr>
            <w:r>
              <w:rPr>
                <w:rFonts w:ascii="sans-serif" w:eastAsia="sans-serif" w:hAnsi="sans-serif" w:cs="sans-serif"/>
                <w:color w:val="000000"/>
                <w:sz w:val="20"/>
                <w:szCs w:val="20"/>
              </w:rPr>
              <w:t>2,210 </w:t>
            </w:r>
          </w:p>
        </w:tc>
        <w:tc>
          <w:tcPr>
            <w:tcW w:w="0" w:type="auto"/>
            <w:shd w:val="clear" w:color="auto" w:fill="FFFFFF"/>
            <w:tcMar>
              <w:top w:w="40" w:type="dxa"/>
              <w:left w:w="0" w:type="dxa"/>
              <w:bottom w:w="40" w:type="dxa"/>
              <w:right w:w="20" w:type="dxa"/>
            </w:tcMar>
            <w:vAlign w:val="bottom"/>
          </w:tcPr>
          <w:p w14:paraId="27E08BAC"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BAD"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BAE" w14:textId="77777777" w:rsidR="00A85061" w:rsidRDefault="00F04891">
            <w:pPr>
              <w:jc w:val="right"/>
              <w:textAlignment w:val="bottom"/>
            </w:pPr>
            <w:r>
              <w:rPr>
                <w:rFonts w:ascii="sans-serif" w:eastAsia="sans-serif" w:hAnsi="sans-serif" w:cs="sans-serif"/>
                <w:color w:val="000000"/>
                <w:sz w:val="20"/>
                <w:szCs w:val="20"/>
              </w:rPr>
              <w:t>1,174 </w:t>
            </w:r>
          </w:p>
        </w:tc>
        <w:tc>
          <w:tcPr>
            <w:tcW w:w="0" w:type="auto"/>
            <w:shd w:val="clear" w:color="auto" w:fill="FFFFFF"/>
            <w:tcMar>
              <w:top w:w="40" w:type="dxa"/>
              <w:left w:w="0" w:type="dxa"/>
              <w:bottom w:w="40" w:type="dxa"/>
              <w:right w:w="20" w:type="dxa"/>
            </w:tcMar>
            <w:vAlign w:val="bottom"/>
          </w:tcPr>
          <w:p w14:paraId="27E08BAF"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BB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BB1" w14:textId="77777777" w:rsidR="00A85061" w:rsidRDefault="00F04891">
            <w:pPr>
              <w:jc w:val="right"/>
              <w:textAlignment w:val="bottom"/>
            </w:pPr>
            <w:r>
              <w:rPr>
                <w:rFonts w:ascii="sans-serif" w:eastAsia="sans-serif" w:hAnsi="sans-serif" w:cs="sans-serif"/>
                <w:color w:val="000000"/>
                <w:sz w:val="20"/>
                <w:szCs w:val="20"/>
              </w:rPr>
              <w:t>1,036 </w:t>
            </w:r>
          </w:p>
        </w:tc>
        <w:tc>
          <w:tcPr>
            <w:tcW w:w="0" w:type="auto"/>
            <w:shd w:val="clear" w:color="auto" w:fill="FFFFFF"/>
            <w:tcMar>
              <w:top w:w="40" w:type="dxa"/>
              <w:left w:w="0" w:type="dxa"/>
              <w:bottom w:w="40" w:type="dxa"/>
              <w:right w:w="20" w:type="dxa"/>
            </w:tcMar>
            <w:vAlign w:val="bottom"/>
          </w:tcPr>
          <w:p w14:paraId="27E08BB2"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BB3"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BB4" w14:textId="77777777" w:rsidR="00A85061" w:rsidRDefault="00F04891">
            <w:pPr>
              <w:jc w:val="right"/>
              <w:textAlignment w:val="bottom"/>
            </w:pPr>
            <w:r>
              <w:rPr>
                <w:rFonts w:ascii="sans-serif" w:eastAsia="sans-serif" w:hAnsi="sans-serif" w:cs="sans-serif"/>
                <w:color w:val="000000"/>
                <w:sz w:val="20"/>
                <w:szCs w:val="20"/>
              </w:rPr>
              <w:t>88 </w:t>
            </w:r>
          </w:p>
        </w:tc>
        <w:tc>
          <w:tcPr>
            <w:tcW w:w="0" w:type="auto"/>
            <w:shd w:val="clear" w:color="auto" w:fill="FFFFFF"/>
            <w:tcMar>
              <w:top w:w="40" w:type="dxa"/>
              <w:left w:w="0" w:type="dxa"/>
              <w:bottom w:w="40" w:type="dxa"/>
              <w:right w:w="20" w:type="dxa"/>
            </w:tcMar>
            <w:vAlign w:val="bottom"/>
          </w:tcPr>
          <w:p w14:paraId="27E08BB5"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BB6" w14:textId="77777777" w:rsidR="00A85061" w:rsidRDefault="00A85061">
            <w:pPr>
              <w:rPr>
                <w:rFonts w:ascii="宋体"/>
                <w:vanish/>
              </w:rPr>
            </w:pPr>
          </w:p>
        </w:tc>
        <w:tc>
          <w:tcPr>
            <w:tcW w:w="0" w:type="auto"/>
            <w:gridSpan w:val="3"/>
            <w:shd w:val="clear" w:color="auto" w:fill="auto"/>
            <w:vAlign w:val="bottom"/>
          </w:tcPr>
          <w:p w14:paraId="27E08BB7" w14:textId="77777777" w:rsidR="00A85061" w:rsidRDefault="00A85061">
            <w:pPr>
              <w:rPr>
                <w:rFonts w:ascii="宋体"/>
                <w:vanish/>
              </w:rPr>
            </w:pPr>
          </w:p>
        </w:tc>
        <w:tc>
          <w:tcPr>
            <w:tcW w:w="0" w:type="auto"/>
            <w:gridSpan w:val="3"/>
            <w:shd w:val="clear" w:color="auto" w:fill="auto"/>
            <w:vAlign w:val="bottom"/>
          </w:tcPr>
          <w:p w14:paraId="27E08BB8" w14:textId="77777777" w:rsidR="00A85061" w:rsidRDefault="00A85061">
            <w:pPr>
              <w:rPr>
                <w:rFonts w:ascii="宋体"/>
                <w:vanish/>
              </w:rPr>
            </w:pPr>
          </w:p>
        </w:tc>
        <w:tc>
          <w:tcPr>
            <w:tcW w:w="0" w:type="auto"/>
            <w:gridSpan w:val="3"/>
            <w:shd w:val="clear" w:color="auto" w:fill="auto"/>
            <w:vAlign w:val="bottom"/>
          </w:tcPr>
          <w:p w14:paraId="27E08BB9" w14:textId="77777777" w:rsidR="00A85061" w:rsidRDefault="00A85061">
            <w:pPr>
              <w:rPr>
                <w:rFonts w:ascii="宋体"/>
                <w:vanish/>
              </w:rPr>
            </w:pPr>
          </w:p>
        </w:tc>
        <w:tc>
          <w:tcPr>
            <w:tcW w:w="0" w:type="auto"/>
            <w:gridSpan w:val="3"/>
            <w:shd w:val="clear" w:color="auto" w:fill="auto"/>
            <w:vAlign w:val="bottom"/>
          </w:tcPr>
          <w:p w14:paraId="27E08BBA" w14:textId="77777777" w:rsidR="00A85061" w:rsidRDefault="00A85061">
            <w:pPr>
              <w:rPr>
                <w:rFonts w:ascii="宋体"/>
                <w:vanish/>
              </w:rPr>
            </w:pPr>
          </w:p>
        </w:tc>
        <w:tc>
          <w:tcPr>
            <w:tcW w:w="0" w:type="auto"/>
            <w:gridSpan w:val="3"/>
            <w:shd w:val="clear" w:color="auto" w:fill="auto"/>
            <w:vAlign w:val="bottom"/>
          </w:tcPr>
          <w:p w14:paraId="27E08BBB" w14:textId="77777777" w:rsidR="00A85061" w:rsidRDefault="00A85061">
            <w:pPr>
              <w:rPr>
                <w:rFonts w:ascii="宋体"/>
                <w:vanish/>
              </w:rPr>
            </w:pPr>
          </w:p>
        </w:tc>
        <w:tc>
          <w:tcPr>
            <w:tcW w:w="0" w:type="auto"/>
            <w:gridSpan w:val="3"/>
            <w:shd w:val="clear" w:color="auto" w:fill="auto"/>
            <w:vAlign w:val="bottom"/>
          </w:tcPr>
          <w:p w14:paraId="27E08BBC" w14:textId="77777777" w:rsidR="00A85061" w:rsidRDefault="00A85061">
            <w:pPr>
              <w:rPr>
                <w:rFonts w:ascii="宋体"/>
                <w:vanish/>
              </w:rPr>
            </w:pPr>
          </w:p>
        </w:tc>
        <w:tc>
          <w:tcPr>
            <w:tcW w:w="0" w:type="auto"/>
            <w:gridSpan w:val="3"/>
            <w:shd w:val="clear" w:color="auto" w:fill="auto"/>
            <w:vAlign w:val="bottom"/>
          </w:tcPr>
          <w:p w14:paraId="27E08BBD" w14:textId="77777777" w:rsidR="00A85061" w:rsidRDefault="00A85061">
            <w:pPr>
              <w:rPr>
                <w:rFonts w:ascii="宋体"/>
                <w:vanish/>
              </w:rPr>
            </w:pPr>
          </w:p>
        </w:tc>
      </w:tr>
      <w:tr w:rsidR="00A85061" w14:paraId="27E08BD6" w14:textId="77777777">
        <w:tc>
          <w:tcPr>
            <w:tcW w:w="0" w:type="auto"/>
            <w:gridSpan w:val="3"/>
            <w:shd w:val="clear" w:color="auto" w:fill="E2EFD9"/>
            <w:tcMar>
              <w:top w:w="40" w:type="dxa"/>
              <w:left w:w="20" w:type="dxa"/>
              <w:bottom w:w="40" w:type="dxa"/>
              <w:right w:w="20" w:type="dxa"/>
            </w:tcMar>
            <w:vAlign w:val="bottom"/>
          </w:tcPr>
          <w:p w14:paraId="27E08BBF" w14:textId="77777777" w:rsidR="00A85061" w:rsidRDefault="00F04891">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C0"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BC1" w14:textId="77777777" w:rsidR="00A85061" w:rsidRDefault="00F04891">
            <w:pPr>
              <w:jc w:val="right"/>
              <w:textAlignment w:val="bottom"/>
            </w:pPr>
            <w:r>
              <w:rPr>
                <w:rFonts w:ascii="sans-serif" w:eastAsia="sans-serif" w:hAnsi="sans-serif" w:cs="sans-serif"/>
                <w:color w:val="000000"/>
                <w:sz w:val="20"/>
                <w:szCs w:val="20"/>
              </w:rPr>
              <w:t>5,661 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C2"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C3"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C4"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BC5" w14:textId="77777777" w:rsidR="00A85061" w:rsidRDefault="00F04891">
            <w:pPr>
              <w:jc w:val="right"/>
              <w:textAlignment w:val="bottom"/>
            </w:pPr>
            <w:r>
              <w:rPr>
                <w:rFonts w:ascii="sans-serif" w:eastAsia="sans-serif" w:hAnsi="sans-serif" w:cs="sans-serif"/>
                <w:color w:val="000000"/>
                <w:sz w:val="20"/>
                <w:szCs w:val="20"/>
              </w:rPr>
              <w:t>3,080 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C6"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C7"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C8"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BC9" w14:textId="77777777" w:rsidR="00A85061" w:rsidRDefault="00F04891">
            <w:pPr>
              <w:jc w:val="right"/>
              <w:textAlignment w:val="bottom"/>
            </w:pPr>
            <w:r>
              <w:rPr>
                <w:rFonts w:ascii="sans-serif" w:eastAsia="sans-serif" w:hAnsi="sans-serif" w:cs="sans-serif"/>
                <w:color w:val="000000"/>
                <w:sz w:val="20"/>
                <w:szCs w:val="20"/>
              </w:rPr>
              <w:t>2,581 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C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BCB" w14:textId="77777777" w:rsidR="00A85061" w:rsidRDefault="00A85061">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BCC" w14:textId="77777777" w:rsidR="00A85061" w:rsidRDefault="00F04891">
            <w:pPr>
              <w:jc w:val="right"/>
              <w:textAlignment w:val="bottom"/>
            </w:pPr>
            <w:r>
              <w:rPr>
                <w:rFonts w:ascii="sans-serif" w:eastAsia="sans-serif" w:hAnsi="sans-serif" w:cs="sans-serif"/>
                <w:color w:val="000000"/>
                <w:sz w:val="20"/>
                <w:szCs w:val="20"/>
              </w:rPr>
              <w:t>84 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BCD"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BCE" w14:textId="77777777" w:rsidR="00A85061" w:rsidRDefault="00A85061">
            <w:pPr>
              <w:rPr>
                <w:rFonts w:ascii="宋体"/>
                <w:vanish/>
              </w:rPr>
            </w:pPr>
          </w:p>
        </w:tc>
        <w:tc>
          <w:tcPr>
            <w:tcW w:w="0" w:type="auto"/>
            <w:gridSpan w:val="3"/>
            <w:shd w:val="clear" w:color="auto" w:fill="auto"/>
            <w:vAlign w:val="bottom"/>
          </w:tcPr>
          <w:p w14:paraId="27E08BCF" w14:textId="77777777" w:rsidR="00A85061" w:rsidRDefault="00A85061">
            <w:pPr>
              <w:rPr>
                <w:rFonts w:ascii="宋体"/>
                <w:vanish/>
              </w:rPr>
            </w:pPr>
          </w:p>
        </w:tc>
        <w:tc>
          <w:tcPr>
            <w:tcW w:w="0" w:type="auto"/>
            <w:gridSpan w:val="3"/>
            <w:shd w:val="clear" w:color="auto" w:fill="auto"/>
            <w:vAlign w:val="bottom"/>
          </w:tcPr>
          <w:p w14:paraId="27E08BD0" w14:textId="77777777" w:rsidR="00A85061" w:rsidRDefault="00A85061">
            <w:pPr>
              <w:rPr>
                <w:rFonts w:ascii="宋体"/>
                <w:vanish/>
              </w:rPr>
            </w:pPr>
          </w:p>
        </w:tc>
        <w:tc>
          <w:tcPr>
            <w:tcW w:w="0" w:type="auto"/>
            <w:gridSpan w:val="3"/>
            <w:shd w:val="clear" w:color="auto" w:fill="auto"/>
            <w:vAlign w:val="bottom"/>
          </w:tcPr>
          <w:p w14:paraId="27E08BD1" w14:textId="77777777" w:rsidR="00A85061" w:rsidRDefault="00A85061">
            <w:pPr>
              <w:rPr>
                <w:rFonts w:ascii="宋体"/>
                <w:vanish/>
              </w:rPr>
            </w:pPr>
          </w:p>
        </w:tc>
        <w:tc>
          <w:tcPr>
            <w:tcW w:w="0" w:type="auto"/>
            <w:gridSpan w:val="3"/>
            <w:shd w:val="clear" w:color="auto" w:fill="auto"/>
            <w:vAlign w:val="bottom"/>
          </w:tcPr>
          <w:p w14:paraId="27E08BD2" w14:textId="77777777" w:rsidR="00A85061" w:rsidRDefault="00A85061">
            <w:pPr>
              <w:rPr>
                <w:rFonts w:ascii="宋体"/>
                <w:vanish/>
              </w:rPr>
            </w:pPr>
          </w:p>
        </w:tc>
        <w:tc>
          <w:tcPr>
            <w:tcW w:w="0" w:type="auto"/>
            <w:gridSpan w:val="3"/>
            <w:shd w:val="clear" w:color="auto" w:fill="auto"/>
            <w:vAlign w:val="bottom"/>
          </w:tcPr>
          <w:p w14:paraId="27E08BD3" w14:textId="77777777" w:rsidR="00A85061" w:rsidRDefault="00A85061">
            <w:pPr>
              <w:rPr>
                <w:rFonts w:ascii="宋体"/>
                <w:vanish/>
              </w:rPr>
            </w:pPr>
          </w:p>
        </w:tc>
        <w:tc>
          <w:tcPr>
            <w:tcW w:w="0" w:type="auto"/>
            <w:gridSpan w:val="3"/>
            <w:shd w:val="clear" w:color="auto" w:fill="auto"/>
            <w:vAlign w:val="bottom"/>
          </w:tcPr>
          <w:p w14:paraId="27E08BD4" w14:textId="77777777" w:rsidR="00A85061" w:rsidRDefault="00A85061">
            <w:pPr>
              <w:rPr>
                <w:rFonts w:ascii="宋体"/>
                <w:vanish/>
              </w:rPr>
            </w:pPr>
          </w:p>
        </w:tc>
        <w:tc>
          <w:tcPr>
            <w:tcW w:w="0" w:type="auto"/>
            <w:gridSpan w:val="3"/>
            <w:shd w:val="clear" w:color="auto" w:fill="auto"/>
            <w:vAlign w:val="bottom"/>
          </w:tcPr>
          <w:p w14:paraId="27E08BD5" w14:textId="77777777" w:rsidR="00A85061" w:rsidRDefault="00A85061">
            <w:pPr>
              <w:rPr>
                <w:rFonts w:ascii="宋体"/>
                <w:vanish/>
              </w:rPr>
            </w:pPr>
          </w:p>
        </w:tc>
      </w:tr>
    </w:tbl>
    <w:p w14:paraId="27E08BD7" w14:textId="77777777" w:rsidR="00A85061" w:rsidRDefault="00F04891">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Graphics segment revenue increased 81% in the first quarter of fiscal year 2022 compared to the first quarter of fiscal year 2021, reflecting growth in GeForce GPUs which benefited from continued strong sales of our GeForce RTX 30 Series based on the NVID</w:t>
      </w:r>
      <w:r>
        <w:rPr>
          <w:rFonts w:ascii="sans-serif" w:eastAsia="sans-serif" w:hAnsi="sans-serif" w:cs="sans-serif"/>
          <w:color w:val="000000"/>
          <w:sz w:val="20"/>
          <w:szCs w:val="20"/>
        </w:rPr>
        <w:t>IA Ampere architecture. Additionally, revenue increased from higher sales of Quadro/NVIDIA RTX workstations and game console SOCs. We believe this segment also benefited from cryptocurrency mining demand, although it is hard to determine to what extent.</w:t>
      </w:r>
    </w:p>
    <w:p w14:paraId="27E08BD8" w14:textId="77777777" w:rsidR="00A85061" w:rsidRDefault="00F04891">
      <w:pPr>
        <w:spacing w:before="180" w:after="120"/>
        <w:jc w:val="both"/>
      </w:pPr>
      <w:r>
        <w:rPr>
          <w:rFonts w:ascii="sans-serif" w:eastAsia="sans-serif" w:hAnsi="sans-serif" w:cs="sans-serif"/>
          <w:b/>
          <w:bCs/>
          <w:color w:val="000000"/>
          <w:sz w:val="20"/>
          <w:szCs w:val="20"/>
        </w:rPr>
        <w:t>Co</w:t>
      </w:r>
      <w:r>
        <w:rPr>
          <w:rFonts w:ascii="sans-serif" w:eastAsia="sans-serif" w:hAnsi="sans-serif" w:cs="sans-serif"/>
          <w:b/>
          <w:bCs/>
          <w:color w:val="000000"/>
          <w:sz w:val="20"/>
          <w:szCs w:val="20"/>
        </w:rPr>
        <w:t xml:space="preserve">mpute &amp; Networking - </w:t>
      </w:r>
      <w:r>
        <w:rPr>
          <w:rFonts w:ascii="sans-serif" w:eastAsia="sans-serif" w:hAnsi="sans-serif" w:cs="sans-serif"/>
          <w:color w:val="000000"/>
          <w:sz w:val="20"/>
          <w:szCs w:val="20"/>
        </w:rPr>
        <w:t>Compute &amp; Networking segment revenue increased 88% for the first quarter of fiscal year 2022 compared to the first quarter of fiscal year 2021, reflecting the addition of Mellanox, which we acquired on April 27, 2020. Revenue also incr</w:t>
      </w:r>
      <w:r>
        <w:rPr>
          <w:rFonts w:ascii="sans-serif" w:eastAsia="sans-serif" w:hAnsi="sans-serif" w:cs="sans-serif"/>
          <w:color w:val="000000"/>
          <w:sz w:val="20"/>
          <w:szCs w:val="20"/>
        </w:rPr>
        <w:t>eased due to the ramp of NVIDIA Ampere GPU architecture products into vertical industries and hyperscale customers and the addition of CMP revenue.</w:t>
      </w:r>
    </w:p>
    <w:p w14:paraId="27E08BD9" w14:textId="77777777" w:rsidR="00A85061" w:rsidRDefault="00F04891">
      <w:pPr>
        <w:spacing w:before="180" w:after="120"/>
      </w:pPr>
      <w:r>
        <w:rPr>
          <w:rFonts w:ascii="sans-serif" w:eastAsia="sans-serif" w:hAnsi="sans-serif" w:cs="sans-serif"/>
          <w:b/>
          <w:bCs/>
          <w:color w:val="000000"/>
          <w:sz w:val="20"/>
          <w:szCs w:val="20"/>
        </w:rPr>
        <w:t>Concentration of Revenue </w:t>
      </w:r>
    </w:p>
    <w:p w14:paraId="27E08BDA" w14:textId="77777777" w:rsidR="00A85061" w:rsidRDefault="00F04891">
      <w:pPr>
        <w:spacing w:before="120" w:after="120"/>
        <w:jc w:val="both"/>
      </w:pPr>
      <w:r>
        <w:rPr>
          <w:rFonts w:ascii="sans-serif" w:eastAsia="sans-serif" w:hAnsi="sans-serif" w:cs="sans-serif"/>
          <w:color w:val="000000"/>
          <w:sz w:val="20"/>
          <w:szCs w:val="20"/>
        </w:rPr>
        <w:t>Revenue from sales to customers outside of the United States accounted for 86% and</w:t>
      </w:r>
      <w:r>
        <w:rPr>
          <w:rFonts w:ascii="sans-serif" w:eastAsia="sans-serif" w:hAnsi="sans-serif" w:cs="sans-serif"/>
          <w:color w:val="000000"/>
          <w:sz w:val="20"/>
          <w:szCs w:val="20"/>
        </w:rPr>
        <w:t xml:space="preserve"> 84% of total revenue for the first quarter of fiscal years 2022 and 2021, respectively. Revenue by geographic region is allocated to individual countries based on the location to which the products are initially billed even if the revenue is attributable </w:t>
      </w:r>
      <w:r>
        <w:rPr>
          <w:rFonts w:ascii="sans-serif" w:eastAsia="sans-serif" w:hAnsi="sans-serif" w:cs="sans-serif"/>
          <w:color w:val="000000"/>
          <w:sz w:val="20"/>
          <w:szCs w:val="20"/>
        </w:rPr>
        <w:t>to end customers in a different location.</w:t>
      </w:r>
    </w:p>
    <w:p w14:paraId="27E08BDB" w14:textId="77777777" w:rsidR="00A85061" w:rsidRDefault="00F04891">
      <w:pPr>
        <w:spacing w:after="180"/>
        <w:jc w:val="center"/>
      </w:pPr>
      <w:r>
        <w:rPr>
          <w:rFonts w:ascii="sans-serif" w:eastAsia="sans-serif" w:hAnsi="sans-serif" w:cs="sans-serif"/>
          <w:color w:val="000000"/>
          <w:sz w:val="20"/>
          <w:szCs w:val="20"/>
        </w:rPr>
        <w:t>27</w:t>
      </w:r>
    </w:p>
    <w:p w14:paraId="27E08BDC" w14:textId="77777777" w:rsidR="00A85061" w:rsidRDefault="00F04891">
      <w:r>
        <w:pict w14:anchorId="27E08F0C">
          <v:rect id="_x0000_i1051" style="width:415.3pt;height:1.5pt" o:hralign="center" o:hrstd="t" o:hr="t" fillcolor="#a0a0a0" stroked="f"/>
        </w:pict>
      </w:r>
    </w:p>
    <w:p w14:paraId="27E08BDD" w14:textId="77777777" w:rsidR="00A85061" w:rsidRDefault="00A85061">
      <w:pPr>
        <w:spacing w:after="180"/>
        <w:jc w:val="both"/>
      </w:pPr>
    </w:p>
    <w:p w14:paraId="27E08BDE" w14:textId="77777777" w:rsidR="00A85061" w:rsidRDefault="00A85061">
      <w:pPr>
        <w:spacing w:after="180"/>
        <w:jc w:val="both"/>
      </w:pPr>
    </w:p>
    <w:p w14:paraId="27E08BDF" w14:textId="77777777" w:rsidR="00A85061" w:rsidRDefault="00A85061">
      <w:pPr>
        <w:spacing w:after="180"/>
        <w:jc w:val="both"/>
      </w:pPr>
    </w:p>
    <w:p w14:paraId="27E08BE0" w14:textId="77777777" w:rsidR="00A85061" w:rsidRDefault="00F04891">
      <w:pPr>
        <w:spacing w:before="180" w:after="180"/>
        <w:jc w:val="both"/>
      </w:pPr>
      <w:r>
        <w:rPr>
          <w:rFonts w:ascii="sans-serif" w:eastAsia="sans-serif" w:hAnsi="sans-serif" w:cs="sans-serif"/>
          <w:color w:val="000000"/>
          <w:sz w:val="20"/>
          <w:szCs w:val="20"/>
        </w:rPr>
        <w:t>No customer represented 10% or more of total revenue for the first quarter of fiscal years 2022 or 2021.</w:t>
      </w:r>
    </w:p>
    <w:p w14:paraId="27E08BE1" w14:textId="77777777" w:rsidR="00A85061" w:rsidRDefault="00F04891">
      <w:pPr>
        <w:spacing w:before="240" w:after="60"/>
        <w:jc w:val="both"/>
      </w:pPr>
      <w:r>
        <w:rPr>
          <w:rFonts w:ascii="sans-serif" w:eastAsia="sans-serif" w:hAnsi="sans-serif" w:cs="sans-serif"/>
          <w:b/>
          <w:bCs/>
          <w:color w:val="76B900"/>
          <w:sz w:val="20"/>
          <w:szCs w:val="20"/>
        </w:rPr>
        <w:t>Gross Margin</w:t>
      </w:r>
    </w:p>
    <w:p w14:paraId="27E08BE2" w14:textId="77777777" w:rsidR="00A85061" w:rsidRDefault="00F04891">
      <w:pPr>
        <w:spacing w:before="120" w:after="120"/>
        <w:jc w:val="both"/>
      </w:pPr>
      <w:r>
        <w:rPr>
          <w:rFonts w:ascii="sans-serif" w:eastAsia="sans-serif" w:hAnsi="sans-serif" w:cs="sans-serif"/>
          <w:color w:val="000000"/>
          <w:sz w:val="20"/>
          <w:szCs w:val="20"/>
        </w:rPr>
        <w:t xml:space="preserve">Our overall gross margin decreased to 64.1% for the first quarter of fiscal year </w:t>
      </w:r>
      <w:r>
        <w:rPr>
          <w:rFonts w:ascii="sans-serif" w:eastAsia="sans-serif" w:hAnsi="sans-serif" w:cs="sans-serif"/>
          <w:color w:val="000000"/>
          <w:sz w:val="20"/>
          <w:szCs w:val="20"/>
        </w:rPr>
        <w:t>2022 from 65.1% for the first quarter of fiscal year 2021, reflecting amortization of intangible assets related to the Mellanox acquisition and a shift in the mix of Data Center products, partially offset by a lower contribution from Automotive products.</w:t>
      </w:r>
    </w:p>
    <w:p w14:paraId="27E08BE3" w14:textId="77777777" w:rsidR="00A85061" w:rsidRDefault="00F04891">
      <w:pPr>
        <w:spacing w:after="180"/>
        <w:jc w:val="both"/>
      </w:pPr>
      <w:r>
        <w:rPr>
          <w:rFonts w:ascii="sans-serif" w:eastAsia="sans-serif" w:hAnsi="sans-serif" w:cs="sans-serif"/>
          <w:color w:val="000000"/>
          <w:sz w:val="20"/>
          <w:szCs w:val="20"/>
        </w:rPr>
        <w:t>I</w:t>
      </w:r>
      <w:r>
        <w:rPr>
          <w:rFonts w:ascii="sans-serif" w:eastAsia="sans-serif" w:hAnsi="sans-serif" w:cs="sans-serif"/>
          <w:color w:val="000000"/>
          <w:sz w:val="20"/>
          <w:szCs w:val="20"/>
        </w:rPr>
        <w:t>nventory provisions totaled $58 million and $36 million for the first quarter of fiscal years 2022 and 2021, respectively. Sales of inventory that was previously written-off or -down totaled $21 million and $39 million for the first quarter of fiscal years</w:t>
      </w:r>
      <w:r>
        <w:rPr>
          <w:rFonts w:ascii="sans-serif" w:eastAsia="sans-serif" w:hAnsi="sans-serif" w:cs="sans-serif"/>
          <w:color w:val="000000"/>
          <w:sz w:val="20"/>
          <w:szCs w:val="20"/>
        </w:rPr>
        <w:t xml:space="preserve"> 2022 and 2021, respectively. As a result, the overall net effect on our gross margin was an unfavorable impact of 0.6% and a favorable impact of 0.1% in the first quarter of fiscal years 2022 and 2021, respectively.</w:t>
      </w:r>
    </w:p>
    <w:p w14:paraId="27E08BE4" w14:textId="77777777" w:rsidR="00A85061" w:rsidRDefault="00F04891">
      <w:pPr>
        <w:spacing w:before="120" w:after="120"/>
        <w:jc w:val="both"/>
      </w:pPr>
      <w:r>
        <w:rPr>
          <w:rFonts w:ascii="sans-serif" w:eastAsia="sans-serif" w:hAnsi="sans-serif" w:cs="sans-serif"/>
          <w:color w:val="000000"/>
          <w:sz w:val="20"/>
          <w:szCs w:val="20"/>
        </w:rPr>
        <w:t>A discussion of our gross margin result</w:t>
      </w:r>
      <w:r>
        <w:rPr>
          <w:rFonts w:ascii="sans-serif" w:eastAsia="sans-serif" w:hAnsi="sans-serif" w:cs="sans-serif"/>
          <w:color w:val="000000"/>
          <w:sz w:val="20"/>
          <w:szCs w:val="20"/>
        </w:rPr>
        <w:t>s for each of our reportable segments is as follows:</w:t>
      </w:r>
    </w:p>
    <w:p w14:paraId="27E08BE5" w14:textId="77777777" w:rsidR="00A85061" w:rsidRDefault="00F04891">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margin of our Graphics segment increased during the first quarter of fiscal year 2022 compared to the first quarter of fiscal year 2021, primarily due to reduced contribution from lo</w:t>
      </w:r>
      <w:r>
        <w:rPr>
          <w:rFonts w:ascii="sans-serif" w:eastAsia="sans-serif" w:hAnsi="sans-serif" w:cs="sans-serif"/>
          <w:color w:val="000000"/>
          <w:sz w:val="20"/>
          <w:szCs w:val="20"/>
        </w:rPr>
        <w:t>wer margin products.</w:t>
      </w:r>
    </w:p>
    <w:p w14:paraId="27E08BE6" w14:textId="77777777" w:rsidR="00A85061" w:rsidRDefault="00F04891">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decreased during the first quarter of fiscal year 2022 compared to the first quarter of fiscal year 2021, primarily due to a shift in the mix of Data Center pr</w:t>
      </w:r>
      <w:r>
        <w:rPr>
          <w:rFonts w:ascii="sans-serif" w:eastAsia="sans-serif" w:hAnsi="sans-serif" w:cs="sans-serif"/>
          <w:color w:val="000000"/>
          <w:sz w:val="20"/>
          <w:szCs w:val="20"/>
        </w:rPr>
        <w:t xml:space="preserve">oducts, partially offset by a lower contribution from Automotive solutions. </w:t>
      </w:r>
    </w:p>
    <w:p w14:paraId="27E08BE7" w14:textId="77777777" w:rsidR="00A85061" w:rsidRDefault="00F04891">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67"/>
        <w:gridCol w:w="37"/>
        <w:gridCol w:w="122"/>
        <w:gridCol w:w="501"/>
        <w:gridCol w:w="163"/>
        <w:gridCol w:w="36"/>
        <w:gridCol w:w="36"/>
        <w:gridCol w:w="36"/>
        <w:gridCol w:w="122"/>
        <w:gridCol w:w="501"/>
        <w:gridCol w:w="163"/>
        <w:gridCol w:w="36"/>
        <w:gridCol w:w="36"/>
        <w:gridCol w:w="36"/>
        <w:gridCol w:w="123"/>
        <w:gridCol w:w="565"/>
        <w:gridCol w:w="36"/>
        <w:gridCol w:w="36"/>
        <w:gridCol w:w="36"/>
        <w:gridCol w:w="36"/>
        <w:gridCol w:w="82"/>
        <w:gridCol w:w="565"/>
        <w:gridCol w:w="16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A85061" w14:paraId="27E08C08" w14:textId="77777777">
        <w:tc>
          <w:tcPr>
            <w:tcW w:w="50" w:type="pct"/>
            <w:shd w:val="clear" w:color="auto" w:fill="auto"/>
            <w:vAlign w:val="bottom"/>
          </w:tcPr>
          <w:p w14:paraId="27E08BE8" w14:textId="77777777" w:rsidR="00A85061" w:rsidRDefault="00A85061">
            <w:pPr>
              <w:rPr>
                <w:rFonts w:ascii="宋体"/>
              </w:rPr>
            </w:pPr>
          </w:p>
        </w:tc>
        <w:tc>
          <w:tcPr>
            <w:tcW w:w="2934" w:type="pct"/>
            <w:shd w:val="clear" w:color="auto" w:fill="auto"/>
            <w:vAlign w:val="bottom"/>
          </w:tcPr>
          <w:p w14:paraId="27E08BE9" w14:textId="77777777" w:rsidR="00A85061" w:rsidRDefault="00A85061">
            <w:pPr>
              <w:rPr>
                <w:rFonts w:ascii="宋体"/>
              </w:rPr>
            </w:pPr>
          </w:p>
        </w:tc>
        <w:tc>
          <w:tcPr>
            <w:tcW w:w="5" w:type="pct"/>
            <w:shd w:val="clear" w:color="auto" w:fill="auto"/>
            <w:vAlign w:val="bottom"/>
          </w:tcPr>
          <w:p w14:paraId="27E08BEA" w14:textId="77777777" w:rsidR="00A85061" w:rsidRDefault="00A85061">
            <w:pPr>
              <w:rPr>
                <w:rFonts w:ascii="宋体"/>
              </w:rPr>
            </w:pPr>
          </w:p>
        </w:tc>
        <w:tc>
          <w:tcPr>
            <w:tcW w:w="50" w:type="pct"/>
            <w:shd w:val="clear" w:color="auto" w:fill="auto"/>
            <w:vAlign w:val="bottom"/>
          </w:tcPr>
          <w:p w14:paraId="27E08BEB" w14:textId="77777777" w:rsidR="00A85061" w:rsidRDefault="00A85061">
            <w:pPr>
              <w:rPr>
                <w:rFonts w:ascii="宋体"/>
              </w:rPr>
            </w:pPr>
          </w:p>
        </w:tc>
        <w:tc>
          <w:tcPr>
            <w:tcW w:w="493" w:type="pct"/>
            <w:shd w:val="clear" w:color="auto" w:fill="auto"/>
            <w:vAlign w:val="bottom"/>
          </w:tcPr>
          <w:p w14:paraId="27E08BEC" w14:textId="77777777" w:rsidR="00A85061" w:rsidRDefault="00A85061">
            <w:pPr>
              <w:rPr>
                <w:rFonts w:ascii="宋体"/>
              </w:rPr>
            </w:pPr>
          </w:p>
        </w:tc>
        <w:tc>
          <w:tcPr>
            <w:tcW w:w="5" w:type="pct"/>
            <w:shd w:val="clear" w:color="auto" w:fill="auto"/>
            <w:vAlign w:val="bottom"/>
          </w:tcPr>
          <w:p w14:paraId="27E08BED" w14:textId="77777777" w:rsidR="00A85061" w:rsidRDefault="00A85061">
            <w:pPr>
              <w:rPr>
                <w:rFonts w:ascii="宋体"/>
              </w:rPr>
            </w:pPr>
          </w:p>
        </w:tc>
        <w:tc>
          <w:tcPr>
            <w:tcW w:w="5" w:type="pct"/>
            <w:shd w:val="clear" w:color="auto" w:fill="auto"/>
            <w:vAlign w:val="bottom"/>
          </w:tcPr>
          <w:p w14:paraId="27E08BEE" w14:textId="77777777" w:rsidR="00A85061" w:rsidRDefault="00A85061">
            <w:pPr>
              <w:rPr>
                <w:rFonts w:ascii="宋体"/>
              </w:rPr>
            </w:pPr>
          </w:p>
        </w:tc>
        <w:tc>
          <w:tcPr>
            <w:tcW w:w="26" w:type="pct"/>
            <w:shd w:val="clear" w:color="auto" w:fill="auto"/>
            <w:vAlign w:val="bottom"/>
          </w:tcPr>
          <w:p w14:paraId="27E08BEF" w14:textId="77777777" w:rsidR="00A85061" w:rsidRDefault="00A85061">
            <w:pPr>
              <w:rPr>
                <w:rFonts w:ascii="宋体"/>
              </w:rPr>
            </w:pPr>
          </w:p>
        </w:tc>
        <w:tc>
          <w:tcPr>
            <w:tcW w:w="5" w:type="pct"/>
            <w:shd w:val="clear" w:color="auto" w:fill="auto"/>
            <w:vAlign w:val="bottom"/>
          </w:tcPr>
          <w:p w14:paraId="27E08BF0" w14:textId="77777777" w:rsidR="00A85061" w:rsidRDefault="00A85061">
            <w:pPr>
              <w:rPr>
                <w:rFonts w:ascii="宋体"/>
              </w:rPr>
            </w:pPr>
          </w:p>
        </w:tc>
        <w:tc>
          <w:tcPr>
            <w:tcW w:w="50" w:type="pct"/>
            <w:shd w:val="clear" w:color="auto" w:fill="auto"/>
            <w:vAlign w:val="bottom"/>
          </w:tcPr>
          <w:p w14:paraId="27E08BF1" w14:textId="77777777" w:rsidR="00A85061" w:rsidRDefault="00A85061">
            <w:pPr>
              <w:rPr>
                <w:rFonts w:ascii="宋体"/>
              </w:rPr>
            </w:pPr>
          </w:p>
        </w:tc>
        <w:tc>
          <w:tcPr>
            <w:tcW w:w="493" w:type="pct"/>
            <w:shd w:val="clear" w:color="auto" w:fill="auto"/>
            <w:vAlign w:val="bottom"/>
          </w:tcPr>
          <w:p w14:paraId="27E08BF2" w14:textId="77777777" w:rsidR="00A85061" w:rsidRDefault="00A85061">
            <w:pPr>
              <w:rPr>
                <w:rFonts w:ascii="宋体"/>
              </w:rPr>
            </w:pPr>
          </w:p>
        </w:tc>
        <w:tc>
          <w:tcPr>
            <w:tcW w:w="5" w:type="pct"/>
            <w:shd w:val="clear" w:color="auto" w:fill="auto"/>
            <w:vAlign w:val="bottom"/>
          </w:tcPr>
          <w:p w14:paraId="27E08BF3" w14:textId="77777777" w:rsidR="00A85061" w:rsidRDefault="00A85061">
            <w:pPr>
              <w:rPr>
                <w:rFonts w:ascii="宋体"/>
              </w:rPr>
            </w:pPr>
          </w:p>
        </w:tc>
        <w:tc>
          <w:tcPr>
            <w:tcW w:w="5" w:type="pct"/>
            <w:shd w:val="clear" w:color="auto" w:fill="auto"/>
            <w:vAlign w:val="bottom"/>
          </w:tcPr>
          <w:p w14:paraId="27E08BF4" w14:textId="77777777" w:rsidR="00A85061" w:rsidRDefault="00A85061">
            <w:pPr>
              <w:rPr>
                <w:rFonts w:ascii="宋体"/>
              </w:rPr>
            </w:pPr>
          </w:p>
        </w:tc>
        <w:tc>
          <w:tcPr>
            <w:tcW w:w="26" w:type="pct"/>
            <w:shd w:val="clear" w:color="auto" w:fill="auto"/>
            <w:vAlign w:val="bottom"/>
          </w:tcPr>
          <w:p w14:paraId="27E08BF5" w14:textId="77777777" w:rsidR="00A85061" w:rsidRDefault="00A85061">
            <w:pPr>
              <w:rPr>
                <w:rFonts w:ascii="宋体"/>
              </w:rPr>
            </w:pPr>
          </w:p>
        </w:tc>
        <w:tc>
          <w:tcPr>
            <w:tcW w:w="5" w:type="pct"/>
            <w:shd w:val="clear" w:color="auto" w:fill="auto"/>
            <w:vAlign w:val="bottom"/>
          </w:tcPr>
          <w:p w14:paraId="27E08BF6" w14:textId="77777777" w:rsidR="00A85061" w:rsidRDefault="00A85061">
            <w:pPr>
              <w:rPr>
                <w:rFonts w:ascii="宋体"/>
              </w:rPr>
            </w:pPr>
          </w:p>
        </w:tc>
        <w:tc>
          <w:tcPr>
            <w:tcW w:w="50" w:type="pct"/>
            <w:shd w:val="clear" w:color="auto" w:fill="auto"/>
            <w:vAlign w:val="bottom"/>
          </w:tcPr>
          <w:p w14:paraId="27E08BF7" w14:textId="77777777" w:rsidR="00A85061" w:rsidRDefault="00A85061">
            <w:pPr>
              <w:rPr>
                <w:rFonts w:ascii="宋体"/>
              </w:rPr>
            </w:pPr>
          </w:p>
        </w:tc>
        <w:tc>
          <w:tcPr>
            <w:tcW w:w="347" w:type="pct"/>
            <w:shd w:val="clear" w:color="auto" w:fill="auto"/>
            <w:vAlign w:val="bottom"/>
          </w:tcPr>
          <w:p w14:paraId="27E08BF8" w14:textId="77777777" w:rsidR="00A85061" w:rsidRDefault="00A85061">
            <w:pPr>
              <w:rPr>
                <w:rFonts w:ascii="宋体"/>
              </w:rPr>
            </w:pPr>
          </w:p>
        </w:tc>
        <w:tc>
          <w:tcPr>
            <w:tcW w:w="5" w:type="pct"/>
            <w:shd w:val="clear" w:color="auto" w:fill="auto"/>
            <w:vAlign w:val="bottom"/>
          </w:tcPr>
          <w:p w14:paraId="27E08BF9" w14:textId="77777777" w:rsidR="00A85061" w:rsidRDefault="00A85061">
            <w:pPr>
              <w:rPr>
                <w:rFonts w:ascii="宋体"/>
              </w:rPr>
            </w:pPr>
          </w:p>
        </w:tc>
        <w:tc>
          <w:tcPr>
            <w:tcW w:w="5" w:type="pct"/>
            <w:shd w:val="clear" w:color="auto" w:fill="auto"/>
            <w:vAlign w:val="bottom"/>
          </w:tcPr>
          <w:p w14:paraId="27E08BFA" w14:textId="77777777" w:rsidR="00A85061" w:rsidRDefault="00A85061">
            <w:pPr>
              <w:rPr>
                <w:rFonts w:ascii="宋体"/>
              </w:rPr>
            </w:pPr>
          </w:p>
        </w:tc>
        <w:tc>
          <w:tcPr>
            <w:tcW w:w="26" w:type="pct"/>
            <w:shd w:val="clear" w:color="auto" w:fill="auto"/>
            <w:vAlign w:val="bottom"/>
          </w:tcPr>
          <w:p w14:paraId="27E08BFB" w14:textId="77777777" w:rsidR="00A85061" w:rsidRDefault="00A85061">
            <w:pPr>
              <w:rPr>
                <w:rFonts w:ascii="宋体"/>
              </w:rPr>
            </w:pPr>
          </w:p>
        </w:tc>
        <w:tc>
          <w:tcPr>
            <w:tcW w:w="5" w:type="pct"/>
            <w:shd w:val="clear" w:color="auto" w:fill="auto"/>
            <w:vAlign w:val="bottom"/>
          </w:tcPr>
          <w:p w14:paraId="27E08BFC" w14:textId="77777777" w:rsidR="00A85061" w:rsidRDefault="00A85061">
            <w:pPr>
              <w:rPr>
                <w:rFonts w:ascii="宋体"/>
              </w:rPr>
            </w:pPr>
          </w:p>
        </w:tc>
        <w:tc>
          <w:tcPr>
            <w:tcW w:w="50" w:type="pct"/>
            <w:shd w:val="clear" w:color="auto" w:fill="auto"/>
            <w:vAlign w:val="bottom"/>
          </w:tcPr>
          <w:p w14:paraId="27E08BFD" w14:textId="77777777" w:rsidR="00A85061" w:rsidRDefault="00A85061">
            <w:pPr>
              <w:rPr>
                <w:rFonts w:ascii="宋体"/>
              </w:rPr>
            </w:pPr>
          </w:p>
        </w:tc>
        <w:tc>
          <w:tcPr>
            <w:tcW w:w="347" w:type="pct"/>
            <w:shd w:val="clear" w:color="auto" w:fill="auto"/>
            <w:vAlign w:val="bottom"/>
          </w:tcPr>
          <w:p w14:paraId="27E08BFE" w14:textId="77777777" w:rsidR="00A85061" w:rsidRDefault="00A85061">
            <w:pPr>
              <w:rPr>
                <w:rFonts w:ascii="宋体"/>
              </w:rPr>
            </w:pPr>
          </w:p>
        </w:tc>
        <w:tc>
          <w:tcPr>
            <w:tcW w:w="5" w:type="pct"/>
            <w:shd w:val="clear" w:color="auto" w:fill="auto"/>
            <w:vAlign w:val="bottom"/>
          </w:tcPr>
          <w:p w14:paraId="27E08BFF" w14:textId="77777777" w:rsidR="00A85061" w:rsidRDefault="00A85061">
            <w:pPr>
              <w:rPr>
                <w:rFonts w:ascii="宋体"/>
              </w:rPr>
            </w:pPr>
          </w:p>
        </w:tc>
        <w:tc>
          <w:tcPr>
            <w:tcW w:w="0" w:type="auto"/>
            <w:gridSpan w:val="3"/>
            <w:shd w:val="clear" w:color="auto" w:fill="auto"/>
            <w:vAlign w:val="bottom"/>
          </w:tcPr>
          <w:p w14:paraId="27E08C00" w14:textId="77777777" w:rsidR="00A85061" w:rsidRDefault="00A85061">
            <w:pPr>
              <w:rPr>
                <w:rFonts w:ascii="宋体"/>
                <w:vanish/>
              </w:rPr>
            </w:pPr>
          </w:p>
        </w:tc>
        <w:tc>
          <w:tcPr>
            <w:tcW w:w="0" w:type="auto"/>
            <w:gridSpan w:val="3"/>
            <w:shd w:val="clear" w:color="auto" w:fill="auto"/>
            <w:vAlign w:val="bottom"/>
          </w:tcPr>
          <w:p w14:paraId="27E08C01" w14:textId="77777777" w:rsidR="00A85061" w:rsidRDefault="00A85061">
            <w:pPr>
              <w:rPr>
                <w:rFonts w:ascii="宋体"/>
                <w:vanish/>
              </w:rPr>
            </w:pPr>
          </w:p>
        </w:tc>
        <w:tc>
          <w:tcPr>
            <w:tcW w:w="0" w:type="auto"/>
            <w:gridSpan w:val="3"/>
            <w:shd w:val="clear" w:color="auto" w:fill="auto"/>
            <w:vAlign w:val="bottom"/>
          </w:tcPr>
          <w:p w14:paraId="27E08C02" w14:textId="77777777" w:rsidR="00A85061" w:rsidRDefault="00A85061">
            <w:pPr>
              <w:rPr>
                <w:rFonts w:ascii="宋体"/>
                <w:vanish/>
              </w:rPr>
            </w:pPr>
          </w:p>
        </w:tc>
        <w:tc>
          <w:tcPr>
            <w:tcW w:w="0" w:type="auto"/>
            <w:gridSpan w:val="3"/>
            <w:shd w:val="clear" w:color="auto" w:fill="auto"/>
            <w:vAlign w:val="bottom"/>
          </w:tcPr>
          <w:p w14:paraId="27E08C03" w14:textId="77777777" w:rsidR="00A85061" w:rsidRDefault="00A85061">
            <w:pPr>
              <w:rPr>
                <w:rFonts w:ascii="宋体"/>
                <w:vanish/>
              </w:rPr>
            </w:pPr>
          </w:p>
        </w:tc>
        <w:tc>
          <w:tcPr>
            <w:tcW w:w="0" w:type="auto"/>
            <w:gridSpan w:val="3"/>
            <w:shd w:val="clear" w:color="auto" w:fill="auto"/>
            <w:vAlign w:val="bottom"/>
          </w:tcPr>
          <w:p w14:paraId="27E08C04" w14:textId="77777777" w:rsidR="00A85061" w:rsidRDefault="00A85061">
            <w:pPr>
              <w:rPr>
                <w:rFonts w:ascii="宋体"/>
                <w:vanish/>
              </w:rPr>
            </w:pPr>
          </w:p>
        </w:tc>
        <w:tc>
          <w:tcPr>
            <w:tcW w:w="0" w:type="auto"/>
            <w:gridSpan w:val="3"/>
            <w:shd w:val="clear" w:color="auto" w:fill="auto"/>
            <w:vAlign w:val="bottom"/>
          </w:tcPr>
          <w:p w14:paraId="27E08C05" w14:textId="77777777" w:rsidR="00A85061" w:rsidRDefault="00A85061">
            <w:pPr>
              <w:rPr>
                <w:rFonts w:ascii="宋体"/>
                <w:vanish/>
              </w:rPr>
            </w:pPr>
          </w:p>
        </w:tc>
        <w:tc>
          <w:tcPr>
            <w:tcW w:w="0" w:type="auto"/>
            <w:gridSpan w:val="3"/>
            <w:shd w:val="clear" w:color="auto" w:fill="auto"/>
            <w:vAlign w:val="bottom"/>
          </w:tcPr>
          <w:p w14:paraId="27E08C06" w14:textId="77777777" w:rsidR="00A85061" w:rsidRDefault="00A85061">
            <w:pPr>
              <w:rPr>
                <w:rFonts w:ascii="宋体"/>
                <w:vanish/>
              </w:rPr>
            </w:pPr>
          </w:p>
        </w:tc>
        <w:tc>
          <w:tcPr>
            <w:tcW w:w="0" w:type="auto"/>
            <w:gridSpan w:val="3"/>
            <w:shd w:val="clear" w:color="auto" w:fill="auto"/>
            <w:vAlign w:val="bottom"/>
          </w:tcPr>
          <w:p w14:paraId="27E08C07" w14:textId="77777777" w:rsidR="00A85061" w:rsidRDefault="00A85061">
            <w:pPr>
              <w:rPr>
                <w:rFonts w:ascii="宋体"/>
                <w:vanish/>
              </w:rPr>
            </w:pPr>
          </w:p>
        </w:tc>
      </w:tr>
      <w:tr w:rsidR="00A85061" w14:paraId="27E08C1F" w14:textId="77777777">
        <w:tc>
          <w:tcPr>
            <w:tcW w:w="0" w:type="auto"/>
            <w:gridSpan w:val="3"/>
            <w:shd w:val="clear" w:color="auto" w:fill="auto"/>
            <w:tcMar>
              <w:top w:w="40" w:type="dxa"/>
              <w:left w:w="20" w:type="dxa"/>
              <w:bottom w:w="40" w:type="dxa"/>
              <w:right w:w="20" w:type="dxa"/>
            </w:tcMar>
            <w:vAlign w:val="center"/>
          </w:tcPr>
          <w:p w14:paraId="27E08C09" w14:textId="77777777" w:rsidR="00A85061" w:rsidRDefault="00F04891">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27E08C0A" w14:textId="77777777" w:rsidR="00A85061" w:rsidRDefault="00F04891">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vAlign w:val="bottom"/>
          </w:tcPr>
          <w:p w14:paraId="27E08C0B" w14:textId="77777777" w:rsidR="00A85061" w:rsidRDefault="00A85061">
            <w:pPr>
              <w:rPr>
                <w:rFonts w:ascii="宋体"/>
                <w:vanish/>
              </w:rPr>
            </w:pPr>
          </w:p>
        </w:tc>
        <w:tc>
          <w:tcPr>
            <w:tcW w:w="0" w:type="auto"/>
            <w:gridSpan w:val="3"/>
            <w:shd w:val="clear" w:color="auto" w:fill="auto"/>
            <w:vAlign w:val="bottom"/>
          </w:tcPr>
          <w:p w14:paraId="27E08C0C" w14:textId="77777777" w:rsidR="00A85061" w:rsidRDefault="00A85061">
            <w:pPr>
              <w:rPr>
                <w:rFonts w:ascii="宋体"/>
                <w:vanish/>
              </w:rPr>
            </w:pPr>
          </w:p>
        </w:tc>
        <w:tc>
          <w:tcPr>
            <w:tcW w:w="0" w:type="auto"/>
            <w:shd w:val="clear" w:color="auto" w:fill="auto"/>
            <w:vAlign w:val="bottom"/>
          </w:tcPr>
          <w:p w14:paraId="27E08C0D" w14:textId="77777777" w:rsidR="00A85061" w:rsidRDefault="00A85061">
            <w:pPr>
              <w:rPr>
                <w:rFonts w:ascii="宋体"/>
              </w:rPr>
            </w:pPr>
          </w:p>
        </w:tc>
        <w:tc>
          <w:tcPr>
            <w:tcW w:w="0" w:type="auto"/>
            <w:shd w:val="clear" w:color="auto" w:fill="auto"/>
            <w:vAlign w:val="bottom"/>
          </w:tcPr>
          <w:p w14:paraId="27E08C0E" w14:textId="77777777" w:rsidR="00A85061" w:rsidRDefault="00A85061">
            <w:pPr>
              <w:rPr>
                <w:rFonts w:ascii="宋体"/>
              </w:rPr>
            </w:pPr>
          </w:p>
        </w:tc>
        <w:tc>
          <w:tcPr>
            <w:tcW w:w="0" w:type="auto"/>
            <w:shd w:val="clear" w:color="auto" w:fill="auto"/>
            <w:vAlign w:val="bottom"/>
          </w:tcPr>
          <w:p w14:paraId="27E08C0F" w14:textId="77777777" w:rsidR="00A85061" w:rsidRDefault="00A85061">
            <w:pPr>
              <w:rPr>
                <w:rFonts w:ascii="宋体"/>
              </w:rPr>
            </w:pPr>
          </w:p>
        </w:tc>
        <w:tc>
          <w:tcPr>
            <w:tcW w:w="0" w:type="auto"/>
            <w:shd w:val="clear" w:color="auto" w:fill="auto"/>
            <w:vAlign w:val="bottom"/>
          </w:tcPr>
          <w:p w14:paraId="27E08C10" w14:textId="77777777" w:rsidR="00A85061" w:rsidRDefault="00A85061">
            <w:pPr>
              <w:rPr>
                <w:rFonts w:ascii="宋体"/>
              </w:rPr>
            </w:pPr>
          </w:p>
        </w:tc>
        <w:tc>
          <w:tcPr>
            <w:tcW w:w="0" w:type="auto"/>
            <w:shd w:val="clear" w:color="auto" w:fill="auto"/>
            <w:vAlign w:val="bottom"/>
          </w:tcPr>
          <w:p w14:paraId="27E08C11" w14:textId="77777777" w:rsidR="00A85061" w:rsidRDefault="00A85061">
            <w:pPr>
              <w:rPr>
                <w:rFonts w:ascii="宋体"/>
              </w:rPr>
            </w:pPr>
          </w:p>
        </w:tc>
        <w:tc>
          <w:tcPr>
            <w:tcW w:w="0" w:type="auto"/>
            <w:shd w:val="clear" w:color="auto" w:fill="auto"/>
            <w:vAlign w:val="bottom"/>
          </w:tcPr>
          <w:p w14:paraId="27E08C12" w14:textId="77777777" w:rsidR="00A85061" w:rsidRDefault="00A85061">
            <w:pPr>
              <w:rPr>
                <w:rFonts w:ascii="宋体"/>
              </w:rPr>
            </w:pPr>
          </w:p>
        </w:tc>
        <w:tc>
          <w:tcPr>
            <w:tcW w:w="0" w:type="auto"/>
            <w:shd w:val="clear" w:color="auto" w:fill="auto"/>
            <w:vAlign w:val="bottom"/>
          </w:tcPr>
          <w:p w14:paraId="27E08C13" w14:textId="77777777" w:rsidR="00A85061" w:rsidRDefault="00A85061">
            <w:pPr>
              <w:rPr>
                <w:rFonts w:ascii="宋体"/>
              </w:rPr>
            </w:pPr>
          </w:p>
        </w:tc>
        <w:tc>
          <w:tcPr>
            <w:tcW w:w="0" w:type="auto"/>
            <w:shd w:val="clear" w:color="auto" w:fill="auto"/>
            <w:vAlign w:val="bottom"/>
          </w:tcPr>
          <w:p w14:paraId="27E08C14" w14:textId="77777777" w:rsidR="00A85061" w:rsidRDefault="00A85061">
            <w:pPr>
              <w:rPr>
                <w:rFonts w:ascii="宋体"/>
              </w:rPr>
            </w:pPr>
          </w:p>
        </w:tc>
        <w:tc>
          <w:tcPr>
            <w:tcW w:w="0" w:type="auto"/>
            <w:shd w:val="clear" w:color="auto" w:fill="auto"/>
            <w:vAlign w:val="bottom"/>
          </w:tcPr>
          <w:p w14:paraId="27E08C15" w14:textId="77777777" w:rsidR="00A85061" w:rsidRDefault="00A85061">
            <w:pPr>
              <w:rPr>
                <w:rFonts w:ascii="宋体"/>
              </w:rPr>
            </w:pPr>
          </w:p>
        </w:tc>
        <w:tc>
          <w:tcPr>
            <w:tcW w:w="0" w:type="auto"/>
            <w:shd w:val="clear" w:color="auto" w:fill="auto"/>
            <w:vAlign w:val="bottom"/>
          </w:tcPr>
          <w:p w14:paraId="27E08C16" w14:textId="77777777" w:rsidR="00A85061" w:rsidRDefault="00A85061">
            <w:pPr>
              <w:rPr>
                <w:rFonts w:ascii="宋体"/>
              </w:rPr>
            </w:pPr>
          </w:p>
        </w:tc>
        <w:tc>
          <w:tcPr>
            <w:tcW w:w="0" w:type="auto"/>
            <w:shd w:val="clear" w:color="auto" w:fill="auto"/>
            <w:vAlign w:val="bottom"/>
          </w:tcPr>
          <w:p w14:paraId="27E08C17" w14:textId="77777777" w:rsidR="00A85061" w:rsidRDefault="00A85061">
            <w:pPr>
              <w:rPr>
                <w:rFonts w:ascii="宋体"/>
              </w:rPr>
            </w:pPr>
          </w:p>
        </w:tc>
        <w:tc>
          <w:tcPr>
            <w:tcW w:w="0" w:type="auto"/>
            <w:shd w:val="clear" w:color="auto" w:fill="auto"/>
            <w:vAlign w:val="bottom"/>
          </w:tcPr>
          <w:p w14:paraId="27E08C18" w14:textId="77777777" w:rsidR="00A85061" w:rsidRDefault="00A85061">
            <w:pPr>
              <w:rPr>
                <w:rFonts w:ascii="宋体"/>
              </w:rPr>
            </w:pPr>
          </w:p>
        </w:tc>
        <w:tc>
          <w:tcPr>
            <w:tcW w:w="0" w:type="auto"/>
            <w:shd w:val="clear" w:color="auto" w:fill="auto"/>
            <w:vAlign w:val="bottom"/>
          </w:tcPr>
          <w:p w14:paraId="27E08C19" w14:textId="77777777" w:rsidR="00A85061" w:rsidRDefault="00A85061">
            <w:pPr>
              <w:rPr>
                <w:rFonts w:ascii="宋体"/>
              </w:rPr>
            </w:pPr>
          </w:p>
        </w:tc>
        <w:tc>
          <w:tcPr>
            <w:tcW w:w="0" w:type="auto"/>
            <w:shd w:val="clear" w:color="auto" w:fill="auto"/>
            <w:vAlign w:val="bottom"/>
          </w:tcPr>
          <w:p w14:paraId="27E08C1A" w14:textId="77777777" w:rsidR="00A85061" w:rsidRDefault="00A85061">
            <w:pPr>
              <w:rPr>
                <w:rFonts w:ascii="宋体"/>
              </w:rPr>
            </w:pPr>
          </w:p>
        </w:tc>
        <w:tc>
          <w:tcPr>
            <w:tcW w:w="0" w:type="auto"/>
            <w:shd w:val="clear" w:color="auto" w:fill="auto"/>
            <w:vAlign w:val="bottom"/>
          </w:tcPr>
          <w:p w14:paraId="27E08C1B" w14:textId="77777777" w:rsidR="00A85061" w:rsidRDefault="00A85061">
            <w:pPr>
              <w:rPr>
                <w:rFonts w:ascii="宋体"/>
              </w:rPr>
            </w:pPr>
          </w:p>
        </w:tc>
        <w:tc>
          <w:tcPr>
            <w:tcW w:w="0" w:type="auto"/>
            <w:shd w:val="clear" w:color="auto" w:fill="auto"/>
            <w:vAlign w:val="bottom"/>
          </w:tcPr>
          <w:p w14:paraId="27E08C1C" w14:textId="77777777" w:rsidR="00A85061" w:rsidRDefault="00A85061">
            <w:pPr>
              <w:rPr>
                <w:rFonts w:ascii="宋体"/>
              </w:rPr>
            </w:pPr>
          </w:p>
        </w:tc>
        <w:tc>
          <w:tcPr>
            <w:tcW w:w="0" w:type="auto"/>
            <w:shd w:val="clear" w:color="auto" w:fill="auto"/>
            <w:vAlign w:val="bottom"/>
          </w:tcPr>
          <w:p w14:paraId="27E08C1D" w14:textId="77777777" w:rsidR="00A85061" w:rsidRDefault="00A85061">
            <w:pPr>
              <w:rPr>
                <w:rFonts w:ascii="宋体"/>
              </w:rPr>
            </w:pPr>
          </w:p>
        </w:tc>
        <w:tc>
          <w:tcPr>
            <w:tcW w:w="0" w:type="auto"/>
            <w:shd w:val="clear" w:color="auto" w:fill="auto"/>
            <w:vAlign w:val="bottom"/>
          </w:tcPr>
          <w:p w14:paraId="27E08C1E" w14:textId="77777777" w:rsidR="00A85061" w:rsidRDefault="00A85061">
            <w:pPr>
              <w:rPr>
                <w:rFonts w:ascii="宋体"/>
              </w:rPr>
            </w:pPr>
          </w:p>
        </w:tc>
      </w:tr>
      <w:tr w:rsidR="00A85061" w14:paraId="27E08C30" w14:textId="77777777">
        <w:tc>
          <w:tcPr>
            <w:tcW w:w="0" w:type="auto"/>
            <w:gridSpan w:val="3"/>
            <w:shd w:val="clear" w:color="auto" w:fill="auto"/>
            <w:tcMar>
              <w:top w:w="40" w:type="dxa"/>
              <w:left w:w="20" w:type="dxa"/>
              <w:bottom w:w="40" w:type="dxa"/>
              <w:right w:w="20" w:type="dxa"/>
            </w:tcMar>
            <w:vAlign w:val="center"/>
          </w:tcPr>
          <w:p w14:paraId="27E08C20" w14:textId="77777777" w:rsidR="00A85061" w:rsidRDefault="00F04891">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C21" w14:textId="77777777" w:rsidR="00A85061" w:rsidRDefault="00F04891">
            <w:pPr>
              <w:jc w:val="center"/>
              <w:textAlignment w:val="center"/>
            </w:pPr>
            <w:r>
              <w:rPr>
                <w:rFonts w:ascii="sans-serif" w:eastAsia="sans-serif" w:hAnsi="sans-serif" w:cs="sans-serif"/>
                <w:b/>
                <w:bCs/>
                <w:color w:val="000000"/>
                <w:sz w:val="20"/>
                <w:szCs w:val="20"/>
              </w:rPr>
              <w:t>May 2,</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22"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C23" w14:textId="77777777" w:rsidR="00A85061" w:rsidRDefault="00F04891">
            <w:pPr>
              <w:jc w:val="center"/>
              <w:textAlignment w:val="center"/>
            </w:pPr>
            <w:r>
              <w:rPr>
                <w:rFonts w:ascii="sans-serif" w:eastAsia="sans-serif" w:hAnsi="sans-serif" w:cs="sans-serif"/>
                <w:b/>
                <w:bCs/>
                <w:color w:val="000000"/>
                <w:sz w:val="20"/>
                <w:szCs w:val="20"/>
              </w:rPr>
              <w:t>April 26,</w:t>
            </w:r>
            <w:r>
              <w:rPr>
                <w:rFonts w:ascii="sans-serif" w:eastAsia="sans-serif" w:hAnsi="sans-serif" w:cs="sans-serif"/>
                <w:b/>
                <w:bCs/>
                <w:color w:val="000000"/>
                <w:sz w:val="20"/>
                <w:szCs w:val="20"/>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24"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C25" w14:textId="77777777" w:rsidR="00A85061" w:rsidRDefault="00F04891">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26"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27E08C27" w14:textId="77777777" w:rsidR="00A85061" w:rsidRDefault="00F04891">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vAlign w:val="bottom"/>
          </w:tcPr>
          <w:p w14:paraId="27E08C28" w14:textId="77777777" w:rsidR="00A85061" w:rsidRDefault="00A85061">
            <w:pPr>
              <w:rPr>
                <w:rFonts w:ascii="宋体"/>
                <w:vanish/>
              </w:rPr>
            </w:pPr>
          </w:p>
        </w:tc>
        <w:tc>
          <w:tcPr>
            <w:tcW w:w="0" w:type="auto"/>
            <w:gridSpan w:val="3"/>
            <w:shd w:val="clear" w:color="auto" w:fill="auto"/>
            <w:vAlign w:val="bottom"/>
          </w:tcPr>
          <w:p w14:paraId="27E08C29" w14:textId="77777777" w:rsidR="00A85061" w:rsidRDefault="00A85061">
            <w:pPr>
              <w:rPr>
                <w:rFonts w:ascii="宋体"/>
                <w:vanish/>
              </w:rPr>
            </w:pPr>
          </w:p>
        </w:tc>
        <w:tc>
          <w:tcPr>
            <w:tcW w:w="0" w:type="auto"/>
            <w:gridSpan w:val="3"/>
            <w:shd w:val="clear" w:color="auto" w:fill="auto"/>
            <w:vAlign w:val="bottom"/>
          </w:tcPr>
          <w:p w14:paraId="27E08C2A" w14:textId="77777777" w:rsidR="00A85061" w:rsidRDefault="00A85061">
            <w:pPr>
              <w:rPr>
                <w:rFonts w:ascii="宋体"/>
                <w:vanish/>
              </w:rPr>
            </w:pPr>
          </w:p>
        </w:tc>
        <w:tc>
          <w:tcPr>
            <w:tcW w:w="0" w:type="auto"/>
            <w:gridSpan w:val="3"/>
            <w:shd w:val="clear" w:color="auto" w:fill="auto"/>
            <w:vAlign w:val="bottom"/>
          </w:tcPr>
          <w:p w14:paraId="27E08C2B" w14:textId="77777777" w:rsidR="00A85061" w:rsidRDefault="00A85061">
            <w:pPr>
              <w:rPr>
                <w:rFonts w:ascii="宋体"/>
                <w:vanish/>
              </w:rPr>
            </w:pPr>
          </w:p>
        </w:tc>
        <w:tc>
          <w:tcPr>
            <w:tcW w:w="0" w:type="auto"/>
            <w:gridSpan w:val="3"/>
            <w:shd w:val="clear" w:color="auto" w:fill="auto"/>
            <w:vAlign w:val="bottom"/>
          </w:tcPr>
          <w:p w14:paraId="27E08C2C" w14:textId="77777777" w:rsidR="00A85061" w:rsidRDefault="00A85061">
            <w:pPr>
              <w:rPr>
                <w:rFonts w:ascii="宋体"/>
                <w:vanish/>
              </w:rPr>
            </w:pPr>
          </w:p>
        </w:tc>
        <w:tc>
          <w:tcPr>
            <w:tcW w:w="0" w:type="auto"/>
            <w:gridSpan w:val="3"/>
            <w:shd w:val="clear" w:color="auto" w:fill="auto"/>
            <w:vAlign w:val="bottom"/>
          </w:tcPr>
          <w:p w14:paraId="27E08C2D" w14:textId="77777777" w:rsidR="00A85061" w:rsidRDefault="00A85061">
            <w:pPr>
              <w:rPr>
                <w:rFonts w:ascii="宋体"/>
                <w:vanish/>
              </w:rPr>
            </w:pPr>
          </w:p>
        </w:tc>
        <w:tc>
          <w:tcPr>
            <w:tcW w:w="0" w:type="auto"/>
            <w:gridSpan w:val="3"/>
            <w:shd w:val="clear" w:color="auto" w:fill="auto"/>
            <w:vAlign w:val="bottom"/>
          </w:tcPr>
          <w:p w14:paraId="27E08C2E" w14:textId="77777777" w:rsidR="00A85061" w:rsidRDefault="00A85061">
            <w:pPr>
              <w:rPr>
                <w:rFonts w:ascii="宋体"/>
                <w:vanish/>
              </w:rPr>
            </w:pPr>
          </w:p>
        </w:tc>
        <w:tc>
          <w:tcPr>
            <w:tcW w:w="0" w:type="auto"/>
            <w:gridSpan w:val="3"/>
            <w:shd w:val="clear" w:color="auto" w:fill="auto"/>
            <w:vAlign w:val="bottom"/>
          </w:tcPr>
          <w:p w14:paraId="27E08C2F" w14:textId="77777777" w:rsidR="00A85061" w:rsidRDefault="00A85061">
            <w:pPr>
              <w:rPr>
                <w:rFonts w:ascii="宋体"/>
                <w:vanish/>
              </w:rPr>
            </w:pPr>
          </w:p>
        </w:tc>
      </w:tr>
      <w:tr w:rsidR="00A85061" w14:paraId="27E08C41" w14:textId="77777777">
        <w:trPr>
          <w:trHeight w:val="60"/>
        </w:trPr>
        <w:tc>
          <w:tcPr>
            <w:tcW w:w="0" w:type="auto"/>
            <w:gridSpan w:val="3"/>
            <w:shd w:val="clear" w:color="auto" w:fill="auto"/>
            <w:tcMar>
              <w:top w:w="0" w:type="dxa"/>
              <w:left w:w="20" w:type="dxa"/>
              <w:bottom w:w="0" w:type="dxa"/>
              <w:right w:w="20" w:type="dxa"/>
            </w:tcMar>
            <w:vAlign w:val="bottom"/>
          </w:tcPr>
          <w:p w14:paraId="27E08C3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3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C33"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3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C35"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3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C37"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38" w14:textId="77777777" w:rsidR="00A85061" w:rsidRDefault="00A85061">
            <w:pPr>
              <w:rPr>
                <w:rFonts w:ascii="宋体"/>
              </w:rPr>
            </w:pPr>
          </w:p>
        </w:tc>
        <w:tc>
          <w:tcPr>
            <w:tcW w:w="0" w:type="auto"/>
            <w:gridSpan w:val="3"/>
            <w:shd w:val="clear" w:color="auto" w:fill="auto"/>
            <w:vAlign w:val="bottom"/>
          </w:tcPr>
          <w:p w14:paraId="27E08C39" w14:textId="77777777" w:rsidR="00A85061" w:rsidRDefault="00A85061">
            <w:pPr>
              <w:rPr>
                <w:rFonts w:ascii="宋体"/>
                <w:vanish/>
              </w:rPr>
            </w:pPr>
          </w:p>
        </w:tc>
        <w:tc>
          <w:tcPr>
            <w:tcW w:w="0" w:type="auto"/>
            <w:gridSpan w:val="3"/>
            <w:shd w:val="clear" w:color="auto" w:fill="auto"/>
            <w:vAlign w:val="bottom"/>
          </w:tcPr>
          <w:p w14:paraId="27E08C3A" w14:textId="77777777" w:rsidR="00A85061" w:rsidRDefault="00A85061">
            <w:pPr>
              <w:rPr>
                <w:rFonts w:ascii="宋体"/>
                <w:vanish/>
              </w:rPr>
            </w:pPr>
          </w:p>
        </w:tc>
        <w:tc>
          <w:tcPr>
            <w:tcW w:w="0" w:type="auto"/>
            <w:gridSpan w:val="3"/>
            <w:shd w:val="clear" w:color="auto" w:fill="auto"/>
            <w:vAlign w:val="bottom"/>
          </w:tcPr>
          <w:p w14:paraId="27E08C3B" w14:textId="77777777" w:rsidR="00A85061" w:rsidRDefault="00A85061">
            <w:pPr>
              <w:rPr>
                <w:rFonts w:ascii="宋体"/>
                <w:vanish/>
              </w:rPr>
            </w:pPr>
          </w:p>
        </w:tc>
        <w:tc>
          <w:tcPr>
            <w:tcW w:w="0" w:type="auto"/>
            <w:gridSpan w:val="3"/>
            <w:shd w:val="clear" w:color="auto" w:fill="auto"/>
            <w:vAlign w:val="bottom"/>
          </w:tcPr>
          <w:p w14:paraId="27E08C3C" w14:textId="77777777" w:rsidR="00A85061" w:rsidRDefault="00A85061">
            <w:pPr>
              <w:rPr>
                <w:rFonts w:ascii="宋体"/>
                <w:vanish/>
              </w:rPr>
            </w:pPr>
          </w:p>
        </w:tc>
        <w:tc>
          <w:tcPr>
            <w:tcW w:w="0" w:type="auto"/>
            <w:gridSpan w:val="3"/>
            <w:shd w:val="clear" w:color="auto" w:fill="auto"/>
            <w:vAlign w:val="bottom"/>
          </w:tcPr>
          <w:p w14:paraId="27E08C3D" w14:textId="77777777" w:rsidR="00A85061" w:rsidRDefault="00A85061">
            <w:pPr>
              <w:rPr>
                <w:rFonts w:ascii="宋体"/>
                <w:vanish/>
              </w:rPr>
            </w:pPr>
          </w:p>
        </w:tc>
        <w:tc>
          <w:tcPr>
            <w:tcW w:w="0" w:type="auto"/>
            <w:gridSpan w:val="3"/>
            <w:shd w:val="clear" w:color="auto" w:fill="auto"/>
            <w:vAlign w:val="bottom"/>
          </w:tcPr>
          <w:p w14:paraId="27E08C3E" w14:textId="77777777" w:rsidR="00A85061" w:rsidRDefault="00A85061">
            <w:pPr>
              <w:rPr>
                <w:rFonts w:ascii="宋体"/>
                <w:vanish/>
              </w:rPr>
            </w:pPr>
          </w:p>
        </w:tc>
        <w:tc>
          <w:tcPr>
            <w:tcW w:w="0" w:type="auto"/>
            <w:gridSpan w:val="3"/>
            <w:shd w:val="clear" w:color="auto" w:fill="auto"/>
            <w:vAlign w:val="bottom"/>
          </w:tcPr>
          <w:p w14:paraId="27E08C3F" w14:textId="77777777" w:rsidR="00A85061" w:rsidRDefault="00A85061">
            <w:pPr>
              <w:rPr>
                <w:rFonts w:ascii="宋体"/>
                <w:vanish/>
              </w:rPr>
            </w:pPr>
          </w:p>
        </w:tc>
        <w:tc>
          <w:tcPr>
            <w:tcW w:w="0" w:type="auto"/>
            <w:gridSpan w:val="3"/>
            <w:shd w:val="clear" w:color="auto" w:fill="auto"/>
            <w:vAlign w:val="bottom"/>
          </w:tcPr>
          <w:p w14:paraId="27E08C40" w14:textId="77777777" w:rsidR="00A85061" w:rsidRDefault="00A85061">
            <w:pPr>
              <w:rPr>
                <w:rFonts w:ascii="宋体"/>
                <w:vanish/>
              </w:rPr>
            </w:pPr>
          </w:p>
        </w:tc>
      </w:tr>
      <w:tr w:rsidR="00A85061" w14:paraId="27E08C5C" w14:textId="77777777">
        <w:tc>
          <w:tcPr>
            <w:tcW w:w="0" w:type="auto"/>
            <w:gridSpan w:val="3"/>
            <w:shd w:val="clear" w:color="auto" w:fill="auto"/>
            <w:tcMar>
              <w:top w:w="40" w:type="dxa"/>
              <w:left w:w="20" w:type="dxa"/>
              <w:bottom w:w="40" w:type="dxa"/>
              <w:right w:w="20" w:type="dxa"/>
            </w:tcMar>
            <w:vAlign w:val="bottom"/>
          </w:tcPr>
          <w:p w14:paraId="27E08C42" w14:textId="77777777" w:rsidR="00A85061" w:rsidRDefault="00F04891">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27E08C43" w14:textId="77777777" w:rsidR="00A85061" w:rsidRDefault="00F04891">
            <w:pPr>
              <w:jc w:val="center"/>
              <w:textAlignment w:val="bottom"/>
            </w:pPr>
            <w:r>
              <w:rPr>
                <w:rFonts w:ascii="sans-serif" w:eastAsia="sans-serif" w:hAnsi="sans-serif" w:cs="sans-serif"/>
                <w:i/>
                <w:iCs/>
                <w:color w:val="000000"/>
                <w:sz w:val="20"/>
                <w:szCs w:val="20"/>
              </w:rPr>
              <w:t>($ in millions)</w:t>
            </w:r>
          </w:p>
        </w:tc>
        <w:tc>
          <w:tcPr>
            <w:tcW w:w="0" w:type="auto"/>
            <w:shd w:val="clear" w:color="auto" w:fill="auto"/>
            <w:vAlign w:val="bottom"/>
          </w:tcPr>
          <w:p w14:paraId="27E08C44" w14:textId="77777777" w:rsidR="00A85061" w:rsidRDefault="00A85061">
            <w:pPr>
              <w:rPr>
                <w:rFonts w:ascii="宋体"/>
              </w:rPr>
            </w:pPr>
          </w:p>
        </w:tc>
        <w:tc>
          <w:tcPr>
            <w:tcW w:w="0" w:type="auto"/>
            <w:shd w:val="clear" w:color="auto" w:fill="auto"/>
            <w:vAlign w:val="bottom"/>
          </w:tcPr>
          <w:p w14:paraId="27E08C45" w14:textId="77777777" w:rsidR="00A85061" w:rsidRDefault="00A85061">
            <w:pPr>
              <w:rPr>
                <w:rFonts w:ascii="宋体"/>
              </w:rPr>
            </w:pPr>
          </w:p>
        </w:tc>
        <w:tc>
          <w:tcPr>
            <w:tcW w:w="0" w:type="auto"/>
            <w:shd w:val="clear" w:color="auto" w:fill="auto"/>
            <w:vAlign w:val="bottom"/>
          </w:tcPr>
          <w:p w14:paraId="27E08C46" w14:textId="77777777" w:rsidR="00A85061" w:rsidRDefault="00A85061">
            <w:pPr>
              <w:rPr>
                <w:rFonts w:ascii="宋体"/>
              </w:rPr>
            </w:pPr>
          </w:p>
        </w:tc>
        <w:tc>
          <w:tcPr>
            <w:tcW w:w="0" w:type="auto"/>
            <w:shd w:val="clear" w:color="auto" w:fill="auto"/>
            <w:vAlign w:val="bottom"/>
          </w:tcPr>
          <w:p w14:paraId="27E08C47" w14:textId="77777777" w:rsidR="00A85061" w:rsidRDefault="00A85061">
            <w:pPr>
              <w:rPr>
                <w:rFonts w:ascii="宋体"/>
              </w:rPr>
            </w:pPr>
          </w:p>
        </w:tc>
        <w:tc>
          <w:tcPr>
            <w:tcW w:w="0" w:type="auto"/>
            <w:shd w:val="clear" w:color="auto" w:fill="auto"/>
            <w:vAlign w:val="bottom"/>
          </w:tcPr>
          <w:p w14:paraId="27E08C48" w14:textId="77777777" w:rsidR="00A85061" w:rsidRDefault="00A85061">
            <w:pPr>
              <w:rPr>
                <w:rFonts w:ascii="宋体"/>
              </w:rPr>
            </w:pPr>
          </w:p>
        </w:tc>
        <w:tc>
          <w:tcPr>
            <w:tcW w:w="0" w:type="auto"/>
            <w:shd w:val="clear" w:color="auto" w:fill="auto"/>
            <w:vAlign w:val="bottom"/>
          </w:tcPr>
          <w:p w14:paraId="27E08C49" w14:textId="77777777" w:rsidR="00A85061" w:rsidRDefault="00A85061">
            <w:pPr>
              <w:rPr>
                <w:rFonts w:ascii="宋体"/>
              </w:rPr>
            </w:pPr>
          </w:p>
        </w:tc>
        <w:tc>
          <w:tcPr>
            <w:tcW w:w="0" w:type="auto"/>
            <w:shd w:val="clear" w:color="auto" w:fill="auto"/>
            <w:vAlign w:val="bottom"/>
          </w:tcPr>
          <w:p w14:paraId="27E08C4A" w14:textId="77777777" w:rsidR="00A85061" w:rsidRDefault="00A85061">
            <w:pPr>
              <w:rPr>
                <w:rFonts w:ascii="宋体"/>
              </w:rPr>
            </w:pPr>
          </w:p>
        </w:tc>
        <w:tc>
          <w:tcPr>
            <w:tcW w:w="0" w:type="auto"/>
            <w:shd w:val="clear" w:color="auto" w:fill="auto"/>
            <w:vAlign w:val="bottom"/>
          </w:tcPr>
          <w:p w14:paraId="27E08C4B" w14:textId="77777777" w:rsidR="00A85061" w:rsidRDefault="00A85061">
            <w:pPr>
              <w:rPr>
                <w:rFonts w:ascii="宋体"/>
              </w:rPr>
            </w:pPr>
          </w:p>
        </w:tc>
        <w:tc>
          <w:tcPr>
            <w:tcW w:w="0" w:type="auto"/>
            <w:shd w:val="clear" w:color="auto" w:fill="auto"/>
            <w:vAlign w:val="bottom"/>
          </w:tcPr>
          <w:p w14:paraId="27E08C4C" w14:textId="77777777" w:rsidR="00A85061" w:rsidRDefault="00A85061">
            <w:pPr>
              <w:rPr>
                <w:rFonts w:ascii="宋体"/>
              </w:rPr>
            </w:pPr>
          </w:p>
        </w:tc>
        <w:tc>
          <w:tcPr>
            <w:tcW w:w="0" w:type="auto"/>
            <w:shd w:val="clear" w:color="auto" w:fill="auto"/>
            <w:vAlign w:val="bottom"/>
          </w:tcPr>
          <w:p w14:paraId="27E08C4D" w14:textId="77777777" w:rsidR="00A85061" w:rsidRDefault="00A85061">
            <w:pPr>
              <w:rPr>
                <w:rFonts w:ascii="宋体"/>
              </w:rPr>
            </w:pPr>
          </w:p>
        </w:tc>
        <w:tc>
          <w:tcPr>
            <w:tcW w:w="0" w:type="auto"/>
            <w:shd w:val="clear" w:color="auto" w:fill="auto"/>
            <w:vAlign w:val="bottom"/>
          </w:tcPr>
          <w:p w14:paraId="27E08C4E" w14:textId="77777777" w:rsidR="00A85061" w:rsidRDefault="00A85061">
            <w:pPr>
              <w:rPr>
                <w:rFonts w:ascii="宋体"/>
              </w:rPr>
            </w:pPr>
          </w:p>
        </w:tc>
        <w:tc>
          <w:tcPr>
            <w:tcW w:w="0" w:type="auto"/>
            <w:shd w:val="clear" w:color="auto" w:fill="auto"/>
            <w:vAlign w:val="bottom"/>
          </w:tcPr>
          <w:p w14:paraId="27E08C4F" w14:textId="77777777" w:rsidR="00A85061" w:rsidRDefault="00A85061">
            <w:pPr>
              <w:rPr>
                <w:rFonts w:ascii="宋体"/>
              </w:rPr>
            </w:pPr>
          </w:p>
        </w:tc>
        <w:tc>
          <w:tcPr>
            <w:tcW w:w="0" w:type="auto"/>
            <w:shd w:val="clear" w:color="auto" w:fill="auto"/>
            <w:vAlign w:val="bottom"/>
          </w:tcPr>
          <w:p w14:paraId="27E08C50" w14:textId="77777777" w:rsidR="00A85061" w:rsidRDefault="00A85061">
            <w:pPr>
              <w:rPr>
                <w:rFonts w:ascii="宋体"/>
              </w:rPr>
            </w:pPr>
          </w:p>
        </w:tc>
        <w:tc>
          <w:tcPr>
            <w:tcW w:w="0" w:type="auto"/>
            <w:shd w:val="clear" w:color="auto" w:fill="auto"/>
            <w:vAlign w:val="bottom"/>
          </w:tcPr>
          <w:p w14:paraId="27E08C51" w14:textId="77777777" w:rsidR="00A85061" w:rsidRDefault="00A85061">
            <w:pPr>
              <w:rPr>
                <w:rFonts w:ascii="宋体"/>
              </w:rPr>
            </w:pPr>
          </w:p>
        </w:tc>
        <w:tc>
          <w:tcPr>
            <w:tcW w:w="0" w:type="auto"/>
            <w:shd w:val="clear" w:color="auto" w:fill="auto"/>
            <w:vAlign w:val="bottom"/>
          </w:tcPr>
          <w:p w14:paraId="27E08C52" w14:textId="77777777" w:rsidR="00A85061" w:rsidRDefault="00A85061">
            <w:pPr>
              <w:rPr>
                <w:rFonts w:ascii="宋体"/>
              </w:rPr>
            </w:pPr>
          </w:p>
        </w:tc>
        <w:tc>
          <w:tcPr>
            <w:tcW w:w="0" w:type="auto"/>
            <w:shd w:val="clear" w:color="auto" w:fill="auto"/>
            <w:vAlign w:val="bottom"/>
          </w:tcPr>
          <w:p w14:paraId="27E08C53" w14:textId="77777777" w:rsidR="00A85061" w:rsidRDefault="00A85061">
            <w:pPr>
              <w:rPr>
                <w:rFonts w:ascii="宋体"/>
              </w:rPr>
            </w:pPr>
          </w:p>
        </w:tc>
        <w:tc>
          <w:tcPr>
            <w:tcW w:w="0" w:type="auto"/>
            <w:shd w:val="clear" w:color="auto" w:fill="auto"/>
            <w:vAlign w:val="bottom"/>
          </w:tcPr>
          <w:p w14:paraId="27E08C54" w14:textId="77777777" w:rsidR="00A85061" w:rsidRDefault="00A85061">
            <w:pPr>
              <w:rPr>
                <w:rFonts w:ascii="宋体"/>
              </w:rPr>
            </w:pPr>
          </w:p>
        </w:tc>
        <w:tc>
          <w:tcPr>
            <w:tcW w:w="0" w:type="auto"/>
            <w:shd w:val="clear" w:color="auto" w:fill="auto"/>
            <w:vAlign w:val="bottom"/>
          </w:tcPr>
          <w:p w14:paraId="27E08C55" w14:textId="77777777" w:rsidR="00A85061" w:rsidRDefault="00A85061">
            <w:pPr>
              <w:rPr>
                <w:rFonts w:ascii="宋体"/>
              </w:rPr>
            </w:pPr>
          </w:p>
        </w:tc>
        <w:tc>
          <w:tcPr>
            <w:tcW w:w="0" w:type="auto"/>
            <w:shd w:val="clear" w:color="auto" w:fill="auto"/>
            <w:vAlign w:val="bottom"/>
          </w:tcPr>
          <w:p w14:paraId="27E08C56" w14:textId="77777777" w:rsidR="00A85061" w:rsidRDefault="00A85061">
            <w:pPr>
              <w:rPr>
                <w:rFonts w:ascii="宋体"/>
              </w:rPr>
            </w:pPr>
          </w:p>
        </w:tc>
        <w:tc>
          <w:tcPr>
            <w:tcW w:w="0" w:type="auto"/>
            <w:shd w:val="clear" w:color="auto" w:fill="auto"/>
            <w:vAlign w:val="bottom"/>
          </w:tcPr>
          <w:p w14:paraId="27E08C57" w14:textId="77777777" w:rsidR="00A85061" w:rsidRDefault="00A85061">
            <w:pPr>
              <w:rPr>
                <w:rFonts w:ascii="宋体"/>
              </w:rPr>
            </w:pPr>
          </w:p>
        </w:tc>
        <w:tc>
          <w:tcPr>
            <w:tcW w:w="0" w:type="auto"/>
            <w:shd w:val="clear" w:color="auto" w:fill="auto"/>
            <w:vAlign w:val="bottom"/>
          </w:tcPr>
          <w:p w14:paraId="27E08C58" w14:textId="77777777" w:rsidR="00A85061" w:rsidRDefault="00A85061">
            <w:pPr>
              <w:rPr>
                <w:rFonts w:ascii="宋体"/>
              </w:rPr>
            </w:pPr>
          </w:p>
        </w:tc>
        <w:tc>
          <w:tcPr>
            <w:tcW w:w="0" w:type="auto"/>
            <w:shd w:val="clear" w:color="auto" w:fill="auto"/>
            <w:vAlign w:val="bottom"/>
          </w:tcPr>
          <w:p w14:paraId="27E08C59" w14:textId="77777777" w:rsidR="00A85061" w:rsidRDefault="00A85061">
            <w:pPr>
              <w:rPr>
                <w:rFonts w:ascii="宋体"/>
              </w:rPr>
            </w:pPr>
          </w:p>
        </w:tc>
        <w:tc>
          <w:tcPr>
            <w:tcW w:w="0" w:type="auto"/>
            <w:shd w:val="clear" w:color="auto" w:fill="auto"/>
            <w:vAlign w:val="bottom"/>
          </w:tcPr>
          <w:p w14:paraId="27E08C5A" w14:textId="77777777" w:rsidR="00A85061" w:rsidRDefault="00A85061">
            <w:pPr>
              <w:rPr>
                <w:rFonts w:ascii="宋体"/>
              </w:rPr>
            </w:pPr>
          </w:p>
        </w:tc>
        <w:tc>
          <w:tcPr>
            <w:tcW w:w="0" w:type="auto"/>
            <w:shd w:val="clear" w:color="auto" w:fill="auto"/>
            <w:vAlign w:val="bottom"/>
          </w:tcPr>
          <w:p w14:paraId="27E08C5B" w14:textId="77777777" w:rsidR="00A85061" w:rsidRDefault="00A85061">
            <w:pPr>
              <w:rPr>
                <w:rFonts w:ascii="宋体"/>
              </w:rPr>
            </w:pPr>
          </w:p>
        </w:tc>
      </w:tr>
      <w:tr w:rsidR="00A85061" w14:paraId="27E08C74" w14:textId="77777777">
        <w:tc>
          <w:tcPr>
            <w:tcW w:w="0" w:type="auto"/>
            <w:gridSpan w:val="3"/>
            <w:shd w:val="clear" w:color="auto" w:fill="E2EFD9"/>
            <w:tcMar>
              <w:top w:w="40" w:type="dxa"/>
              <w:left w:w="20" w:type="dxa"/>
              <w:bottom w:w="40" w:type="dxa"/>
              <w:right w:w="20" w:type="dxa"/>
            </w:tcMar>
            <w:vAlign w:val="bottom"/>
          </w:tcPr>
          <w:p w14:paraId="27E08C5D" w14:textId="77777777" w:rsidR="00A85061" w:rsidRDefault="00F04891">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27E08C5E"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C5F" w14:textId="77777777" w:rsidR="00A85061" w:rsidRDefault="00F04891">
            <w:pPr>
              <w:jc w:val="right"/>
              <w:textAlignment w:val="bottom"/>
            </w:pPr>
            <w:r>
              <w:rPr>
                <w:rFonts w:ascii="sans-serif" w:eastAsia="sans-serif" w:hAnsi="sans-serif" w:cs="sans-serif"/>
                <w:color w:val="000000"/>
                <w:sz w:val="20"/>
                <w:szCs w:val="20"/>
              </w:rPr>
              <w:t>1,153 </w:t>
            </w:r>
          </w:p>
        </w:tc>
        <w:tc>
          <w:tcPr>
            <w:tcW w:w="0" w:type="auto"/>
            <w:shd w:val="clear" w:color="auto" w:fill="E2EFD9"/>
            <w:tcMar>
              <w:top w:w="40" w:type="dxa"/>
              <w:left w:w="0" w:type="dxa"/>
              <w:bottom w:w="40" w:type="dxa"/>
              <w:right w:w="20" w:type="dxa"/>
            </w:tcMar>
            <w:vAlign w:val="bottom"/>
          </w:tcPr>
          <w:p w14:paraId="27E08C6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61"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C62"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C63" w14:textId="77777777" w:rsidR="00A85061" w:rsidRDefault="00F04891">
            <w:pPr>
              <w:jc w:val="right"/>
              <w:textAlignment w:val="bottom"/>
            </w:pPr>
            <w:r>
              <w:rPr>
                <w:rFonts w:ascii="sans-serif" w:eastAsia="sans-serif" w:hAnsi="sans-serif" w:cs="sans-serif"/>
                <w:color w:val="000000"/>
                <w:sz w:val="20"/>
                <w:szCs w:val="20"/>
              </w:rPr>
              <w:t>735 </w:t>
            </w:r>
          </w:p>
        </w:tc>
        <w:tc>
          <w:tcPr>
            <w:tcW w:w="0" w:type="auto"/>
            <w:shd w:val="clear" w:color="auto" w:fill="E2EFD9"/>
            <w:tcMar>
              <w:top w:w="40" w:type="dxa"/>
              <w:left w:w="0" w:type="dxa"/>
              <w:bottom w:w="40" w:type="dxa"/>
              <w:right w:w="20" w:type="dxa"/>
            </w:tcMar>
            <w:vAlign w:val="bottom"/>
          </w:tcPr>
          <w:p w14:paraId="27E08C64"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65"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C6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C67" w14:textId="77777777" w:rsidR="00A85061" w:rsidRDefault="00F04891">
            <w:pPr>
              <w:jc w:val="right"/>
              <w:textAlignment w:val="bottom"/>
            </w:pPr>
            <w:r>
              <w:rPr>
                <w:rFonts w:ascii="sans-serif" w:eastAsia="sans-serif" w:hAnsi="sans-serif" w:cs="sans-serif"/>
                <w:color w:val="000000"/>
                <w:sz w:val="20"/>
                <w:szCs w:val="20"/>
              </w:rPr>
              <w:t>418 </w:t>
            </w:r>
          </w:p>
        </w:tc>
        <w:tc>
          <w:tcPr>
            <w:tcW w:w="0" w:type="auto"/>
            <w:shd w:val="clear" w:color="auto" w:fill="E2EFD9"/>
            <w:tcMar>
              <w:top w:w="40" w:type="dxa"/>
              <w:left w:w="0" w:type="dxa"/>
              <w:bottom w:w="40" w:type="dxa"/>
              <w:right w:w="20" w:type="dxa"/>
            </w:tcMar>
            <w:vAlign w:val="bottom"/>
          </w:tcPr>
          <w:p w14:paraId="27E08C6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69"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C6A" w14:textId="77777777" w:rsidR="00A85061" w:rsidRDefault="00F04891">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27E08C6B"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C6C" w14:textId="77777777" w:rsidR="00A85061" w:rsidRDefault="00A85061">
            <w:pPr>
              <w:rPr>
                <w:rFonts w:ascii="宋体"/>
                <w:vanish/>
              </w:rPr>
            </w:pPr>
          </w:p>
        </w:tc>
        <w:tc>
          <w:tcPr>
            <w:tcW w:w="0" w:type="auto"/>
            <w:gridSpan w:val="3"/>
            <w:shd w:val="clear" w:color="auto" w:fill="auto"/>
            <w:vAlign w:val="bottom"/>
          </w:tcPr>
          <w:p w14:paraId="27E08C6D" w14:textId="77777777" w:rsidR="00A85061" w:rsidRDefault="00A85061">
            <w:pPr>
              <w:rPr>
                <w:rFonts w:ascii="宋体"/>
                <w:vanish/>
              </w:rPr>
            </w:pPr>
          </w:p>
        </w:tc>
        <w:tc>
          <w:tcPr>
            <w:tcW w:w="0" w:type="auto"/>
            <w:gridSpan w:val="3"/>
            <w:shd w:val="clear" w:color="auto" w:fill="auto"/>
            <w:vAlign w:val="bottom"/>
          </w:tcPr>
          <w:p w14:paraId="27E08C6E" w14:textId="77777777" w:rsidR="00A85061" w:rsidRDefault="00A85061">
            <w:pPr>
              <w:rPr>
                <w:rFonts w:ascii="宋体"/>
                <w:vanish/>
              </w:rPr>
            </w:pPr>
          </w:p>
        </w:tc>
        <w:tc>
          <w:tcPr>
            <w:tcW w:w="0" w:type="auto"/>
            <w:gridSpan w:val="3"/>
            <w:shd w:val="clear" w:color="auto" w:fill="auto"/>
            <w:vAlign w:val="bottom"/>
          </w:tcPr>
          <w:p w14:paraId="27E08C6F" w14:textId="77777777" w:rsidR="00A85061" w:rsidRDefault="00A85061">
            <w:pPr>
              <w:rPr>
                <w:rFonts w:ascii="宋体"/>
                <w:vanish/>
              </w:rPr>
            </w:pPr>
          </w:p>
        </w:tc>
        <w:tc>
          <w:tcPr>
            <w:tcW w:w="0" w:type="auto"/>
            <w:gridSpan w:val="3"/>
            <w:shd w:val="clear" w:color="auto" w:fill="auto"/>
            <w:vAlign w:val="bottom"/>
          </w:tcPr>
          <w:p w14:paraId="27E08C70" w14:textId="77777777" w:rsidR="00A85061" w:rsidRDefault="00A85061">
            <w:pPr>
              <w:rPr>
                <w:rFonts w:ascii="宋体"/>
                <w:vanish/>
              </w:rPr>
            </w:pPr>
          </w:p>
        </w:tc>
        <w:tc>
          <w:tcPr>
            <w:tcW w:w="0" w:type="auto"/>
            <w:gridSpan w:val="3"/>
            <w:shd w:val="clear" w:color="auto" w:fill="auto"/>
            <w:vAlign w:val="bottom"/>
          </w:tcPr>
          <w:p w14:paraId="27E08C71" w14:textId="77777777" w:rsidR="00A85061" w:rsidRDefault="00A85061">
            <w:pPr>
              <w:rPr>
                <w:rFonts w:ascii="宋体"/>
                <w:vanish/>
              </w:rPr>
            </w:pPr>
          </w:p>
        </w:tc>
        <w:tc>
          <w:tcPr>
            <w:tcW w:w="0" w:type="auto"/>
            <w:gridSpan w:val="3"/>
            <w:shd w:val="clear" w:color="auto" w:fill="auto"/>
            <w:vAlign w:val="bottom"/>
          </w:tcPr>
          <w:p w14:paraId="27E08C72" w14:textId="77777777" w:rsidR="00A85061" w:rsidRDefault="00A85061">
            <w:pPr>
              <w:rPr>
                <w:rFonts w:ascii="宋体"/>
                <w:vanish/>
              </w:rPr>
            </w:pPr>
          </w:p>
        </w:tc>
        <w:tc>
          <w:tcPr>
            <w:tcW w:w="0" w:type="auto"/>
            <w:gridSpan w:val="3"/>
            <w:shd w:val="clear" w:color="auto" w:fill="auto"/>
            <w:vAlign w:val="bottom"/>
          </w:tcPr>
          <w:p w14:paraId="27E08C73" w14:textId="77777777" w:rsidR="00A85061" w:rsidRDefault="00A85061">
            <w:pPr>
              <w:rPr>
                <w:rFonts w:ascii="宋体"/>
                <w:vanish/>
              </w:rPr>
            </w:pPr>
          </w:p>
        </w:tc>
      </w:tr>
      <w:tr w:rsidR="00A85061" w14:paraId="27E08C87" w14:textId="77777777">
        <w:tc>
          <w:tcPr>
            <w:tcW w:w="0" w:type="auto"/>
            <w:gridSpan w:val="3"/>
            <w:shd w:val="clear" w:color="auto" w:fill="FFFFFF"/>
            <w:tcMar>
              <w:top w:w="40" w:type="dxa"/>
              <w:left w:w="20" w:type="dxa"/>
              <w:bottom w:w="40" w:type="dxa"/>
              <w:right w:w="20" w:type="dxa"/>
            </w:tcMar>
            <w:vAlign w:val="bottom"/>
          </w:tcPr>
          <w:p w14:paraId="27E08C75" w14:textId="77777777" w:rsidR="00A85061" w:rsidRDefault="00F04891">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27E08C76" w14:textId="77777777" w:rsidR="00A85061" w:rsidRDefault="00F04891">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27E08C77" w14:textId="77777777" w:rsidR="00A85061" w:rsidRDefault="00F04891">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C78"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C79" w14:textId="77777777" w:rsidR="00A85061" w:rsidRDefault="00F04891">
            <w:pPr>
              <w:jc w:val="right"/>
              <w:textAlignment w:val="bottom"/>
            </w:pPr>
            <w:r>
              <w:rPr>
                <w:rFonts w:ascii="sans-serif" w:eastAsia="sans-serif" w:hAnsi="sans-serif" w:cs="sans-serif"/>
                <w:i/>
                <w:iCs/>
                <w:color w:val="000000"/>
                <w:sz w:val="20"/>
                <w:szCs w:val="20"/>
              </w:rPr>
              <w:t>24 </w:t>
            </w:r>
          </w:p>
        </w:tc>
        <w:tc>
          <w:tcPr>
            <w:tcW w:w="0" w:type="auto"/>
            <w:shd w:val="clear" w:color="auto" w:fill="FFFFFF"/>
            <w:tcMar>
              <w:top w:w="40" w:type="dxa"/>
              <w:left w:w="0" w:type="dxa"/>
              <w:bottom w:w="40" w:type="dxa"/>
              <w:right w:w="20" w:type="dxa"/>
            </w:tcMar>
            <w:vAlign w:val="bottom"/>
          </w:tcPr>
          <w:p w14:paraId="27E08C7A" w14:textId="77777777" w:rsidR="00A85061" w:rsidRDefault="00F04891">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C7B"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7C"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7D"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7E" w14:textId="77777777" w:rsidR="00A85061" w:rsidRDefault="00A85061">
            <w:pPr>
              <w:rPr>
                <w:rFonts w:ascii="宋体"/>
              </w:rPr>
            </w:pPr>
          </w:p>
        </w:tc>
        <w:tc>
          <w:tcPr>
            <w:tcW w:w="0" w:type="auto"/>
            <w:gridSpan w:val="3"/>
            <w:shd w:val="clear" w:color="auto" w:fill="auto"/>
            <w:vAlign w:val="bottom"/>
          </w:tcPr>
          <w:p w14:paraId="27E08C7F" w14:textId="77777777" w:rsidR="00A85061" w:rsidRDefault="00A85061">
            <w:pPr>
              <w:rPr>
                <w:rFonts w:ascii="宋体"/>
                <w:vanish/>
              </w:rPr>
            </w:pPr>
          </w:p>
        </w:tc>
        <w:tc>
          <w:tcPr>
            <w:tcW w:w="0" w:type="auto"/>
            <w:gridSpan w:val="3"/>
            <w:shd w:val="clear" w:color="auto" w:fill="auto"/>
            <w:vAlign w:val="bottom"/>
          </w:tcPr>
          <w:p w14:paraId="27E08C80" w14:textId="77777777" w:rsidR="00A85061" w:rsidRDefault="00A85061">
            <w:pPr>
              <w:rPr>
                <w:rFonts w:ascii="宋体"/>
                <w:vanish/>
              </w:rPr>
            </w:pPr>
          </w:p>
        </w:tc>
        <w:tc>
          <w:tcPr>
            <w:tcW w:w="0" w:type="auto"/>
            <w:gridSpan w:val="3"/>
            <w:shd w:val="clear" w:color="auto" w:fill="auto"/>
            <w:vAlign w:val="bottom"/>
          </w:tcPr>
          <w:p w14:paraId="27E08C81" w14:textId="77777777" w:rsidR="00A85061" w:rsidRDefault="00A85061">
            <w:pPr>
              <w:rPr>
                <w:rFonts w:ascii="宋体"/>
                <w:vanish/>
              </w:rPr>
            </w:pPr>
          </w:p>
        </w:tc>
        <w:tc>
          <w:tcPr>
            <w:tcW w:w="0" w:type="auto"/>
            <w:gridSpan w:val="3"/>
            <w:shd w:val="clear" w:color="auto" w:fill="auto"/>
            <w:vAlign w:val="bottom"/>
          </w:tcPr>
          <w:p w14:paraId="27E08C82" w14:textId="77777777" w:rsidR="00A85061" w:rsidRDefault="00A85061">
            <w:pPr>
              <w:rPr>
                <w:rFonts w:ascii="宋体"/>
                <w:vanish/>
              </w:rPr>
            </w:pPr>
          </w:p>
        </w:tc>
        <w:tc>
          <w:tcPr>
            <w:tcW w:w="0" w:type="auto"/>
            <w:gridSpan w:val="3"/>
            <w:shd w:val="clear" w:color="auto" w:fill="auto"/>
            <w:vAlign w:val="bottom"/>
          </w:tcPr>
          <w:p w14:paraId="27E08C83" w14:textId="77777777" w:rsidR="00A85061" w:rsidRDefault="00A85061">
            <w:pPr>
              <w:rPr>
                <w:rFonts w:ascii="宋体"/>
                <w:vanish/>
              </w:rPr>
            </w:pPr>
          </w:p>
        </w:tc>
        <w:tc>
          <w:tcPr>
            <w:tcW w:w="0" w:type="auto"/>
            <w:gridSpan w:val="3"/>
            <w:shd w:val="clear" w:color="auto" w:fill="auto"/>
            <w:vAlign w:val="bottom"/>
          </w:tcPr>
          <w:p w14:paraId="27E08C84" w14:textId="77777777" w:rsidR="00A85061" w:rsidRDefault="00A85061">
            <w:pPr>
              <w:rPr>
                <w:rFonts w:ascii="宋体"/>
                <w:vanish/>
              </w:rPr>
            </w:pPr>
          </w:p>
        </w:tc>
        <w:tc>
          <w:tcPr>
            <w:tcW w:w="0" w:type="auto"/>
            <w:gridSpan w:val="3"/>
            <w:shd w:val="clear" w:color="auto" w:fill="auto"/>
            <w:vAlign w:val="bottom"/>
          </w:tcPr>
          <w:p w14:paraId="27E08C85" w14:textId="77777777" w:rsidR="00A85061" w:rsidRDefault="00A85061">
            <w:pPr>
              <w:rPr>
                <w:rFonts w:ascii="宋体"/>
                <w:vanish/>
              </w:rPr>
            </w:pPr>
          </w:p>
        </w:tc>
        <w:tc>
          <w:tcPr>
            <w:tcW w:w="0" w:type="auto"/>
            <w:gridSpan w:val="3"/>
            <w:shd w:val="clear" w:color="auto" w:fill="auto"/>
            <w:vAlign w:val="bottom"/>
          </w:tcPr>
          <w:p w14:paraId="27E08C86" w14:textId="77777777" w:rsidR="00A85061" w:rsidRDefault="00A85061">
            <w:pPr>
              <w:rPr>
                <w:rFonts w:ascii="宋体"/>
                <w:vanish/>
              </w:rPr>
            </w:pPr>
          </w:p>
        </w:tc>
      </w:tr>
      <w:tr w:rsidR="00A85061" w14:paraId="27E08C9C" w14:textId="77777777">
        <w:tc>
          <w:tcPr>
            <w:tcW w:w="0" w:type="auto"/>
            <w:gridSpan w:val="3"/>
            <w:shd w:val="clear" w:color="auto" w:fill="E2EFD9"/>
            <w:tcMar>
              <w:top w:w="40" w:type="dxa"/>
              <w:left w:w="20" w:type="dxa"/>
              <w:bottom w:w="40" w:type="dxa"/>
              <w:right w:w="20" w:type="dxa"/>
            </w:tcMar>
            <w:vAlign w:val="bottom"/>
          </w:tcPr>
          <w:p w14:paraId="27E08C88" w14:textId="77777777" w:rsidR="00A85061" w:rsidRDefault="00F04891">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27E08C89" w14:textId="77777777" w:rsidR="00A85061" w:rsidRDefault="00F04891">
            <w:pPr>
              <w:jc w:val="right"/>
              <w:textAlignment w:val="bottom"/>
            </w:pPr>
            <w:r>
              <w:rPr>
                <w:rFonts w:ascii="sans-serif" w:eastAsia="sans-serif" w:hAnsi="sans-serif" w:cs="sans-serif"/>
                <w:color w:val="000000"/>
                <w:sz w:val="20"/>
                <w:szCs w:val="20"/>
              </w:rPr>
              <w:t>520 </w:t>
            </w:r>
          </w:p>
        </w:tc>
        <w:tc>
          <w:tcPr>
            <w:tcW w:w="0" w:type="auto"/>
            <w:shd w:val="clear" w:color="auto" w:fill="E2EFD9"/>
            <w:tcMar>
              <w:top w:w="40" w:type="dxa"/>
              <w:left w:w="0" w:type="dxa"/>
              <w:bottom w:w="40" w:type="dxa"/>
              <w:right w:w="20" w:type="dxa"/>
            </w:tcMar>
            <w:vAlign w:val="bottom"/>
          </w:tcPr>
          <w:p w14:paraId="27E08C8A"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8B"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C8C" w14:textId="77777777" w:rsidR="00A85061" w:rsidRDefault="00F04891">
            <w:pPr>
              <w:jc w:val="right"/>
              <w:textAlignment w:val="bottom"/>
            </w:pPr>
            <w:r>
              <w:rPr>
                <w:rFonts w:ascii="sans-serif" w:eastAsia="sans-serif" w:hAnsi="sans-serif" w:cs="sans-serif"/>
                <w:color w:val="000000"/>
                <w:sz w:val="20"/>
                <w:szCs w:val="20"/>
              </w:rPr>
              <w:t>293 </w:t>
            </w:r>
          </w:p>
        </w:tc>
        <w:tc>
          <w:tcPr>
            <w:tcW w:w="0" w:type="auto"/>
            <w:shd w:val="clear" w:color="auto" w:fill="E2EFD9"/>
            <w:tcMar>
              <w:top w:w="40" w:type="dxa"/>
              <w:left w:w="0" w:type="dxa"/>
              <w:bottom w:w="40" w:type="dxa"/>
              <w:right w:w="20" w:type="dxa"/>
            </w:tcMar>
            <w:vAlign w:val="bottom"/>
          </w:tcPr>
          <w:p w14:paraId="27E08C8D"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8E"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C8F" w14:textId="77777777" w:rsidR="00A85061" w:rsidRDefault="00F04891">
            <w:pPr>
              <w:jc w:val="right"/>
              <w:textAlignment w:val="bottom"/>
            </w:pPr>
            <w:r>
              <w:rPr>
                <w:rFonts w:ascii="sans-serif" w:eastAsia="sans-serif" w:hAnsi="sans-serif" w:cs="sans-serif"/>
                <w:color w:val="000000"/>
                <w:sz w:val="20"/>
                <w:szCs w:val="20"/>
              </w:rPr>
              <w:t>227 </w:t>
            </w:r>
          </w:p>
        </w:tc>
        <w:tc>
          <w:tcPr>
            <w:tcW w:w="0" w:type="auto"/>
            <w:shd w:val="clear" w:color="auto" w:fill="E2EFD9"/>
            <w:tcMar>
              <w:top w:w="40" w:type="dxa"/>
              <w:left w:w="0" w:type="dxa"/>
              <w:bottom w:w="40" w:type="dxa"/>
              <w:right w:w="20" w:type="dxa"/>
            </w:tcMar>
            <w:vAlign w:val="bottom"/>
          </w:tcPr>
          <w:p w14:paraId="27E08C90"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91" w14:textId="77777777" w:rsidR="00A85061" w:rsidRDefault="00A85061">
            <w:pPr>
              <w:rPr>
                <w:rFonts w:ascii="宋体"/>
              </w:rPr>
            </w:pPr>
          </w:p>
        </w:tc>
        <w:tc>
          <w:tcPr>
            <w:tcW w:w="0" w:type="auto"/>
            <w:gridSpan w:val="2"/>
            <w:shd w:val="clear" w:color="auto" w:fill="E2EFD9"/>
            <w:tcMar>
              <w:top w:w="40" w:type="dxa"/>
              <w:left w:w="20" w:type="dxa"/>
              <w:bottom w:w="40" w:type="dxa"/>
              <w:right w:w="0" w:type="dxa"/>
            </w:tcMar>
            <w:vAlign w:val="bottom"/>
          </w:tcPr>
          <w:p w14:paraId="27E08C92" w14:textId="77777777" w:rsidR="00A85061" w:rsidRDefault="00F04891">
            <w:pPr>
              <w:jc w:val="right"/>
              <w:textAlignment w:val="bottom"/>
            </w:pPr>
            <w:r>
              <w:rPr>
                <w:rFonts w:ascii="sans-serif" w:eastAsia="sans-serif" w:hAnsi="sans-serif" w:cs="sans-serif"/>
                <w:color w:val="000000"/>
                <w:sz w:val="20"/>
                <w:szCs w:val="20"/>
              </w:rPr>
              <w:t>77 </w:t>
            </w:r>
          </w:p>
        </w:tc>
        <w:tc>
          <w:tcPr>
            <w:tcW w:w="0" w:type="auto"/>
            <w:shd w:val="clear" w:color="auto" w:fill="E2EFD9"/>
            <w:tcMar>
              <w:top w:w="40" w:type="dxa"/>
              <w:left w:w="0" w:type="dxa"/>
              <w:bottom w:w="40" w:type="dxa"/>
              <w:right w:w="20" w:type="dxa"/>
            </w:tcMar>
            <w:vAlign w:val="bottom"/>
          </w:tcPr>
          <w:p w14:paraId="27E08C93"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C94" w14:textId="77777777" w:rsidR="00A85061" w:rsidRDefault="00A85061">
            <w:pPr>
              <w:rPr>
                <w:rFonts w:ascii="宋体"/>
                <w:vanish/>
              </w:rPr>
            </w:pPr>
          </w:p>
        </w:tc>
        <w:tc>
          <w:tcPr>
            <w:tcW w:w="0" w:type="auto"/>
            <w:gridSpan w:val="3"/>
            <w:shd w:val="clear" w:color="auto" w:fill="auto"/>
            <w:vAlign w:val="bottom"/>
          </w:tcPr>
          <w:p w14:paraId="27E08C95" w14:textId="77777777" w:rsidR="00A85061" w:rsidRDefault="00A85061">
            <w:pPr>
              <w:rPr>
                <w:rFonts w:ascii="宋体"/>
                <w:vanish/>
              </w:rPr>
            </w:pPr>
          </w:p>
        </w:tc>
        <w:tc>
          <w:tcPr>
            <w:tcW w:w="0" w:type="auto"/>
            <w:gridSpan w:val="3"/>
            <w:shd w:val="clear" w:color="auto" w:fill="auto"/>
            <w:vAlign w:val="bottom"/>
          </w:tcPr>
          <w:p w14:paraId="27E08C96" w14:textId="77777777" w:rsidR="00A85061" w:rsidRDefault="00A85061">
            <w:pPr>
              <w:rPr>
                <w:rFonts w:ascii="宋体"/>
                <w:vanish/>
              </w:rPr>
            </w:pPr>
          </w:p>
        </w:tc>
        <w:tc>
          <w:tcPr>
            <w:tcW w:w="0" w:type="auto"/>
            <w:gridSpan w:val="3"/>
            <w:shd w:val="clear" w:color="auto" w:fill="auto"/>
            <w:vAlign w:val="bottom"/>
          </w:tcPr>
          <w:p w14:paraId="27E08C97" w14:textId="77777777" w:rsidR="00A85061" w:rsidRDefault="00A85061">
            <w:pPr>
              <w:rPr>
                <w:rFonts w:ascii="宋体"/>
                <w:vanish/>
              </w:rPr>
            </w:pPr>
          </w:p>
        </w:tc>
        <w:tc>
          <w:tcPr>
            <w:tcW w:w="0" w:type="auto"/>
            <w:gridSpan w:val="3"/>
            <w:shd w:val="clear" w:color="auto" w:fill="auto"/>
            <w:vAlign w:val="bottom"/>
          </w:tcPr>
          <w:p w14:paraId="27E08C98" w14:textId="77777777" w:rsidR="00A85061" w:rsidRDefault="00A85061">
            <w:pPr>
              <w:rPr>
                <w:rFonts w:ascii="宋体"/>
                <w:vanish/>
              </w:rPr>
            </w:pPr>
          </w:p>
        </w:tc>
        <w:tc>
          <w:tcPr>
            <w:tcW w:w="0" w:type="auto"/>
            <w:gridSpan w:val="3"/>
            <w:shd w:val="clear" w:color="auto" w:fill="auto"/>
            <w:vAlign w:val="bottom"/>
          </w:tcPr>
          <w:p w14:paraId="27E08C99" w14:textId="77777777" w:rsidR="00A85061" w:rsidRDefault="00A85061">
            <w:pPr>
              <w:rPr>
                <w:rFonts w:ascii="宋体"/>
                <w:vanish/>
              </w:rPr>
            </w:pPr>
          </w:p>
        </w:tc>
        <w:tc>
          <w:tcPr>
            <w:tcW w:w="0" w:type="auto"/>
            <w:gridSpan w:val="3"/>
            <w:shd w:val="clear" w:color="auto" w:fill="auto"/>
            <w:vAlign w:val="bottom"/>
          </w:tcPr>
          <w:p w14:paraId="27E08C9A" w14:textId="77777777" w:rsidR="00A85061" w:rsidRDefault="00A85061">
            <w:pPr>
              <w:rPr>
                <w:rFonts w:ascii="宋体"/>
                <w:vanish/>
              </w:rPr>
            </w:pPr>
          </w:p>
        </w:tc>
        <w:tc>
          <w:tcPr>
            <w:tcW w:w="0" w:type="auto"/>
            <w:gridSpan w:val="3"/>
            <w:shd w:val="clear" w:color="auto" w:fill="auto"/>
            <w:vAlign w:val="bottom"/>
          </w:tcPr>
          <w:p w14:paraId="27E08C9B" w14:textId="77777777" w:rsidR="00A85061" w:rsidRDefault="00A85061">
            <w:pPr>
              <w:rPr>
                <w:rFonts w:ascii="宋体"/>
                <w:vanish/>
              </w:rPr>
            </w:pPr>
          </w:p>
        </w:tc>
      </w:tr>
      <w:tr w:rsidR="00A85061" w14:paraId="27E08CAF" w14:textId="77777777">
        <w:tc>
          <w:tcPr>
            <w:tcW w:w="0" w:type="auto"/>
            <w:gridSpan w:val="3"/>
            <w:shd w:val="clear" w:color="auto" w:fill="FFFFFF"/>
            <w:tcMar>
              <w:top w:w="40" w:type="dxa"/>
              <w:left w:w="20" w:type="dxa"/>
              <w:bottom w:w="40" w:type="dxa"/>
              <w:right w:w="20" w:type="dxa"/>
            </w:tcMar>
            <w:vAlign w:val="bottom"/>
          </w:tcPr>
          <w:p w14:paraId="27E08C9D" w14:textId="77777777" w:rsidR="00A85061" w:rsidRDefault="00F04891">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27E08C9E" w14:textId="77777777" w:rsidR="00A85061" w:rsidRDefault="00F04891">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27E08C9F" w14:textId="77777777" w:rsidR="00A85061" w:rsidRDefault="00F04891">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CA0"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CA1" w14:textId="77777777" w:rsidR="00A85061" w:rsidRDefault="00F04891">
            <w:pPr>
              <w:jc w:val="right"/>
              <w:textAlignment w:val="bottom"/>
            </w:pPr>
            <w:r>
              <w:rPr>
                <w:rFonts w:ascii="sans-serif" w:eastAsia="sans-serif" w:hAnsi="sans-serif" w:cs="sans-serif"/>
                <w:i/>
                <w:iCs/>
                <w:color w:val="000000"/>
                <w:sz w:val="20"/>
                <w:szCs w:val="20"/>
              </w:rPr>
              <w:t>10 </w:t>
            </w:r>
          </w:p>
        </w:tc>
        <w:tc>
          <w:tcPr>
            <w:tcW w:w="0" w:type="auto"/>
            <w:shd w:val="clear" w:color="auto" w:fill="FFFFFF"/>
            <w:tcMar>
              <w:top w:w="40" w:type="dxa"/>
              <w:left w:w="0" w:type="dxa"/>
              <w:bottom w:w="40" w:type="dxa"/>
              <w:right w:w="20" w:type="dxa"/>
            </w:tcMar>
            <w:vAlign w:val="bottom"/>
          </w:tcPr>
          <w:p w14:paraId="27E08CA2" w14:textId="77777777" w:rsidR="00A85061" w:rsidRDefault="00F04891">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27E08CA3"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A4"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A5" w14:textId="77777777" w:rsidR="00A85061" w:rsidRDefault="00A85061">
            <w:pPr>
              <w:rPr>
                <w:rFonts w:ascii="宋体"/>
              </w:rPr>
            </w:pPr>
          </w:p>
        </w:tc>
        <w:tc>
          <w:tcPr>
            <w:tcW w:w="0" w:type="auto"/>
            <w:gridSpan w:val="3"/>
            <w:shd w:val="clear" w:color="auto" w:fill="FFFFFF"/>
            <w:tcMar>
              <w:top w:w="0" w:type="dxa"/>
              <w:left w:w="20" w:type="dxa"/>
              <w:bottom w:w="0" w:type="dxa"/>
              <w:right w:w="20" w:type="dxa"/>
            </w:tcMar>
            <w:vAlign w:val="bottom"/>
          </w:tcPr>
          <w:p w14:paraId="27E08CA6" w14:textId="77777777" w:rsidR="00A85061" w:rsidRDefault="00A85061">
            <w:pPr>
              <w:rPr>
                <w:rFonts w:ascii="宋体"/>
              </w:rPr>
            </w:pPr>
          </w:p>
        </w:tc>
        <w:tc>
          <w:tcPr>
            <w:tcW w:w="0" w:type="auto"/>
            <w:gridSpan w:val="3"/>
            <w:shd w:val="clear" w:color="auto" w:fill="auto"/>
            <w:vAlign w:val="bottom"/>
          </w:tcPr>
          <w:p w14:paraId="27E08CA7" w14:textId="77777777" w:rsidR="00A85061" w:rsidRDefault="00A85061">
            <w:pPr>
              <w:rPr>
                <w:rFonts w:ascii="宋体"/>
                <w:vanish/>
              </w:rPr>
            </w:pPr>
          </w:p>
        </w:tc>
        <w:tc>
          <w:tcPr>
            <w:tcW w:w="0" w:type="auto"/>
            <w:gridSpan w:val="3"/>
            <w:shd w:val="clear" w:color="auto" w:fill="auto"/>
            <w:vAlign w:val="bottom"/>
          </w:tcPr>
          <w:p w14:paraId="27E08CA8" w14:textId="77777777" w:rsidR="00A85061" w:rsidRDefault="00A85061">
            <w:pPr>
              <w:rPr>
                <w:rFonts w:ascii="宋体"/>
                <w:vanish/>
              </w:rPr>
            </w:pPr>
          </w:p>
        </w:tc>
        <w:tc>
          <w:tcPr>
            <w:tcW w:w="0" w:type="auto"/>
            <w:gridSpan w:val="3"/>
            <w:shd w:val="clear" w:color="auto" w:fill="auto"/>
            <w:vAlign w:val="bottom"/>
          </w:tcPr>
          <w:p w14:paraId="27E08CA9" w14:textId="77777777" w:rsidR="00A85061" w:rsidRDefault="00A85061">
            <w:pPr>
              <w:rPr>
                <w:rFonts w:ascii="宋体"/>
                <w:vanish/>
              </w:rPr>
            </w:pPr>
          </w:p>
        </w:tc>
        <w:tc>
          <w:tcPr>
            <w:tcW w:w="0" w:type="auto"/>
            <w:gridSpan w:val="3"/>
            <w:shd w:val="clear" w:color="auto" w:fill="auto"/>
            <w:vAlign w:val="bottom"/>
          </w:tcPr>
          <w:p w14:paraId="27E08CAA" w14:textId="77777777" w:rsidR="00A85061" w:rsidRDefault="00A85061">
            <w:pPr>
              <w:rPr>
                <w:rFonts w:ascii="宋体"/>
                <w:vanish/>
              </w:rPr>
            </w:pPr>
          </w:p>
        </w:tc>
        <w:tc>
          <w:tcPr>
            <w:tcW w:w="0" w:type="auto"/>
            <w:gridSpan w:val="3"/>
            <w:shd w:val="clear" w:color="auto" w:fill="auto"/>
            <w:vAlign w:val="bottom"/>
          </w:tcPr>
          <w:p w14:paraId="27E08CAB" w14:textId="77777777" w:rsidR="00A85061" w:rsidRDefault="00A85061">
            <w:pPr>
              <w:rPr>
                <w:rFonts w:ascii="宋体"/>
                <w:vanish/>
              </w:rPr>
            </w:pPr>
          </w:p>
        </w:tc>
        <w:tc>
          <w:tcPr>
            <w:tcW w:w="0" w:type="auto"/>
            <w:gridSpan w:val="3"/>
            <w:shd w:val="clear" w:color="auto" w:fill="auto"/>
            <w:vAlign w:val="bottom"/>
          </w:tcPr>
          <w:p w14:paraId="27E08CAC" w14:textId="77777777" w:rsidR="00A85061" w:rsidRDefault="00A85061">
            <w:pPr>
              <w:rPr>
                <w:rFonts w:ascii="宋体"/>
                <w:vanish/>
              </w:rPr>
            </w:pPr>
          </w:p>
        </w:tc>
        <w:tc>
          <w:tcPr>
            <w:tcW w:w="0" w:type="auto"/>
            <w:gridSpan w:val="3"/>
            <w:shd w:val="clear" w:color="auto" w:fill="auto"/>
            <w:vAlign w:val="bottom"/>
          </w:tcPr>
          <w:p w14:paraId="27E08CAD" w14:textId="77777777" w:rsidR="00A85061" w:rsidRDefault="00A85061">
            <w:pPr>
              <w:rPr>
                <w:rFonts w:ascii="宋体"/>
                <w:vanish/>
              </w:rPr>
            </w:pPr>
          </w:p>
        </w:tc>
        <w:tc>
          <w:tcPr>
            <w:tcW w:w="0" w:type="auto"/>
            <w:gridSpan w:val="3"/>
            <w:shd w:val="clear" w:color="auto" w:fill="auto"/>
            <w:vAlign w:val="bottom"/>
          </w:tcPr>
          <w:p w14:paraId="27E08CAE" w14:textId="77777777" w:rsidR="00A85061" w:rsidRDefault="00A85061">
            <w:pPr>
              <w:rPr>
                <w:rFonts w:ascii="宋体"/>
                <w:vanish/>
              </w:rPr>
            </w:pPr>
          </w:p>
        </w:tc>
      </w:tr>
      <w:tr w:rsidR="00A85061" w14:paraId="27E08CC7" w14:textId="77777777">
        <w:tc>
          <w:tcPr>
            <w:tcW w:w="0" w:type="auto"/>
            <w:gridSpan w:val="3"/>
            <w:shd w:val="clear" w:color="auto" w:fill="E2EFD9"/>
            <w:tcMar>
              <w:top w:w="40" w:type="dxa"/>
              <w:left w:w="155" w:type="dxa"/>
              <w:bottom w:w="40" w:type="dxa"/>
              <w:right w:w="20" w:type="dxa"/>
            </w:tcMar>
            <w:vAlign w:val="bottom"/>
          </w:tcPr>
          <w:p w14:paraId="27E08CB0" w14:textId="77777777" w:rsidR="00A85061" w:rsidRDefault="00F04891">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CB1"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CB2" w14:textId="77777777" w:rsidR="00A85061" w:rsidRDefault="00F04891">
            <w:pPr>
              <w:jc w:val="right"/>
              <w:textAlignment w:val="bottom"/>
            </w:pPr>
            <w:r>
              <w:rPr>
                <w:rFonts w:ascii="sans-serif" w:eastAsia="sans-serif" w:hAnsi="sans-serif" w:cs="sans-serif"/>
                <w:color w:val="000000"/>
                <w:sz w:val="20"/>
                <w:szCs w:val="20"/>
              </w:rPr>
              <w:t>1,673 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CB3"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B4"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CB5"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CB6" w14:textId="77777777" w:rsidR="00A85061" w:rsidRDefault="00F04891">
            <w:pPr>
              <w:jc w:val="right"/>
              <w:textAlignment w:val="bottom"/>
            </w:pPr>
            <w:r>
              <w:rPr>
                <w:rFonts w:ascii="sans-serif" w:eastAsia="sans-serif" w:hAnsi="sans-serif" w:cs="sans-serif"/>
                <w:color w:val="000000"/>
                <w:sz w:val="20"/>
                <w:szCs w:val="20"/>
              </w:rPr>
              <w:t>1,028 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CB7"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B8"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CB9"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CBA" w14:textId="77777777" w:rsidR="00A85061" w:rsidRDefault="00F04891">
            <w:pPr>
              <w:jc w:val="right"/>
              <w:textAlignment w:val="bottom"/>
            </w:pPr>
            <w:r>
              <w:rPr>
                <w:rFonts w:ascii="sans-serif" w:eastAsia="sans-serif" w:hAnsi="sans-serif" w:cs="sans-serif"/>
                <w:color w:val="000000"/>
                <w:sz w:val="20"/>
                <w:szCs w:val="20"/>
              </w:rPr>
              <w:t>645 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CBB"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BC" w14:textId="77777777" w:rsidR="00A85061" w:rsidRDefault="00A85061">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CBD" w14:textId="77777777" w:rsidR="00A85061" w:rsidRDefault="00F04891">
            <w:pPr>
              <w:jc w:val="right"/>
              <w:textAlignment w:val="bottom"/>
            </w:pPr>
            <w:r>
              <w:rPr>
                <w:rFonts w:ascii="sans-serif" w:eastAsia="sans-serif" w:hAnsi="sans-serif" w:cs="sans-serif"/>
                <w:color w:val="000000"/>
                <w:sz w:val="20"/>
                <w:szCs w:val="20"/>
              </w:rPr>
              <w:t>63 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CBE" w14:textId="77777777" w:rsidR="00A85061" w:rsidRDefault="00F04891">
            <w:pPr>
              <w:jc w:val="right"/>
              <w:textAlignment w:val="bottom"/>
            </w:pPr>
            <w:r>
              <w:rPr>
                <w:rFonts w:ascii="sans-serif" w:eastAsia="sans-serif" w:hAnsi="sans-serif" w:cs="sans-serif"/>
                <w:color w:val="000000"/>
                <w:sz w:val="20"/>
                <w:szCs w:val="20"/>
              </w:rPr>
              <w:t>%</w:t>
            </w:r>
          </w:p>
        </w:tc>
        <w:tc>
          <w:tcPr>
            <w:tcW w:w="0" w:type="auto"/>
            <w:gridSpan w:val="3"/>
            <w:shd w:val="clear" w:color="auto" w:fill="auto"/>
            <w:vAlign w:val="bottom"/>
          </w:tcPr>
          <w:p w14:paraId="27E08CBF" w14:textId="77777777" w:rsidR="00A85061" w:rsidRDefault="00A85061">
            <w:pPr>
              <w:rPr>
                <w:rFonts w:ascii="宋体"/>
                <w:vanish/>
              </w:rPr>
            </w:pPr>
          </w:p>
        </w:tc>
        <w:tc>
          <w:tcPr>
            <w:tcW w:w="0" w:type="auto"/>
            <w:gridSpan w:val="3"/>
            <w:shd w:val="clear" w:color="auto" w:fill="auto"/>
            <w:vAlign w:val="bottom"/>
          </w:tcPr>
          <w:p w14:paraId="27E08CC0" w14:textId="77777777" w:rsidR="00A85061" w:rsidRDefault="00A85061">
            <w:pPr>
              <w:rPr>
                <w:rFonts w:ascii="宋体"/>
                <w:vanish/>
              </w:rPr>
            </w:pPr>
          </w:p>
        </w:tc>
        <w:tc>
          <w:tcPr>
            <w:tcW w:w="0" w:type="auto"/>
            <w:gridSpan w:val="3"/>
            <w:shd w:val="clear" w:color="auto" w:fill="auto"/>
            <w:vAlign w:val="bottom"/>
          </w:tcPr>
          <w:p w14:paraId="27E08CC1" w14:textId="77777777" w:rsidR="00A85061" w:rsidRDefault="00A85061">
            <w:pPr>
              <w:rPr>
                <w:rFonts w:ascii="宋体"/>
                <w:vanish/>
              </w:rPr>
            </w:pPr>
          </w:p>
        </w:tc>
        <w:tc>
          <w:tcPr>
            <w:tcW w:w="0" w:type="auto"/>
            <w:gridSpan w:val="3"/>
            <w:shd w:val="clear" w:color="auto" w:fill="auto"/>
            <w:vAlign w:val="bottom"/>
          </w:tcPr>
          <w:p w14:paraId="27E08CC2" w14:textId="77777777" w:rsidR="00A85061" w:rsidRDefault="00A85061">
            <w:pPr>
              <w:rPr>
                <w:rFonts w:ascii="宋体"/>
                <w:vanish/>
              </w:rPr>
            </w:pPr>
          </w:p>
        </w:tc>
        <w:tc>
          <w:tcPr>
            <w:tcW w:w="0" w:type="auto"/>
            <w:gridSpan w:val="3"/>
            <w:shd w:val="clear" w:color="auto" w:fill="auto"/>
            <w:vAlign w:val="bottom"/>
          </w:tcPr>
          <w:p w14:paraId="27E08CC3" w14:textId="77777777" w:rsidR="00A85061" w:rsidRDefault="00A85061">
            <w:pPr>
              <w:rPr>
                <w:rFonts w:ascii="宋体"/>
                <w:vanish/>
              </w:rPr>
            </w:pPr>
          </w:p>
        </w:tc>
        <w:tc>
          <w:tcPr>
            <w:tcW w:w="0" w:type="auto"/>
            <w:gridSpan w:val="3"/>
            <w:shd w:val="clear" w:color="auto" w:fill="auto"/>
            <w:vAlign w:val="bottom"/>
          </w:tcPr>
          <w:p w14:paraId="27E08CC4" w14:textId="77777777" w:rsidR="00A85061" w:rsidRDefault="00A85061">
            <w:pPr>
              <w:rPr>
                <w:rFonts w:ascii="宋体"/>
                <w:vanish/>
              </w:rPr>
            </w:pPr>
          </w:p>
        </w:tc>
        <w:tc>
          <w:tcPr>
            <w:tcW w:w="0" w:type="auto"/>
            <w:gridSpan w:val="3"/>
            <w:shd w:val="clear" w:color="auto" w:fill="auto"/>
            <w:vAlign w:val="bottom"/>
          </w:tcPr>
          <w:p w14:paraId="27E08CC5" w14:textId="77777777" w:rsidR="00A85061" w:rsidRDefault="00A85061">
            <w:pPr>
              <w:rPr>
                <w:rFonts w:ascii="宋体"/>
                <w:vanish/>
              </w:rPr>
            </w:pPr>
          </w:p>
        </w:tc>
        <w:tc>
          <w:tcPr>
            <w:tcW w:w="0" w:type="auto"/>
            <w:gridSpan w:val="3"/>
            <w:shd w:val="clear" w:color="auto" w:fill="auto"/>
            <w:vAlign w:val="bottom"/>
          </w:tcPr>
          <w:p w14:paraId="27E08CC6" w14:textId="77777777" w:rsidR="00A85061" w:rsidRDefault="00A85061">
            <w:pPr>
              <w:rPr>
                <w:rFonts w:ascii="宋体"/>
                <w:vanish/>
              </w:rPr>
            </w:pPr>
          </w:p>
        </w:tc>
      </w:tr>
    </w:tbl>
    <w:p w14:paraId="27E08CC8" w14:textId="77777777" w:rsidR="00A85061" w:rsidRDefault="00F04891">
      <w:pPr>
        <w:spacing w:before="360" w:after="120"/>
        <w:jc w:val="both"/>
      </w:pPr>
      <w:r>
        <w:rPr>
          <w:rFonts w:ascii="sans-serif" w:eastAsia="sans-serif" w:hAnsi="sans-serif" w:cs="sans-serif"/>
          <w:b/>
          <w:bCs/>
          <w:color w:val="000000"/>
          <w:sz w:val="20"/>
          <w:szCs w:val="20"/>
        </w:rPr>
        <w:t>Research and Development</w:t>
      </w:r>
    </w:p>
    <w:p w14:paraId="27E08CC9" w14:textId="77777777" w:rsidR="00A85061" w:rsidRDefault="00F04891">
      <w:pPr>
        <w:spacing w:after="180"/>
        <w:jc w:val="both"/>
      </w:pPr>
      <w:r>
        <w:rPr>
          <w:rFonts w:ascii="sans-serif" w:eastAsia="sans-serif" w:hAnsi="sans-serif" w:cs="sans-serif"/>
          <w:color w:val="000000"/>
          <w:sz w:val="20"/>
          <w:szCs w:val="20"/>
        </w:rPr>
        <w:t xml:space="preserve">Research and development expenses increased by 57% during the first quarter of fiscal year 2022 compared to the first quarter of fiscal year 2021, driven primarily by the acquisition of Mellanox. The increase also reflects the impact of employee additions </w:t>
      </w:r>
      <w:r>
        <w:rPr>
          <w:rFonts w:ascii="sans-serif" w:eastAsia="sans-serif" w:hAnsi="sans-serif" w:cs="sans-serif"/>
          <w:color w:val="000000"/>
          <w:sz w:val="20"/>
          <w:szCs w:val="20"/>
        </w:rPr>
        <w:t xml:space="preserve">and higher employee compensation, including stock-based compensation and infrastructure costs. </w:t>
      </w:r>
    </w:p>
    <w:p w14:paraId="27E08CCA" w14:textId="77777777" w:rsidR="00A85061" w:rsidRDefault="00F04891">
      <w:pPr>
        <w:spacing w:before="120" w:after="120"/>
        <w:jc w:val="both"/>
      </w:pPr>
      <w:r>
        <w:rPr>
          <w:rFonts w:ascii="sans-serif" w:eastAsia="sans-serif" w:hAnsi="sans-serif" w:cs="sans-serif"/>
          <w:b/>
          <w:bCs/>
          <w:color w:val="000000"/>
          <w:sz w:val="20"/>
          <w:szCs w:val="20"/>
        </w:rPr>
        <w:t>Sales, General and Administrative</w:t>
      </w:r>
    </w:p>
    <w:p w14:paraId="27E08CCB" w14:textId="77777777" w:rsidR="00A85061" w:rsidRDefault="00F04891">
      <w:pPr>
        <w:spacing w:after="180"/>
        <w:jc w:val="both"/>
      </w:pPr>
      <w:r>
        <w:rPr>
          <w:rFonts w:ascii="sans-serif" w:eastAsia="sans-serif" w:hAnsi="sans-serif" w:cs="sans-serif"/>
          <w:color w:val="000000"/>
          <w:sz w:val="20"/>
          <w:szCs w:val="20"/>
        </w:rPr>
        <w:t>Sales, general and administrative expenses increased by 77% during the first quarter of fiscal year 2022 compared to the first</w:t>
      </w:r>
      <w:r>
        <w:rPr>
          <w:rFonts w:ascii="sans-serif" w:eastAsia="sans-serif" w:hAnsi="sans-serif" w:cs="sans-serif"/>
          <w:color w:val="000000"/>
          <w:sz w:val="20"/>
          <w:szCs w:val="20"/>
        </w:rPr>
        <w:t xml:space="preserve"> quarter of fiscal year 2021, driven primarily by the Mellanox acquisition. The increase also reflects the impact of employee additions and higher employee compensation, including stock-based compensation, and costs related to the pending acquisition of Ar</w:t>
      </w:r>
      <w:r>
        <w:rPr>
          <w:rFonts w:ascii="sans-serif" w:eastAsia="sans-serif" w:hAnsi="sans-serif" w:cs="sans-serif"/>
          <w:color w:val="000000"/>
          <w:sz w:val="20"/>
          <w:szCs w:val="20"/>
        </w:rPr>
        <w:t xml:space="preserve">m. </w:t>
      </w:r>
    </w:p>
    <w:p w14:paraId="27E08CCC" w14:textId="77777777" w:rsidR="00A85061" w:rsidRDefault="00F04891">
      <w:pPr>
        <w:spacing w:before="240"/>
      </w:pPr>
      <w:r>
        <w:rPr>
          <w:rFonts w:ascii="sans-serif" w:eastAsia="sans-serif" w:hAnsi="sans-serif" w:cs="sans-serif"/>
          <w:b/>
          <w:bCs/>
          <w:color w:val="76B900"/>
          <w:sz w:val="20"/>
          <w:szCs w:val="20"/>
        </w:rPr>
        <w:t>Other Income (Expense), Net</w:t>
      </w:r>
    </w:p>
    <w:p w14:paraId="27E08CCD" w14:textId="77777777" w:rsidR="00A85061" w:rsidRDefault="00F04891">
      <w:pPr>
        <w:spacing w:before="120" w:after="120"/>
        <w:jc w:val="both"/>
      </w:pPr>
      <w:r>
        <w:rPr>
          <w:rFonts w:ascii="sans-serif" w:eastAsia="sans-serif" w:hAnsi="sans-serif" w:cs="sans-serif"/>
          <w:color w:val="000000"/>
          <w:sz w:val="20"/>
          <w:szCs w:val="20"/>
        </w:rPr>
        <w:t>Interest income consists of interest earned on cash, cash equivalents and marketable securities. Interest income was $6 million and $31 million during the first quarter of fiscal years 2022 and 2021, respectively. The decrea</w:t>
      </w:r>
      <w:r>
        <w:rPr>
          <w:rFonts w:ascii="sans-serif" w:eastAsia="sans-serif" w:hAnsi="sans-serif" w:cs="sans-serif"/>
          <w:color w:val="000000"/>
          <w:sz w:val="20"/>
          <w:szCs w:val="20"/>
        </w:rPr>
        <w:t>se in interest income was primarily due to lower interest earned on our investments.</w:t>
      </w:r>
    </w:p>
    <w:p w14:paraId="27E08CCE" w14:textId="77777777" w:rsidR="00A85061" w:rsidRDefault="00F04891">
      <w:pPr>
        <w:spacing w:before="120" w:after="120"/>
        <w:jc w:val="both"/>
      </w:pPr>
      <w:r>
        <w:rPr>
          <w:rFonts w:ascii="sans-serif" w:eastAsia="sans-serif" w:hAnsi="sans-serif" w:cs="sans-serif"/>
          <w:color w:val="000000"/>
          <w:sz w:val="20"/>
          <w:szCs w:val="20"/>
        </w:rPr>
        <w:t>Interest expense is primarily comprised of coupon interest and debt discount amortization related to our September 2016 Notes and March 2020 Notes. Interest expense was $5</w:t>
      </w:r>
      <w:r>
        <w:rPr>
          <w:rFonts w:ascii="sans-serif" w:eastAsia="sans-serif" w:hAnsi="sans-serif" w:cs="sans-serif"/>
          <w:color w:val="000000"/>
          <w:sz w:val="20"/>
          <w:szCs w:val="20"/>
        </w:rPr>
        <w:t>3 million and $25 million during the first quarter of fiscal years 2022 and 2021, respectively.</w:t>
      </w:r>
    </w:p>
    <w:p w14:paraId="27E08CCF" w14:textId="77777777" w:rsidR="00A85061" w:rsidRDefault="00F04891">
      <w:pPr>
        <w:spacing w:after="180"/>
        <w:jc w:val="both"/>
      </w:pPr>
      <w:r>
        <w:rPr>
          <w:rFonts w:ascii="sans-serif" w:eastAsia="sans-serif" w:hAnsi="sans-serif" w:cs="sans-serif"/>
          <w:color w:val="000000"/>
          <w:sz w:val="20"/>
          <w:szCs w:val="20"/>
        </w:rPr>
        <w:t>Other, net, consists primarily of realized or unrealized gains and losses from non-affiliated investments, mark to market adjustment of our publicly-traded equi</w:t>
      </w:r>
      <w:r>
        <w:rPr>
          <w:rFonts w:ascii="sans-serif" w:eastAsia="sans-serif" w:hAnsi="sans-serif" w:cs="sans-serif"/>
          <w:color w:val="000000"/>
          <w:sz w:val="20"/>
          <w:szCs w:val="20"/>
        </w:rPr>
        <w:t xml:space="preserve">ty security investment and the impact of changes in foreign currency rates. Other, net, was an income of $135 million during the first quarter of fiscal year 2022 and not significant during the first quarter </w:t>
      </w:r>
    </w:p>
    <w:p w14:paraId="27E08CD0" w14:textId="77777777" w:rsidR="00A85061" w:rsidRDefault="00F04891">
      <w:pPr>
        <w:spacing w:after="180"/>
        <w:jc w:val="center"/>
      </w:pPr>
      <w:r>
        <w:rPr>
          <w:rFonts w:ascii="sans-serif" w:eastAsia="sans-serif" w:hAnsi="sans-serif" w:cs="sans-serif"/>
          <w:color w:val="000000"/>
          <w:sz w:val="20"/>
          <w:szCs w:val="20"/>
        </w:rPr>
        <w:t>28</w:t>
      </w:r>
    </w:p>
    <w:p w14:paraId="27E08CD1" w14:textId="77777777" w:rsidR="00A85061" w:rsidRDefault="00F04891">
      <w:r>
        <w:pict w14:anchorId="27E08F0D">
          <v:rect id="_x0000_i1052" style="width:415.3pt;height:1.5pt" o:hralign="center" o:hrstd="t" o:hr="t" fillcolor="#a0a0a0" stroked="f"/>
        </w:pict>
      </w:r>
    </w:p>
    <w:p w14:paraId="27E08CD2" w14:textId="77777777" w:rsidR="00A85061" w:rsidRDefault="00A85061">
      <w:pPr>
        <w:spacing w:after="180"/>
        <w:jc w:val="both"/>
      </w:pPr>
    </w:p>
    <w:p w14:paraId="27E08CD3" w14:textId="77777777" w:rsidR="00A85061" w:rsidRDefault="00A85061">
      <w:pPr>
        <w:spacing w:after="180"/>
        <w:jc w:val="both"/>
      </w:pPr>
    </w:p>
    <w:p w14:paraId="27E08CD4" w14:textId="77777777" w:rsidR="00A85061" w:rsidRDefault="00A85061">
      <w:pPr>
        <w:spacing w:after="180"/>
        <w:jc w:val="both"/>
      </w:pPr>
    </w:p>
    <w:p w14:paraId="27E08CD5" w14:textId="77777777" w:rsidR="00A85061" w:rsidRDefault="00F04891">
      <w:pPr>
        <w:spacing w:after="180"/>
        <w:jc w:val="both"/>
      </w:pPr>
      <w:r>
        <w:rPr>
          <w:rFonts w:ascii="sans-serif" w:eastAsia="sans-serif" w:hAnsi="sans-serif" w:cs="sans-serif"/>
          <w:color w:val="000000"/>
          <w:sz w:val="20"/>
          <w:szCs w:val="20"/>
        </w:rPr>
        <w:t>of fiscal year 2021. The increase was p</w:t>
      </w:r>
      <w:r>
        <w:rPr>
          <w:rFonts w:ascii="sans-serif" w:eastAsia="sans-serif" w:hAnsi="sans-serif" w:cs="sans-serif"/>
          <w:color w:val="000000"/>
          <w:sz w:val="20"/>
          <w:szCs w:val="20"/>
        </w:rPr>
        <w:t xml:space="preserve">rimarily due to a $124 million unrealized gain from an equity investment in a company that commenced public trading. Refer to Note 8 of the Notes to Condensed Consolidated Financial Statements for additional information. </w:t>
      </w:r>
    </w:p>
    <w:p w14:paraId="27E08CD6" w14:textId="77777777" w:rsidR="00A85061" w:rsidRDefault="00F04891">
      <w:pPr>
        <w:spacing w:before="240" w:after="60"/>
        <w:jc w:val="both"/>
      </w:pPr>
      <w:r>
        <w:rPr>
          <w:rFonts w:ascii="sans-serif" w:eastAsia="sans-serif" w:hAnsi="sans-serif" w:cs="sans-serif"/>
          <w:b/>
          <w:bCs/>
          <w:color w:val="76B900"/>
          <w:sz w:val="20"/>
          <w:szCs w:val="20"/>
        </w:rPr>
        <w:t>Income Taxes</w:t>
      </w:r>
    </w:p>
    <w:p w14:paraId="27E08CD7" w14:textId="77777777" w:rsidR="00A85061" w:rsidRDefault="00F04891">
      <w:pPr>
        <w:spacing w:after="180"/>
        <w:jc w:val="both"/>
      </w:pPr>
      <w:r>
        <w:rPr>
          <w:rFonts w:ascii="sans-serif" w:eastAsia="sans-serif" w:hAnsi="sans-serif" w:cs="sans-serif"/>
          <w:color w:val="000000"/>
          <w:sz w:val="20"/>
          <w:szCs w:val="20"/>
        </w:rPr>
        <w:t>We recognized an inco</w:t>
      </w:r>
      <w:r>
        <w:rPr>
          <w:rFonts w:ascii="sans-serif" w:eastAsia="sans-serif" w:hAnsi="sans-serif" w:cs="sans-serif"/>
          <w:color w:val="000000"/>
          <w:sz w:val="20"/>
          <w:szCs w:val="20"/>
        </w:rPr>
        <w:t>me tax expense of $132 million and $64 million for the first quarter of fiscal years 2022 and 2021, respectively. The income tax expense as a percentage of income before income tax was 6.5% and 6.6% for the first quarter of fiscal years 2022 and 2021, resp</w:t>
      </w:r>
      <w:r>
        <w:rPr>
          <w:rFonts w:ascii="sans-serif" w:eastAsia="sans-serif" w:hAnsi="sans-serif" w:cs="sans-serif"/>
          <w:color w:val="000000"/>
          <w:sz w:val="20"/>
          <w:szCs w:val="20"/>
        </w:rPr>
        <w:t>ectively.</w:t>
      </w:r>
    </w:p>
    <w:p w14:paraId="27E08CD8" w14:textId="77777777" w:rsidR="00A85061" w:rsidRDefault="00F04891">
      <w:pPr>
        <w:spacing w:after="180"/>
        <w:jc w:val="both"/>
      </w:pPr>
      <w:r>
        <w:rPr>
          <w:rFonts w:ascii="sans-serif" w:eastAsia="sans-serif" w:hAnsi="sans-serif" w:cs="sans-serif"/>
          <w:color w:val="000000"/>
          <w:sz w:val="20"/>
          <w:szCs w:val="20"/>
        </w:rPr>
        <w:t>The slight decrease in our effective tax rate for the first quarter of fiscal year 2022 as compared to the first quarter of fiscal year 2021 was primarily due to a change in the jurisdiction of earnings, partially offset by a decrease in the impa</w:t>
      </w:r>
      <w:r>
        <w:rPr>
          <w:rFonts w:ascii="sans-serif" w:eastAsia="sans-serif" w:hAnsi="sans-serif" w:cs="sans-serif"/>
          <w:color w:val="000000"/>
          <w:sz w:val="20"/>
          <w:szCs w:val="20"/>
        </w:rPr>
        <w:t xml:space="preserve">ct of tax benefits from the U.S. federal research tax credit. </w:t>
      </w:r>
    </w:p>
    <w:p w14:paraId="27E08CD9" w14:textId="77777777" w:rsidR="00A85061" w:rsidRDefault="00F04891">
      <w:pPr>
        <w:spacing w:after="180"/>
        <w:jc w:val="both"/>
      </w:pPr>
      <w:r>
        <w:rPr>
          <w:rFonts w:ascii="sans-serif" w:eastAsia="sans-serif" w:hAnsi="sans-serif" w:cs="sans-serif"/>
          <w:color w:val="000000"/>
          <w:sz w:val="20"/>
          <w:szCs w:val="20"/>
        </w:rPr>
        <w:t>Refer to Note 6 of the Notes to Condensed Consolidated Financial Statements for further information.</w:t>
      </w:r>
    </w:p>
    <w:p w14:paraId="27E08CDA" w14:textId="77777777" w:rsidR="00A85061" w:rsidRDefault="00F04891">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A85061" w14:paraId="27E08CE7" w14:textId="77777777">
        <w:tc>
          <w:tcPr>
            <w:tcW w:w="50" w:type="pct"/>
            <w:shd w:val="clear" w:color="auto" w:fill="auto"/>
            <w:vAlign w:val="bottom"/>
          </w:tcPr>
          <w:p w14:paraId="27E08CDB" w14:textId="77777777" w:rsidR="00A85061" w:rsidRDefault="00A85061">
            <w:pPr>
              <w:rPr>
                <w:rFonts w:ascii="宋体"/>
              </w:rPr>
            </w:pPr>
          </w:p>
        </w:tc>
        <w:tc>
          <w:tcPr>
            <w:tcW w:w="3192" w:type="pct"/>
            <w:shd w:val="clear" w:color="auto" w:fill="auto"/>
            <w:vAlign w:val="bottom"/>
          </w:tcPr>
          <w:p w14:paraId="27E08CDC" w14:textId="77777777" w:rsidR="00A85061" w:rsidRDefault="00A85061">
            <w:pPr>
              <w:rPr>
                <w:rFonts w:ascii="宋体"/>
              </w:rPr>
            </w:pPr>
          </w:p>
        </w:tc>
        <w:tc>
          <w:tcPr>
            <w:tcW w:w="5" w:type="pct"/>
            <w:shd w:val="clear" w:color="auto" w:fill="auto"/>
            <w:vAlign w:val="bottom"/>
          </w:tcPr>
          <w:p w14:paraId="27E08CDD" w14:textId="77777777" w:rsidR="00A85061" w:rsidRDefault="00A85061">
            <w:pPr>
              <w:rPr>
                <w:rFonts w:ascii="宋体"/>
              </w:rPr>
            </w:pPr>
          </w:p>
        </w:tc>
        <w:tc>
          <w:tcPr>
            <w:tcW w:w="50" w:type="pct"/>
            <w:shd w:val="clear" w:color="auto" w:fill="auto"/>
            <w:vAlign w:val="bottom"/>
          </w:tcPr>
          <w:p w14:paraId="27E08CDE" w14:textId="77777777" w:rsidR="00A85061" w:rsidRDefault="00A85061">
            <w:pPr>
              <w:rPr>
                <w:rFonts w:ascii="宋体"/>
              </w:rPr>
            </w:pPr>
          </w:p>
        </w:tc>
        <w:tc>
          <w:tcPr>
            <w:tcW w:w="802" w:type="pct"/>
            <w:shd w:val="clear" w:color="auto" w:fill="auto"/>
            <w:vAlign w:val="bottom"/>
          </w:tcPr>
          <w:p w14:paraId="27E08CDF" w14:textId="77777777" w:rsidR="00A85061" w:rsidRDefault="00A85061">
            <w:pPr>
              <w:rPr>
                <w:rFonts w:ascii="宋体"/>
              </w:rPr>
            </w:pPr>
          </w:p>
        </w:tc>
        <w:tc>
          <w:tcPr>
            <w:tcW w:w="5" w:type="pct"/>
            <w:shd w:val="clear" w:color="auto" w:fill="auto"/>
            <w:vAlign w:val="bottom"/>
          </w:tcPr>
          <w:p w14:paraId="27E08CE0" w14:textId="77777777" w:rsidR="00A85061" w:rsidRDefault="00A85061">
            <w:pPr>
              <w:rPr>
                <w:rFonts w:ascii="宋体"/>
              </w:rPr>
            </w:pPr>
          </w:p>
        </w:tc>
        <w:tc>
          <w:tcPr>
            <w:tcW w:w="5" w:type="pct"/>
            <w:shd w:val="clear" w:color="auto" w:fill="auto"/>
            <w:vAlign w:val="bottom"/>
          </w:tcPr>
          <w:p w14:paraId="27E08CE1" w14:textId="77777777" w:rsidR="00A85061" w:rsidRDefault="00A85061">
            <w:pPr>
              <w:rPr>
                <w:rFonts w:ascii="宋体"/>
              </w:rPr>
            </w:pPr>
          </w:p>
        </w:tc>
        <w:tc>
          <w:tcPr>
            <w:tcW w:w="26" w:type="pct"/>
            <w:shd w:val="clear" w:color="auto" w:fill="auto"/>
            <w:vAlign w:val="bottom"/>
          </w:tcPr>
          <w:p w14:paraId="27E08CE2" w14:textId="77777777" w:rsidR="00A85061" w:rsidRDefault="00A85061">
            <w:pPr>
              <w:rPr>
                <w:rFonts w:ascii="宋体"/>
              </w:rPr>
            </w:pPr>
          </w:p>
        </w:tc>
        <w:tc>
          <w:tcPr>
            <w:tcW w:w="5" w:type="pct"/>
            <w:shd w:val="clear" w:color="auto" w:fill="auto"/>
            <w:vAlign w:val="bottom"/>
          </w:tcPr>
          <w:p w14:paraId="27E08CE3" w14:textId="77777777" w:rsidR="00A85061" w:rsidRDefault="00A85061">
            <w:pPr>
              <w:rPr>
                <w:rFonts w:ascii="宋体"/>
              </w:rPr>
            </w:pPr>
          </w:p>
        </w:tc>
        <w:tc>
          <w:tcPr>
            <w:tcW w:w="50" w:type="pct"/>
            <w:shd w:val="clear" w:color="auto" w:fill="auto"/>
            <w:vAlign w:val="bottom"/>
          </w:tcPr>
          <w:p w14:paraId="27E08CE4" w14:textId="77777777" w:rsidR="00A85061" w:rsidRDefault="00A85061">
            <w:pPr>
              <w:rPr>
                <w:rFonts w:ascii="宋体"/>
              </w:rPr>
            </w:pPr>
          </w:p>
        </w:tc>
        <w:tc>
          <w:tcPr>
            <w:tcW w:w="802" w:type="pct"/>
            <w:shd w:val="clear" w:color="auto" w:fill="auto"/>
            <w:vAlign w:val="bottom"/>
          </w:tcPr>
          <w:p w14:paraId="27E08CE5" w14:textId="77777777" w:rsidR="00A85061" w:rsidRDefault="00A85061">
            <w:pPr>
              <w:rPr>
                <w:rFonts w:ascii="宋体"/>
              </w:rPr>
            </w:pPr>
          </w:p>
        </w:tc>
        <w:tc>
          <w:tcPr>
            <w:tcW w:w="5" w:type="pct"/>
            <w:shd w:val="clear" w:color="auto" w:fill="auto"/>
            <w:vAlign w:val="bottom"/>
          </w:tcPr>
          <w:p w14:paraId="27E08CE6" w14:textId="77777777" w:rsidR="00A85061" w:rsidRDefault="00A85061">
            <w:pPr>
              <w:rPr>
                <w:rFonts w:ascii="宋体"/>
              </w:rPr>
            </w:pPr>
          </w:p>
        </w:tc>
      </w:tr>
      <w:tr w:rsidR="00A85061" w14:paraId="27E08CEC" w14:textId="77777777">
        <w:tc>
          <w:tcPr>
            <w:tcW w:w="0" w:type="auto"/>
            <w:gridSpan w:val="3"/>
            <w:shd w:val="clear" w:color="auto" w:fill="auto"/>
            <w:tcMar>
              <w:top w:w="40" w:type="dxa"/>
              <w:left w:w="20" w:type="dxa"/>
              <w:bottom w:w="40" w:type="dxa"/>
              <w:right w:w="20" w:type="dxa"/>
            </w:tcMar>
            <w:vAlign w:val="bottom"/>
          </w:tcPr>
          <w:p w14:paraId="27E08CE8" w14:textId="77777777" w:rsidR="00A85061" w:rsidRDefault="00F04891">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27E08CE9"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shd w:val="clear" w:color="auto" w:fill="auto"/>
            <w:tcMar>
              <w:top w:w="0" w:type="dxa"/>
              <w:left w:w="20" w:type="dxa"/>
              <w:bottom w:w="0" w:type="dxa"/>
              <w:right w:w="20" w:type="dxa"/>
            </w:tcMar>
            <w:vAlign w:val="bottom"/>
          </w:tcPr>
          <w:p w14:paraId="27E08CEA"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CEB" w14:textId="77777777" w:rsidR="00A85061" w:rsidRDefault="00F04891">
            <w:pPr>
              <w:jc w:val="center"/>
              <w:textAlignment w:val="bottom"/>
            </w:pPr>
            <w:r>
              <w:rPr>
                <w:rFonts w:ascii="sans-serif" w:eastAsia="sans-serif" w:hAnsi="sans-serif" w:cs="sans-serif"/>
                <w:b/>
                <w:bCs/>
                <w:color w:val="000000"/>
                <w:sz w:val="20"/>
                <w:szCs w:val="20"/>
              </w:rPr>
              <w:t>January 31, 2021</w:t>
            </w:r>
          </w:p>
        </w:tc>
      </w:tr>
      <w:tr w:rsidR="00A85061" w14:paraId="27E08CF1" w14:textId="77777777">
        <w:trPr>
          <w:trHeight w:val="60"/>
        </w:trPr>
        <w:tc>
          <w:tcPr>
            <w:tcW w:w="0" w:type="auto"/>
            <w:gridSpan w:val="3"/>
            <w:shd w:val="clear" w:color="auto" w:fill="auto"/>
            <w:tcMar>
              <w:top w:w="0" w:type="dxa"/>
              <w:left w:w="20" w:type="dxa"/>
              <w:bottom w:w="0" w:type="dxa"/>
              <w:right w:w="20" w:type="dxa"/>
            </w:tcMar>
            <w:vAlign w:val="bottom"/>
          </w:tcPr>
          <w:p w14:paraId="27E08CED"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E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CEF"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CF0" w14:textId="77777777" w:rsidR="00A85061" w:rsidRDefault="00A85061">
            <w:pPr>
              <w:rPr>
                <w:rFonts w:ascii="宋体"/>
              </w:rPr>
            </w:pPr>
          </w:p>
        </w:tc>
      </w:tr>
      <w:tr w:rsidR="00A85061" w14:paraId="27E08CF4" w14:textId="77777777">
        <w:tc>
          <w:tcPr>
            <w:tcW w:w="0" w:type="auto"/>
            <w:gridSpan w:val="3"/>
            <w:shd w:val="clear" w:color="auto" w:fill="auto"/>
            <w:tcMar>
              <w:top w:w="40" w:type="dxa"/>
              <w:left w:w="20" w:type="dxa"/>
              <w:bottom w:w="40" w:type="dxa"/>
              <w:right w:w="20" w:type="dxa"/>
            </w:tcMar>
            <w:vAlign w:val="bottom"/>
          </w:tcPr>
          <w:p w14:paraId="27E08CF2" w14:textId="77777777" w:rsidR="00A85061" w:rsidRDefault="00F04891">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27E08CF3" w14:textId="77777777" w:rsidR="00A85061" w:rsidRDefault="00F04891">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A85061" w14:paraId="27E08CFD" w14:textId="77777777">
        <w:tc>
          <w:tcPr>
            <w:tcW w:w="0" w:type="auto"/>
            <w:gridSpan w:val="3"/>
            <w:shd w:val="clear" w:color="auto" w:fill="E2EFD9"/>
            <w:tcMar>
              <w:top w:w="40" w:type="dxa"/>
              <w:left w:w="20" w:type="dxa"/>
              <w:bottom w:w="40" w:type="dxa"/>
              <w:right w:w="20" w:type="dxa"/>
            </w:tcMar>
            <w:vAlign w:val="bottom"/>
          </w:tcPr>
          <w:p w14:paraId="27E08CF5" w14:textId="77777777" w:rsidR="00A85061" w:rsidRDefault="00F04891">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27E08CF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CF7" w14:textId="77777777" w:rsidR="00A85061" w:rsidRDefault="00F04891">
            <w:pPr>
              <w:jc w:val="right"/>
              <w:textAlignment w:val="bottom"/>
            </w:pPr>
            <w:r>
              <w:rPr>
                <w:rFonts w:ascii="sans-serif" w:eastAsia="sans-serif" w:hAnsi="sans-serif" w:cs="sans-serif"/>
                <w:color w:val="000000"/>
                <w:sz w:val="20"/>
                <w:szCs w:val="20"/>
              </w:rPr>
              <w:t>978 </w:t>
            </w:r>
          </w:p>
        </w:tc>
        <w:tc>
          <w:tcPr>
            <w:tcW w:w="0" w:type="auto"/>
            <w:shd w:val="clear" w:color="auto" w:fill="E2EFD9"/>
            <w:tcMar>
              <w:top w:w="40" w:type="dxa"/>
              <w:left w:w="0" w:type="dxa"/>
              <w:bottom w:w="40" w:type="dxa"/>
              <w:right w:w="20" w:type="dxa"/>
            </w:tcMar>
            <w:vAlign w:val="bottom"/>
          </w:tcPr>
          <w:p w14:paraId="27E08CF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CF9"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CF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CFB" w14:textId="77777777" w:rsidR="00A85061" w:rsidRDefault="00F04891">
            <w:pPr>
              <w:jc w:val="right"/>
              <w:textAlignment w:val="bottom"/>
            </w:pPr>
            <w:r>
              <w:rPr>
                <w:rFonts w:ascii="sans-serif" w:eastAsia="sans-serif" w:hAnsi="sans-serif" w:cs="sans-serif"/>
                <w:color w:val="000000"/>
                <w:sz w:val="20"/>
                <w:szCs w:val="20"/>
              </w:rPr>
              <w:t>847 </w:t>
            </w:r>
          </w:p>
        </w:tc>
        <w:tc>
          <w:tcPr>
            <w:tcW w:w="0" w:type="auto"/>
            <w:shd w:val="clear" w:color="auto" w:fill="E2EFD9"/>
            <w:tcMar>
              <w:top w:w="40" w:type="dxa"/>
              <w:left w:w="0" w:type="dxa"/>
              <w:bottom w:w="40" w:type="dxa"/>
              <w:right w:w="20" w:type="dxa"/>
            </w:tcMar>
            <w:vAlign w:val="bottom"/>
          </w:tcPr>
          <w:p w14:paraId="27E08CFC" w14:textId="77777777" w:rsidR="00A85061" w:rsidRDefault="00A85061">
            <w:pPr>
              <w:jc w:val="right"/>
              <w:rPr>
                <w:rFonts w:ascii="宋体"/>
              </w:rPr>
            </w:pPr>
          </w:p>
        </w:tc>
      </w:tr>
      <w:tr w:rsidR="00A85061" w14:paraId="27E08D04" w14:textId="77777777">
        <w:tc>
          <w:tcPr>
            <w:tcW w:w="0" w:type="auto"/>
            <w:gridSpan w:val="3"/>
            <w:shd w:val="clear" w:color="auto" w:fill="FFFFFF"/>
            <w:tcMar>
              <w:top w:w="40" w:type="dxa"/>
              <w:left w:w="20" w:type="dxa"/>
              <w:bottom w:w="40" w:type="dxa"/>
              <w:right w:w="20" w:type="dxa"/>
            </w:tcMar>
            <w:vAlign w:val="bottom"/>
          </w:tcPr>
          <w:p w14:paraId="27E08CFE" w14:textId="77777777" w:rsidR="00A85061" w:rsidRDefault="00F04891">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27E08CFF" w14:textId="77777777" w:rsidR="00A85061" w:rsidRDefault="00F04891">
            <w:pPr>
              <w:jc w:val="right"/>
              <w:textAlignment w:val="bottom"/>
            </w:pPr>
            <w:r>
              <w:rPr>
                <w:rFonts w:ascii="sans-serif" w:eastAsia="sans-serif" w:hAnsi="sans-serif" w:cs="sans-serif"/>
                <w:color w:val="000000"/>
                <w:sz w:val="20"/>
                <w:szCs w:val="20"/>
              </w:rPr>
              <w:t>11,689 </w:t>
            </w:r>
          </w:p>
        </w:tc>
        <w:tc>
          <w:tcPr>
            <w:tcW w:w="0" w:type="auto"/>
            <w:shd w:val="clear" w:color="auto" w:fill="FFFFFF"/>
            <w:tcMar>
              <w:top w:w="40" w:type="dxa"/>
              <w:left w:w="0" w:type="dxa"/>
              <w:bottom w:w="40" w:type="dxa"/>
              <w:right w:w="20" w:type="dxa"/>
            </w:tcMar>
            <w:vAlign w:val="bottom"/>
          </w:tcPr>
          <w:p w14:paraId="27E08D00"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D01" w14:textId="77777777" w:rsidR="00A85061" w:rsidRDefault="00A85061">
            <w:pPr>
              <w:rPr>
                <w:rFonts w:ascii="宋体"/>
              </w:rPr>
            </w:pPr>
          </w:p>
        </w:tc>
        <w:tc>
          <w:tcPr>
            <w:tcW w:w="0" w:type="auto"/>
            <w:gridSpan w:val="2"/>
            <w:shd w:val="clear" w:color="auto" w:fill="FFFFFF"/>
            <w:tcMar>
              <w:top w:w="40" w:type="dxa"/>
              <w:left w:w="20" w:type="dxa"/>
              <w:bottom w:w="40" w:type="dxa"/>
              <w:right w:w="0" w:type="dxa"/>
            </w:tcMar>
            <w:vAlign w:val="bottom"/>
          </w:tcPr>
          <w:p w14:paraId="27E08D02" w14:textId="77777777" w:rsidR="00A85061" w:rsidRDefault="00F04891">
            <w:pPr>
              <w:jc w:val="right"/>
              <w:textAlignment w:val="bottom"/>
            </w:pPr>
            <w:r>
              <w:rPr>
                <w:rFonts w:ascii="sans-serif" w:eastAsia="sans-serif" w:hAnsi="sans-serif" w:cs="sans-serif"/>
                <w:color w:val="000000"/>
                <w:sz w:val="20"/>
                <w:szCs w:val="20"/>
              </w:rPr>
              <w:t>10,714 </w:t>
            </w:r>
          </w:p>
        </w:tc>
        <w:tc>
          <w:tcPr>
            <w:tcW w:w="0" w:type="auto"/>
            <w:shd w:val="clear" w:color="auto" w:fill="FFFFFF"/>
            <w:tcMar>
              <w:top w:w="40" w:type="dxa"/>
              <w:left w:w="0" w:type="dxa"/>
              <w:bottom w:w="40" w:type="dxa"/>
              <w:right w:w="20" w:type="dxa"/>
            </w:tcMar>
            <w:vAlign w:val="bottom"/>
          </w:tcPr>
          <w:p w14:paraId="27E08D03" w14:textId="77777777" w:rsidR="00A85061" w:rsidRDefault="00A85061">
            <w:pPr>
              <w:jc w:val="right"/>
              <w:rPr>
                <w:rFonts w:ascii="宋体"/>
              </w:rPr>
            </w:pPr>
          </w:p>
        </w:tc>
      </w:tr>
      <w:tr w:rsidR="00A85061" w14:paraId="27E08D0D" w14:textId="77777777">
        <w:tc>
          <w:tcPr>
            <w:tcW w:w="0" w:type="auto"/>
            <w:gridSpan w:val="3"/>
            <w:shd w:val="clear" w:color="auto" w:fill="E2EFD9"/>
            <w:tcMar>
              <w:top w:w="40" w:type="dxa"/>
              <w:left w:w="20" w:type="dxa"/>
              <w:bottom w:w="40" w:type="dxa"/>
              <w:right w:w="20" w:type="dxa"/>
            </w:tcMar>
            <w:vAlign w:val="bottom"/>
          </w:tcPr>
          <w:p w14:paraId="27E08D05" w14:textId="77777777" w:rsidR="00A85061" w:rsidRDefault="00F04891">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D06"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D07" w14:textId="77777777" w:rsidR="00A85061" w:rsidRDefault="00F04891">
            <w:pPr>
              <w:jc w:val="right"/>
              <w:textAlignment w:val="bottom"/>
            </w:pPr>
            <w:r>
              <w:rPr>
                <w:rFonts w:ascii="sans-serif" w:eastAsia="sans-serif" w:hAnsi="sans-serif" w:cs="sans-serif"/>
                <w:color w:val="000000"/>
                <w:sz w:val="20"/>
                <w:szCs w:val="20"/>
              </w:rPr>
              <w:t>12,667 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D08"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D09" w14:textId="77777777" w:rsidR="00A85061" w:rsidRDefault="00A85061">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27E08D0A" w14:textId="77777777" w:rsidR="00A85061" w:rsidRDefault="00F04891">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27E08D0B" w14:textId="77777777" w:rsidR="00A85061" w:rsidRDefault="00F04891">
            <w:pPr>
              <w:jc w:val="right"/>
              <w:textAlignment w:val="bottom"/>
            </w:pPr>
            <w:r>
              <w:rPr>
                <w:rFonts w:ascii="sans-serif" w:eastAsia="sans-serif" w:hAnsi="sans-serif" w:cs="sans-serif"/>
                <w:color w:val="000000"/>
                <w:sz w:val="20"/>
                <w:szCs w:val="20"/>
              </w:rPr>
              <w:t>11,561 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27E08D0C" w14:textId="77777777" w:rsidR="00A85061" w:rsidRDefault="00A85061">
            <w:pPr>
              <w:jc w:val="right"/>
              <w:rPr>
                <w:rFonts w:ascii="宋体"/>
              </w:rPr>
            </w:pPr>
          </w:p>
        </w:tc>
      </w:tr>
    </w:tbl>
    <w:p w14:paraId="27E08D0E" w14:textId="77777777" w:rsidR="00A85061" w:rsidRDefault="00A8506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A85061" w14:paraId="27E08D1B" w14:textId="77777777">
        <w:tc>
          <w:tcPr>
            <w:tcW w:w="50" w:type="pct"/>
            <w:shd w:val="clear" w:color="auto" w:fill="auto"/>
            <w:vAlign w:val="bottom"/>
          </w:tcPr>
          <w:p w14:paraId="27E08D0F" w14:textId="77777777" w:rsidR="00A85061" w:rsidRDefault="00A85061">
            <w:pPr>
              <w:rPr>
                <w:rFonts w:ascii="宋体"/>
              </w:rPr>
            </w:pPr>
          </w:p>
        </w:tc>
        <w:tc>
          <w:tcPr>
            <w:tcW w:w="3197" w:type="pct"/>
            <w:shd w:val="clear" w:color="auto" w:fill="auto"/>
            <w:vAlign w:val="bottom"/>
          </w:tcPr>
          <w:p w14:paraId="27E08D10" w14:textId="77777777" w:rsidR="00A85061" w:rsidRDefault="00A85061">
            <w:pPr>
              <w:rPr>
                <w:rFonts w:ascii="宋体"/>
              </w:rPr>
            </w:pPr>
          </w:p>
        </w:tc>
        <w:tc>
          <w:tcPr>
            <w:tcW w:w="5" w:type="pct"/>
            <w:shd w:val="clear" w:color="auto" w:fill="auto"/>
            <w:vAlign w:val="bottom"/>
          </w:tcPr>
          <w:p w14:paraId="27E08D11" w14:textId="77777777" w:rsidR="00A85061" w:rsidRDefault="00A85061">
            <w:pPr>
              <w:rPr>
                <w:rFonts w:ascii="宋体"/>
              </w:rPr>
            </w:pPr>
          </w:p>
        </w:tc>
        <w:tc>
          <w:tcPr>
            <w:tcW w:w="50" w:type="pct"/>
            <w:shd w:val="clear" w:color="auto" w:fill="auto"/>
            <w:vAlign w:val="bottom"/>
          </w:tcPr>
          <w:p w14:paraId="27E08D12" w14:textId="77777777" w:rsidR="00A85061" w:rsidRDefault="00A85061">
            <w:pPr>
              <w:rPr>
                <w:rFonts w:ascii="宋体"/>
              </w:rPr>
            </w:pPr>
          </w:p>
        </w:tc>
        <w:tc>
          <w:tcPr>
            <w:tcW w:w="800" w:type="pct"/>
            <w:shd w:val="clear" w:color="auto" w:fill="auto"/>
            <w:vAlign w:val="bottom"/>
          </w:tcPr>
          <w:p w14:paraId="27E08D13" w14:textId="77777777" w:rsidR="00A85061" w:rsidRDefault="00A85061">
            <w:pPr>
              <w:rPr>
                <w:rFonts w:ascii="宋体"/>
              </w:rPr>
            </w:pPr>
          </w:p>
        </w:tc>
        <w:tc>
          <w:tcPr>
            <w:tcW w:w="5" w:type="pct"/>
            <w:shd w:val="clear" w:color="auto" w:fill="auto"/>
            <w:vAlign w:val="bottom"/>
          </w:tcPr>
          <w:p w14:paraId="27E08D14" w14:textId="77777777" w:rsidR="00A85061" w:rsidRDefault="00A85061">
            <w:pPr>
              <w:rPr>
                <w:rFonts w:ascii="宋体"/>
              </w:rPr>
            </w:pPr>
          </w:p>
        </w:tc>
        <w:tc>
          <w:tcPr>
            <w:tcW w:w="5" w:type="pct"/>
            <w:shd w:val="clear" w:color="auto" w:fill="auto"/>
            <w:vAlign w:val="bottom"/>
          </w:tcPr>
          <w:p w14:paraId="27E08D15" w14:textId="77777777" w:rsidR="00A85061" w:rsidRDefault="00A85061">
            <w:pPr>
              <w:rPr>
                <w:rFonts w:ascii="宋体"/>
              </w:rPr>
            </w:pPr>
          </w:p>
        </w:tc>
        <w:tc>
          <w:tcPr>
            <w:tcW w:w="26" w:type="pct"/>
            <w:shd w:val="clear" w:color="auto" w:fill="auto"/>
            <w:vAlign w:val="bottom"/>
          </w:tcPr>
          <w:p w14:paraId="27E08D16" w14:textId="77777777" w:rsidR="00A85061" w:rsidRDefault="00A85061">
            <w:pPr>
              <w:rPr>
                <w:rFonts w:ascii="宋体"/>
              </w:rPr>
            </w:pPr>
          </w:p>
        </w:tc>
        <w:tc>
          <w:tcPr>
            <w:tcW w:w="5" w:type="pct"/>
            <w:shd w:val="clear" w:color="auto" w:fill="auto"/>
            <w:vAlign w:val="bottom"/>
          </w:tcPr>
          <w:p w14:paraId="27E08D17" w14:textId="77777777" w:rsidR="00A85061" w:rsidRDefault="00A85061">
            <w:pPr>
              <w:rPr>
                <w:rFonts w:ascii="宋体"/>
              </w:rPr>
            </w:pPr>
          </w:p>
        </w:tc>
        <w:tc>
          <w:tcPr>
            <w:tcW w:w="50" w:type="pct"/>
            <w:shd w:val="clear" w:color="auto" w:fill="auto"/>
            <w:vAlign w:val="bottom"/>
          </w:tcPr>
          <w:p w14:paraId="27E08D18" w14:textId="77777777" w:rsidR="00A85061" w:rsidRDefault="00A85061">
            <w:pPr>
              <w:rPr>
                <w:rFonts w:ascii="宋体"/>
              </w:rPr>
            </w:pPr>
          </w:p>
        </w:tc>
        <w:tc>
          <w:tcPr>
            <w:tcW w:w="800" w:type="pct"/>
            <w:shd w:val="clear" w:color="auto" w:fill="auto"/>
            <w:vAlign w:val="bottom"/>
          </w:tcPr>
          <w:p w14:paraId="27E08D19" w14:textId="77777777" w:rsidR="00A85061" w:rsidRDefault="00A85061">
            <w:pPr>
              <w:rPr>
                <w:rFonts w:ascii="宋体"/>
              </w:rPr>
            </w:pPr>
          </w:p>
        </w:tc>
        <w:tc>
          <w:tcPr>
            <w:tcW w:w="5" w:type="pct"/>
            <w:shd w:val="clear" w:color="auto" w:fill="auto"/>
            <w:vAlign w:val="bottom"/>
          </w:tcPr>
          <w:p w14:paraId="27E08D1A" w14:textId="77777777" w:rsidR="00A85061" w:rsidRDefault="00A85061">
            <w:pPr>
              <w:rPr>
                <w:rFonts w:ascii="宋体"/>
              </w:rPr>
            </w:pPr>
          </w:p>
        </w:tc>
      </w:tr>
      <w:tr w:rsidR="00A85061" w14:paraId="27E08D1E" w14:textId="77777777">
        <w:tc>
          <w:tcPr>
            <w:tcW w:w="0" w:type="auto"/>
            <w:gridSpan w:val="3"/>
            <w:shd w:val="clear" w:color="auto" w:fill="auto"/>
            <w:tcMar>
              <w:top w:w="40" w:type="dxa"/>
              <w:left w:w="20" w:type="dxa"/>
              <w:bottom w:w="40" w:type="dxa"/>
              <w:right w:w="20" w:type="dxa"/>
            </w:tcMar>
            <w:vAlign w:val="bottom"/>
          </w:tcPr>
          <w:p w14:paraId="27E08D1C" w14:textId="77777777" w:rsidR="00A85061" w:rsidRDefault="00F04891">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27E08D1D" w14:textId="77777777" w:rsidR="00A85061" w:rsidRDefault="00F04891">
            <w:pPr>
              <w:jc w:val="center"/>
              <w:textAlignment w:val="bottom"/>
            </w:pPr>
            <w:r>
              <w:rPr>
                <w:rFonts w:ascii="sans-serif" w:eastAsia="sans-serif" w:hAnsi="sans-serif" w:cs="sans-serif"/>
                <w:b/>
                <w:bCs/>
                <w:color w:val="000000"/>
                <w:sz w:val="20"/>
                <w:szCs w:val="20"/>
              </w:rPr>
              <w:t>Three Months Ended</w:t>
            </w:r>
          </w:p>
        </w:tc>
      </w:tr>
      <w:tr w:rsidR="00A85061" w14:paraId="27E08D23" w14:textId="77777777">
        <w:tc>
          <w:tcPr>
            <w:tcW w:w="0" w:type="auto"/>
            <w:gridSpan w:val="3"/>
            <w:shd w:val="clear" w:color="auto" w:fill="auto"/>
            <w:tcMar>
              <w:top w:w="0" w:type="dxa"/>
              <w:left w:w="20" w:type="dxa"/>
              <w:bottom w:w="0" w:type="dxa"/>
              <w:right w:w="20" w:type="dxa"/>
            </w:tcMar>
            <w:vAlign w:val="bottom"/>
          </w:tcPr>
          <w:p w14:paraId="27E08D1F"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D20" w14:textId="77777777" w:rsidR="00A85061" w:rsidRDefault="00F04891">
            <w:pPr>
              <w:jc w:val="center"/>
              <w:textAlignment w:val="bottom"/>
            </w:pPr>
            <w:r>
              <w:rPr>
                <w:rFonts w:ascii="sans-serif" w:eastAsia="sans-serif" w:hAnsi="sans-serif" w:cs="sans-serif"/>
                <w:b/>
                <w:bCs/>
                <w:color w:val="000000"/>
                <w:sz w:val="20"/>
                <w:szCs w:val="20"/>
              </w:rPr>
              <w:t>May 2,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D21" w14:textId="77777777" w:rsidR="00A85061" w:rsidRDefault="00A8506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27E08D22" w14:textId="77777777" w:rsidR="00A85061" w:rsidRDefault="00F04891">
            <w:pPr>
              <w:jc w:val="center"/>
              <w:textAlignment w:val="bottom"/>
            </w:pPr>
            <w:r>
              <w:rPr>
                <w:rFonts w:ascii="sans-serif" w:eastAsia="sans-serif" w:hAnsi="sans-serif" w:cs="sans-serif"/>
                <w:b/>
                <w:bCs/>
                <w:color w:val="000000"/>
                <w:sz w:val="20"/>
                <w:szCs w:val="20"/>
              </w:rPr>
              <w:t>April 26, 2020</w:t>
            </w:r>
          </w:p>
        </w:tc>
      </w:tr>
      <w:tr w:rsidR="00A85061" w14:paraId="27E08D28" w14:textId="77777777">
        <w:trPr>
          <w:trHeight w:val="60"/>
        </w:trPr>
        <w:tc>
          <w:tcPr>
            <w:tcW w:w="0" w:type="auto"/>
            <w:gridSpan w:val="3"/>
            <w:shd w:val="clear" w:color="auto" w:fill="auto"/>
            <w:tcMar>
              <w:top w:w="0" w:type="dxa"/>
              <w:left w:w="20" w:type="dxa"/>
              <w:bottom w:w="0" w:type="dxa"/>
              <w:right w:w="20" w:type="dxa"/>
            </w:tcMar>
            <w:vAlign w:val="bottom"/>
          </w:tcPr>
          <w:p w14:paraId="27E08D24"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D2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26"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D27" w14:textId="77777777" w:rsidR="00A85061" w:rsidRDefault="00A85061">
            <w:pPr>
              <w:rPr>
                <w:rFonts w:ascii="宋体"/>
              </w:rPr>
            </w:pPr>
          </w:p>
        </w:tc>
      </w:tr>
      <w:tr w:rsidR="00A85061" w14:paraId="27E08D2B" w14:textId="77777777">
        <w:tc>
          <w:tcPr>
            <w:tcW w:w="0" w:type="auto"/>
            <w:gridSpan w:val="3"/>
            <w:shd w:val="clear" w:color="auto" w:fill="auto"/>
            <w:tcMar>
              <w:top w:w="40" w:type="dxa"/>
              <w:left w:w="20" w:type="dxa"/>
              <w:bottom w:w="40" w:type="dxa"/>
              <w:right w:w="20" w:type="dxa"/>
            </w:tcMar>
            <w:vAlign w:val="bottom"/>
          </w:tcPr>
          <w:p w14:paraId="27E08D29" w14:textId="77777777" w:rsidR="00A85061" w:rsidRDefault="00F04891">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27E08D2A" w14:textId="77777777" w:rsidR="00A85061" w:rsidRDefault="00F04891">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A85061" w14:paraId="27E08D34" w14:textId="77777777">
        <w:tc>
          <w:tcPr>
            <w:tcW w:w="0" w:type="auto"/>
            <w:gridSpan w:val="3"/>
            <w:shd w:val="clear" w:color="auto" w:fill="E2EFD9"/>
            <w:tcMar>
              <w:top w:w="40" w:type="dxa"/>
              <w:left w:w="20" w:type="dxa"/>
              <w:bottom w:w="40" w:type="dxa"/>
              <w:right w:w="20" w:type="dxa"/>
            </w:tcMar>
            <w:vAlign w:val="bottom"/>
          </w:tcPr>
          <w:p w14:paraId="27E08D2C" w14:textId="77777777" w:rsidR="00A85061" w:rsidRDefault="00F04891">
            <w:pPr>
              <w:textAlignment w:val="bottom"/>
            </w:pPr>
            <w:r>
              <w:rPr>
                <w:rFonts w:ascii="sans-serif" w:eastAsia="sans-serif" w:hAnsi="sans-serif" w:cs="sans-serif"/>
                <w:color w:val="000000"/>
                <w:sz w:val="20"/>
                <w:szCs w:val="20"/>
              </w:rPr>
              <w:t>Net cash provided by operating activities</w:t>
            </w:r>
          </w:p>
        </w:tc>
        <w:tc>
          <w:tcPr>
            <w:tcW w:w="0" w:type="auto"/>
            <w:shd w:val="clear" w:color="auto" w:fill="E2EFD9"/>
            <w:tcMar>
              <w:top w:w="40" w:type="dxa"/>
              <w:left w:w="20" w:type="dxa"/>
              <w:bottom w:w="40" w:type="dxa"/>
              <w:right w:w="0" w:type="dxa"/>
            </w:tcMar>
            <w:vAlign w:val="bottom"/>
          </w:tcPr>
          <w:p w14:paraId="27E08D2D"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D2E" w14:textId="77777777" w:rsidR="00A85061" w:rsidRDefault="00F04891">
            <w:pPr>
              <w:jc w:val="right"/>
              <w:textAlignment w:val="bottom"/>
            </w:pPr>
            <w:r>
              <w:rPr>
                <w:rFonts w:ascii="sans-serif" w:eastAsia="sans-serif" w:hAnsi="sans-serif" w:cs="sans-serif"/>
                <w:color w:val="000000"/>
                <w:sz w:val="20"/>
                <w:szCs w:val="20"/>
              </w:rPr>
              <w:t>1,874 </w:t>
            </w:r>
          </w:p>
        </w:tc>
        <w:tc>
          <w:tcPr>
            <w:tcW w:w="0" w:type="auto"/>
            <w:shd w:val="clear" w:color="auto" w:fill="E2EFD9"/>
            <w:tcMar>
              <w:top w:w="40" w:type="dxa"/>
              <w:left w:w="0" w:type="dxa"/>
              <w:bottom w:w="40" w:type="dxa"/>
              <w:right w:w="20" w:type="dxa"/>
            </w:tcMar>
            <w:vAlign w:val="bottom"/>
          </w:tcPr>
          <w:p w14:paraId="27E08D2F"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D30"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D31"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D32" w14:textId="77777777" w:rsidR="00A85061" w:rsidRDefault="00F04891">
            <w:pPr>
              <w:jc w:val="right"/>
              <w:textAlignment w:val="bottom"/>
            </w:pPr>
            <w:r>
              <w:rPr>
                <w:rFonts w:ascii="sans-serif" w:eastAsia="sans-serif" w:hAnsi="sans-serif" w:cs="sans-serif"/>
                <w:color w:val="000000"/>
                <w:sz w:val="20"/>
                <w:szCs w:val="20"/>
              </w:rPr>
              <w:t>909 </w:t>
            </w:r>
          </w:p>
        </w:tc>
        <w:tc>
          <w:tcPr>
            <w:tcW w:w="0" w:type="auto"/>
            <w:shd w:val="clear" w:color="auto" w:fill="E2EFD9"/>
            <w:tcMar>
              <w:top w:w="40" w:type="dxa"/>
              <w:left w:w="0" w:type="dxa"/>
              <w:bottom w:w="40" w:type="dxa"/>
              <w:right w:w="20" w:type="dxa"/>
            </w:tcMar>
            <w:vAlign w:val="bottom"/>
          </w:tcPr>
          <w:p w14:paraId="27E08D33" w14:textId="77777777" w:rsidR="00A85061" w:rsidRDefault="00A85061">
            <w:pPr>
              <w:jc w:val="right"/>
              <w:rPr>
                <w:rFonts w:ascii="宋体"/>
              </w:rPr>
            </w:pPr>
          </w:p>
        </w:tc>
      </w:tr>
      <w:tr w:rsidR="00A85061" w14:paraId="27E08D3D" w14:textId="77777777">
        <w:tc>
          <w:tcPr>
            <w:tcW w:w="0" w:type="auto"/>
            <w:gridSpan w:val="3"/>
            <w:shd w:val="clear" w:color="auto" w:fill="FFFFFF"/>
            <w:tcMar>
              <w:top w:w="40" w:type="dxa"/>
              <w:left w:w="20" w:type="dxa"/>
              <w:bottom w:w="40" w:type="dxa"/>
              <w:right w:w="20" w:type="dxa"/>
            </w:tcMar>
            <w:vAlign w:val="bottom"/>
          </w:tcPr>
          <w:p w14:paraId="27E08D35" w14:textId="77777777" w:rsidR="00A85061" w:rsidRDefault="00F04891">
            <w:pPr>
              <w:textAlignment w:val="bottom"/>
            </w:pPr>
            <w:r>
              <w:rPr>
                <w:rFonts w:ascii="sans-serif" w:eastAsia="sans-serif" w:hAnsi="sans-serif" w:cs="sans-serif"/>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27E08D36"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D37" w14:textId="77777777" w:rsidR="00A85061" w:rsidRDefault="00F04891">
            <w:pPr>
              <w:jc w:val="right"/>
              <w:textAlignment w:val="bottom"/>
            </w:pPr>
            <w:r>
              <w:rPr>
                <w:rFonts w:ascii="sans-serif" w:eastAsia="sans-serif" w:hAnsi="sans-serif" w:cs="sans-serif"/>
                <w:color w:val="000000"/>
                <w:sz w:val="20"/>
                <w:szCs w:val="20"/>
              </w:rPr>
              <w:t>(1,272)</w:t>
            </w:r>
          </w:p>
        </w:tc>
        <w:tc>
          <w:tcPr>
            <w:tcW w:w="0" w:type="auto"/>
            <w:shd w:val="clear" w:color="auto" w:fill="FFFFFF"/>
            <w:tcMar>
              <w:top w:w="40" w:type="dxa"/>
              <w:left w:w="0" w:type="dxa"/>
              <w:bottom w:w="40" w:type="dxa"/>
              <w:right w:w="20" w:type="dxa"/>
            </w:tcMar>
            <w:vAlign w:val="bottom"/>
          </w:tcPr>
          <w:p w14:paraId="27E08D38" w14:textId="77777777" w:rsidR="00A85061" w:rsidRDefault="00A85061">
            <w:pPr>
              <w:jc w:val="right"/>
              <w:rPr>
                <w:rFonts w:ascii="宋体"/>
              </w:rPr>
            </w:pPr>
          </w:p>
        </w:tc>
        <w:tc>
          <w:tcPr>
            <w:tcW w:w="0" w:type="auto"/>
            <w:gridSpan w:val="3"/>
            <w:shd w:val="clear" w:color="auto" w:fill="FFFFFF"/>
            <w:tcMar>
              <w:top w:w="0" w:type="dxa"/>
              <w:left w:w="20" w:type="dxa"/>
              <w:bottom w:w="0" w:type="dxa"/>
              <w:right w:w="20" w:type="dxa"/>
            </w:tcMar>
            <w:vAlign w:val="bottom"/>
          </w:tcPr>
          <w:p w14:paraId="27E08D39" w14:textId="77777777" w:rsidR="00A85061" w:rsidRDefault="00A85061">
            <w:pPr>
              <w:rPr>
                <w:rFonts w:ascii="宋体"/>
              </w:rPr>
            </w:pPr>
          </w:p>
        </w:tc>
        <w:tc>
          <w:tcPr>
            <w:tcW w:w="0" w:type="auto"/>
            <w:shd w:val="clear" w:color="auto" w:fill="FFFFFF"/>
            <w:tcMar>
              <w:top w:w="40" w:type="dxa"/>
              <w:left w:w="20" w:type="dxa"/>
              <w:bottom w:w="40" w:type="dxa"/>
              <w:right w:w="0" w:type="dxa"/>
            </w:tcMar>
            <w:vAlign w:val="bottom"/>
          </w:tcPr>
          <w:p w14:paraId="27E08D3A"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27E08D3B" w14:textId="77777777" w:rsidR="00A85061" w:rsidRDefault="00F04891">
            <w:pPr>
              <w:jc w:val="right"/>
              <w:textAlignment w:val="bottom"/>
            </w:pPr>
            <w:r>
              <w:rPr>
                <w:rFonts w:ascii="sans-serif" w:eastAsia="sans-serif" w:hAnsi="sans-serif" w:cs="sans-serif"/>
                <w:color w:val="000000"/>
                <w:sz w:val="20"/>
                <w:szCs w:val="20"/>
              </w:rPr>
              <w:t>(1,055)</w:t>
            </w:r>
          </w:p>
        </w:tc>
        <w:tc>
          <w:tcPr>
            <w:tcW w:w="0" w:type="auto"/>
            <w:shd w:val="clear" w:color="auto" w:fill="FFFFFF"/>
            <w:tcMar>
              <w:top w:w="40" w:type="dxa"/>
              <w:left w:w="0" w:type="dxa"/>
              <w:bottom w:w="40" w:type="dxa"/>
              <w:right w:w="20" w:type="dxa"/>
            </w:tcMar>
            <w:vAlign w:val="bottom"/>
          </w:tcPr>
          <w:p w14:paraId="27E08D3C" w14:textId="77777777" w:rsidR="00A85061" w:rsidRDefault="00A85061">
            <w:pPr>
              <w:jc w:val="right"/>
              <w:rPr>
                <w:rFonts w:ascii="宋体"/>
              </w:rPr>
            </w:pPr>
          </w:p>
        </w:tc>
      </w:tr>
      <w:tr w:rsidR="00A85061" w14:paraId="27E08D46" w14:textId="77777777">
        <w:tc>
          <w:tcPr>
            <w:tcW w:w="0" w:type="auto"/>
            <w:gridSpan w:val="3"/>
            <w:shd w:val="clear" w:color="auto" w:fill="E2EFD9"/>
            <w:tcMar>
              <w:top w:w="40" w:type="dxa"/>
              <w:left w:w="20" w:type="dxa"/>
              <w:bottom w:w="40" w:type="dxa"/>
              <w:right w:w="20" w:type="dxa"/>
            </w:tcMar>
            <w:vAlign w:val="bottom"/>
          </w:tcPr>
          <w:p w14:paraId="27E08D3E" w14:textId="77777777" w:rsidR="00A85061" w:rsidRDefault="00F04891">
            <w:pPr>
              <w:textAlignment w:val="bottom"/>
            </w:pPr>
            <w:r>
              <w:rPr>
                <w:rFonts w:ascii="sans-serif" w:eastAsia="sans-serif" w:hAnsi="sans-serif" w:cs="sans-serif"/>
                <w:color w:val="000000"/>
                <w:sz w:val="20"/>
                <w:szCs w:val="20"/>
              </w:rPr>
              <w:t>Net cash provided by (used in) financing activities</w:t>
            </w:r>
          </w:p>
        </w:tc>
        <w:tc>
          <w:tcPr>
            <w:tcW w:w="0" w:type="auto"/>
            <w:shd w:val="clear" w:color="auto" w:fill="E2EFD9"/>
            <w:tcMar>
              <w:top w:w="40" w:type="dxa"/>
              <w:left w:w="20" w:type="dxa"/>
              <w:bottom w:w="40" w:type="dxa"/>
              <w:right w:w="0" w:type="dxa"/>
            </w:tcMar>
            <w:vAlign w:val="bottom"/>
          </w:tcPr>
          <w:p w14:paraId="27E08D3F"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D40" w14:textId="77777777" w:rsidR="00A85061" w:rsidRDefault="00F04891">
            <w:pPr>
              <w:jc w:val="right"/>
              <w:textAlignment w:val="bottom"/>
            </w:pPr>
            <w:r>
              <w:rPr>
                <w:rFonts w:ascii="sans-serif" w:eastAsia="sans-serif" w:hAnsi="sans-serif" w:cs="sans-serif"/>
                <w:color w:val="000000"/>
                <w:sz w:val="20"/>
                <w:szCs w:val="20"/>
              </w:rPr>
              <w:t>(471)</w:t>
            </w:r>
          </w:p>
        </w:tc>
        <w:tc>
          <w:tcPr>
            <w:tcW w:w="0" w:type="auto"/>
            <w:shd w:val="clear" w:color="auto" w:fill="E2EFD9"/>
            <w:tcMar>
              <w:top w:w="40" w:type="dxa"/>
              <w:left w:w="0" w:type="dxa"/>
              <w:bottom w:w="40" w:type="dxa"/>
              <w:right w:w="20" w:type="dxa"/>
            </w:tcMar>
            <w:vAlign w:val="bottom"/>
          </w:tcPr>
          <w:p w14:paraId="27E08D41" w14:textId="77777777" w:rsidR="00A85061" w:rsidRDefault="00A85061">
            <w:pPr>
              <w:jc w:val="right"/>
              <w:rPr>
                <w:rFonts w:ascii="宋体"/>
              </w:rPr>
            </w:pPr>
          </w:p>
        </w:tc>
        <w:tc>
          <w:tcPr>
            <w:tcW w:w="0" w:type="auto"/>
            <w:gridSpan w:val="3"/>
            <w:shd w:val="clear" w:color="auto" w:fill="E2EFD9"/>
            <w:tcMar>
              <w:top w:w="0" w:type="dxa"/>
              <w:left w:w="20" w:type="dxa"/>
              <w:bottom w:w="0" w:type="dxa"/>
              <w:right w:w="20" w:type="dxa"/>
            </w:tcMar>
            <w:vAlign w:val="bottom"/>
          </w:tcPr>
          <w:p w14:paraId="27E08D42" w14:textId="77777777" w:rsidR="00A85061" w:rsidRDefault="00A85061">
            <w:pPr>
              <w:rPr>
                <w:rFonts w:ascii="宋体"/>
              </w:rPr>
            </w:pPr>
          </w:p>
        </w:tc>
        <w:tc>
          <w:tcPr>
            <w:tcW w:w="0" w:type="auto"/>
            <w:shd w:val="clear" w:color="auto" w:fill="E2EFD9"/>
            <w:tcMar>
              <w:top w:w="40" w:type="dxa"/>
              <w:left w:w="20" w:type="dxa"/>
              <w:bottom w:w="40" w:type="dxa"/>
              <w:right w:w="0" w:type="dxa"/>
            </w:tcMar>
            <w:vAlign w:val="bottom"/>
          </w:tcPr>
          <w:p w14:paraId="27E08D43" w14:textId="77777777" w:rsidR="00A85061" w:rsidRDefault="00F04891">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27E08D44" w14:textId="77777777" w:rsidR="00A85061" w:rsidRDefault="00F04891">
            <w:pPr>
              <w:jc w:val="right"/>
              <w:textAlignment w:val="bottom"/>
            </w:pPr>
            <w:r>
              <w:rPr>
                <w:rFonts w:ascii="sans-serif" w:eastAsia="sans-serif" w:hAnsi="sans-serif" w:cs="sans-serif"/>
                <w:color w:val="000000"/>
                <w:sz w:val="20"/>
                <w:szCs w:val="20"/>
              </w:rPr>
              <w:t>4,744 </w:t>
            </w:r>
          </w:p>
        </w:tc>
        <w:tc>
          <w:tcPr>
            <w:tcW w:w="0" w:type="auto"/>
            <w:shd w:val="clear" w:color="auto" w:fill="E2EFD9"/>
            <w:tcMar>
              <w:top w:w="40" w:type="dxa"/>
              <w:left w:w="0" w:type="dxa"/>
              <w:bottom w:w="40" w:type="dxa"/>
              <w:right w:w="20" w:type="dxa"/>
            </w:tcMar>
            <w:vAlign w:val="bottom"/>
          </w:tcPr>
          <w:p w14:paraId="27E08D45" w14:textId="77777777" w:rsidR="00A85061" w:rsidRDefault="00A85061">
            <w:pPr>
              <w:jc w:val="right"/>
              <w:rPr>
                <w:rFonts w:ascii="宋体"/>
              </w:rPr>
            </w:pPr>
          </w:p>
        </w:tc>
      </w:tr>
    </w:tbl>
    <w:p w14:paraId="27E08D47" w14:textId="77777777" w:rsidR="00A85061" w:rsidRDefault="00F04891">
      <w:pPr>
        <w:spacing w:before="360" w:after="180"/>
        <w:jc w:val="both"/>
      </w:pPr>
      <w:r>
        <w:rPr>
          <w:rFonts w:ascii="sans-serif" w:eastAsia="sans-serif" w:hAnsi="sans-serif" w:cs="sans-serif"/>
          <w:color w:val="000000"/>
          <w:sz w:val="20"/>
          <w:szCs w:val="20"/>
        </w:rPr>
        <w:t>As of May 2, 2021, we had $12.67 billion in cash, cash equivalents and marketable securities, an increase of $1.11 billion from the end of fiscal year 2021. Our investment policy requires the purchase of highly rated fixed income securities, the diversific</w:t>
      </w:r>
      <w:r>
        <w:rPr>
          <w:rFonts w:ascii="sans-serif" w:eastAsia="sans-serif" w:hAnsi="sans-serif" w:cs="sans-serif"/>
          <w:color w:val="000000"/>
          <w:sz w:val="20"/>
          <w:szCs w:val="20"/>
        </w:rPr>
        <w:t xml:space="preserve">ation of investment types and credit exposures, and certain maturity limits on our portfolio. </w:t>
      </w:r>
    </w:p>
    <w:p w14:paraId="27E08D48" w14:textId="77777777" w:rsidR="00A85061" w:rsidRDefault="00F04891">
      <w:pPr>
        <w:spacing w:before="120" w:after="120"/>
        <w:jc w:val="both"/>
      </w:pPr>
      <w:r>
        <w:rPr>
          <w:rFonts w:ascii="sans-serif" w:eastAsia="sans-serif" w:hAnsi="sans-serif" w:cs="sans-serif"/>
          <w:color w:val="000000"/>
          <w:sz w:val="20"/>
          <w:szCs w:val="20"/>
        </w:rPr>
        <w:t>Cash provided by operating activities increased in the first quarter of fiscal year 2022 compared to the first quarter of fiscal year 2021, due to higher net inc</w:t>
      </w:r>
      <w:r>
        <w:rPr>
          <w:rFonts w:ascii="sans-serif" w:eastAsia="sans-serif" w:hAnsi="sans-serif" w:cs="sans-serif"/>
          <w:color w:val="000000"/>
          <w:sz w:val="20"/>
          <w:szCs w:val="20"/>
        </w:rPr>
        <w:t>ome and non-cash adjustments, partially offset by changes in working capital. Changes in working capital include increases in outstanding trade receivables due to higher revenue and corresponding shipment linearity.</w:t>
      </w:r>
    </w:p>
    <w:p w14:paraId="27E08D49" w14:textId="77777777" w:rsidR="00A85061" w:rsidRDefault="00F04891">
      <w:pPr>
        <w:spacing w:before="120" w:after="120"/>
        <w:jc w:val="both"/>
      </w:pPr>
      <w:r>
        <w:rPr>
          <w:rFonts w:ascii="sans-serif" w:eastAsia="sans-serif" w:hAnsi="sans-serif" w:cs="sans-serif"/>
          <w:color w:val="000000"/>
          <w:sz w:val="20"/>
          <w:szCs w:val="20"/>
        </w:rPr>
        <w:t>Cash used in investing activities increa</w:t>
      </w:r>
      <w:r>
        <w:rPr>
          <w:rFonts w:ascii="sans-serif" w:eastAsia="sans-serif" w:hAnsi="sans-serif" w:cs="sans-serif"/>
          <w:color w:val="000000"/>
          <w:sz w:val="20"/>
          <w:szCs w:val="20"/>
        </w:rPr>
        <w:t>sed in the first quarter of fiscal year 2022 compared to cash used in the first quarter of fiscal year 2021, which primarily reflects higher purchases of marketable securities, and higher purchases of property and equipment and intangible assets, offset by</w:t>
      </w:r>
      <w:r>
        <w:rPr>
          <w:rFonts w:ascii="sans-serif" w:eastAsia="sans-serif" w:hAnsi="sans-serif" w:cs="sans-serif"/>
          <w:color w:val="000000"/>
          <w:sz w:val="20"/>
          <w:szCs w:val="20"/>
        </w:rPr>
        <w:t xml:space="preserve"> higher sales and maturities of marketable securities.</w:t>
      </w:r>
    </w:p>
    <w:p w14:paraId="27E08D4A" w14:textId="77777777" w:rsidR="00A85061" w:rsidRDefault="00F04891">
      <w:pPr>
        <w:spacing w:before="120" w:after="120"/>
        <w:jc w:val="both"/>
      </w:pPr>
      <w:r>
        <w:rPr>
          <w:rFonts w:ascii="sans-serif" w:eastAsia="sans-serif" w:hAnsi="sans-serif" w:cs="sans-serif"/>
          <w:color w:val="000000"/>
          <w:sz w:val="20"/>
          <w:szCs w:val="20"/>
        </w:rPr>
        <w:t xml:space="preserve">Cash used in financing activities increased in the first quarter of fiscal year 2022 compared to cash provided in the first quarter of fiscal year 2021, which primarily reflects the debt issued in the </w:t>
      </w:r>
      <w:r>
        <w:rPr>
          <w:rFonts w:ascii="sans-serif" w:eastAsia="sans-serif" w:hAnsi="sans-serif" w:cs="sans-serif"/>
          <w:color w:val="000000"/>
          <w:sz w:val="20"/>
          <w:szCs w:val="20"/>
        </w:rPr>
        <w:t>first quarter of fiscal year 2021 and higher payments related to tax on restricted stock units.</w:t>
      </w:r>
    </w:p>
    <w:p w14:paraId="27E08D4B" w14:textId="77777777" w:rsidR="00A85061" w:rsidRDefault="00F04891">
      <w:pPr>
        <w:spacing w:after="180"/>
        <w:jc w:val="both"/>
      </w:pPr>
      <w:r>
        <w:rPr>
          <w:rFonts w:ascii="sans-serif" w:eastAsia="sans-serif" w:hAnsi="sans-serif" w:cs="sans-serif"/>
          <w:b/>
          <w:bCs/>
          <w:color w:val="000000"/>
          <w:sz w:val="20"/>
          <w:szCs w:val="20"/>
        </w:rPr>
        <w:t>Liquidity</w:t>
      </w:r>
    </w:p>
    <w:p w14:paraId="27E08D4C" w14:textId="77777777" w:rsidR="00A85061" w:rsidRDefault="00F04891">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May 2, 2021, we had $12.67 billion in cash, cash equivalents, and marketable securities. Our marketable securitie</w:t>
      </w:r>
      <w:r>
        <w:rPr>
          <w:rFonts w:ascii="sans-serif" w:eastAsia="sans-serif" w:hAnsi="sans-serif" w:cs="sans-serif"/>
          <w:color w:val="000000"/>
          <w:sz w:val="20"/>
          <w:szCs w:val="20"/>
        </w:rPr>
        <w:t>s consist of certificates of deposits and debt securities issued by the U.S. government and its agencies, highly rated corporations and financial institutions, and foreign government entities. These marketable securities are primarily denominated in U.S. d</w:t>
      </w:r>
      <w:r>
        <w:rPr>
          <w:rFonts w:ascii="sans-serif" w:eastAsia="sans-serif" w:hAnsi="sans-serif" w:cs="sans-serif"/>
          <w:color w:val="000000"/>
          <w:sz w:val="20"/>
          <w:szCs w:val="20"/>
        </w:rPr>
        <w:t>ollars. Refer to Note 7 of the Notes to Condensed Consolidated Financial Statements for additional information. We believe that we have sufficient liquidity to meet our operating requirements for at least the next 12 months, including our proposed acquisit</w:t>
      </w:r>
      <w:r>
        <w:rPr>
          <w:rFonts w:ascii="sans-serif" w:eastAsia="sans-serif" w:hAnsi="sans-serif" w:cs="sans-serif"/>
          <w:color w:val="000000"/>
          <w:sz w:val="20"/>
          <w:szCs w:val="20"/>
        </w:rPr>
        <w:t xml:space="preserve">ion of Arm. We continuously evaluate our liquidity and </w:t>
      </w:r>
    </w:p>
    <w:p w14:paraId="27E08D4D" w14:textId="77777777" w:rsidR="00A85061" w:rsidRDefault="00F04891">
      <w:pPr>
        <w:spacing w:after="180"/>
        <w:jc w:val="center"/>
      </w:pPr>
      <w:r>
        <w:rPr>
          <w:rFonts w:ascii="sans-serif" w:eastAsia="sans-serif" w:hAnsi="sans-serif" w:cs="sans-serif"/>
          <w:color w:val="000000"/>
          <w:sz w:val="20"/>
          <w:szCs w:val="20"/>
        </w:rPr>
        <w:t>29</w:t>
      </w:r>
    </w:p>
    <w:p w14:paraId="27E08D4E" w14:textId="77777777" w:rsidR="00A85061" w:rsidRDefault="00F04891">
      <w:r>
        <w:pict w14:anchorId="27E08F0E">
          <v:rect id="_x0000_i1053" style="width:415.3pt;height:1.5pt" o:hralign="center" o:hrstd="t" o:hr="t" fillcolor="#a0a0a0" stroked="f"/>
        </w:pict>
      </w:r>
    </w:p>
    <w:p w14:paraId="27E08D4F" w14:textId="77777777" w:rsidR="00A85061" w:rsidRDefault="00A85061">
      <w:pPr>
        <w:spacing w:after="180"/>
        <w:jc w:val="both"/>
      </w:pPr>
    </w:p>
    <w:p w14:paraId="27E08D50" w14:textId="77777777" w:rsidR="00A85061" w:rsidRDefault="00A85061">
      <w:pPr>
        <w:spacing w:after="180"/>
        <w:jc w:val="both"/>
      </w:pPr>
    </w:p>
    <w:p w14:paraId="27E08D51" w14:textId="77777777" w:rsidR="00A85061" w:rsidRDefault="00A85061">
      <w:pPr>
        <w:spacing w:after="180"/>
        <w:jc w:val="both"/>
      </w:pPr>
    </w:p>
    <w:p w14:paraId="27E08D52" w14:textId="77777777" w:rsidR="00A85061" w:rsidRDefault="00F04891">
      <w:pPr>
        <w:spacing w:after="180"/>
        <w:jc w:val="both"/>
      </w:pPr>
      <w:r>
        <w:rPr>
          <w:rFonts w:ascii="sans-serif" w:eastAsia="sans-serif" w:hAnsi="sans-serif" w:cs="sans-serif"/>
          <w:color w:val="000000"/>
          <w:sz w:val="20"/>
          <w:szCs w:val="20"/>
        </w:rPr>
        <w:t xml:space="preserve">capital resources, including our access to external capital, to ensure we can adequately and efficiently finance our capital requirements beyond 12 months. </w:t>
      </w:r>
    </w:p>
    <w:p w14:paraId="27E08D53" w14:textId="77777777" w:rsidR="00A85061" w:rsidRDefault="00F04891">
      <w:pPr>
        <w:spacing w:after="180"/>
        <w:jc w:val="both"/>
      </w:pPr>
      <w:r>
        <w:rPr>
          <w:rFonts w:ascii="sans-serif" w:eastAsia="sans-serif" w:hAnsi="sans-serif" w:cs="sans-serif"/>
          <w:color w:val="000000"/>
          <w:sz w:val="20"/>
          <w:szCs w:val="20"/>
        </w:rPr>
        <w:t xml:space="preserve">We have approximately $1.5 billion </w:t>
      </w:r>
      <w:r>
        <w:rPr>
          <w:rFonts w:ascii="sans-serif" w:eastAsia="sans-serif" w:hAnsi="sans-serif" w:cs="sans-serif"/>
          <w:color w:val="000000"/>
          <w:sz w:val="20"/>
          <w:szCs w:val="20"/>
        </w:rPr>
        <w:t>of cash, cash equivalents, and marketable securities held outside the U.S. for which we have not accrued any related foreign or state taxes if we repatriate these amounts to the U.S. Other than that, substantially all of our cash, cash equivalents and mark</w:t>
      </w:r>
      <w:r>
        <w:rPr>
          <w:rFonts w:ascii="sans-serif" w:eastAsia="sans-serif" w:hAnsi="sans-serif" w:cs="sans-serif"/>
          <w:color w:val="000000"/>
          <w:sz w:val="20"/>
          <w:szCs w:val="20"/>
        </w:rPr>
        <w:t>etable securities held outside of the U.S. as of May 2, 2021 are available for use in the U.S. without incurring additional U.S. federal income taxes.</w:t>
      </w:r>
    </w:p>
    <w:p w14:paraId="27E08D54" w14:textId="77777777" w:rsidR="00A85061" w:rsidRDefault="00F04891">
      <w:pPr>
        <w:spacing w:before="120" w:after="120"/>
        <w:jc w:val="both"/>
      </w:pPr>
      <w:r>
        <w:rPr>
          <w:rFonts w:ascii="sans-serif" w:eastAsia="sans-serif" w:hAnsi="sans-serif" w:cs="sans-serif"/>
          <w:b/>
          <w:bCs/>
          <w:color w:val="000000"/>
          <w:sz w:val="20"/>
          <w:szCs w:val="20"/>
        </w:rPr>
        <w:t>Capital Return to Shareholders</w:t>
      </w:r>
    </w:p>
    <w:p w14:paraId="27E08D55" w14:textId="77777777" w:rsidR="00A85061" w:rsidRDefault="00F04891">
      <w:pPr>
        <w:spacing w:before="120" w:after="120"/>
        <w:jc w:val="both"/>
      </w:pPr>
      <w:r>
        <w:rPr>
          <w:rFonts w:ascii="sans-serif" w:eastAsia="sans-serif" w:hAnsi="sans-serif" w:cs="sans-serif"/>
          <w:color w:val="000000"/>
          <w:sz w:val="20"/>
          <w:szCs w:val="20"/>
        </w:rPr>
        <w:t>In the first quarter of fiscal year 2022, we paid $99 million in quarterly</w:t>
      </w:r>
      <w:r>
        <w:rPr>
          <w:rFonts w:ascii="sans-serif" w:eastAsia="sans-serif" w:hAnsi="sans-serif" w:cs="sans-serif"/>
          <w:color w:val="000000"/>
          <w:sz w:val="20"/>
          <w:szCs w:val="20"/>
        </w:rPr>
        <w:t xml:space="preserve"> cash dividends. Our cash dividend program and the payment of future cash dividends under that program are subject to the continuing determination by our Board of Directors that the dividend program and the declaration of dividends thereunder are in the be</w:t>
      </w:r>
      <w:r>
        <w:rPr>
          <w:rFonts w:ascii="sans-serif" w:eastAsia="sans-serif" w:hAnsi="sans-serif" w:cs="sans-serif"/>
          <w:color w:val="000000"/>
          <w:sz w:val="20"/>
          <w:szCs w:val="20"/>
        </w:rPr>
        <w:t xml:space="preserve">st interests of our shareholders. </w:t>
      </w:r>
    </w:p>
    <w:p w14:paraId="27E08D56" w14:textId="77777777" w:rsidR="00A85061" w:rsidRDefault="00F04891">
      <w:pPr>
        <w:spacing w:before="120" w:after="120"/>
        <w:jc w:val="both"/>
      </w:pPr>
      <w:r>
        <w:rPr>
          <w:rFonts w:ascii="sans-serif" w:eastAsia="sans-serif" w:hAnsi="sans-serif" w:cs="sans-serif"/>
          <w:color w:val="000000"/>
          <w:sz w:val="20"/>
          <w:szCs w:val="20"/>
        </w:rPr>
        <w:t>As of May 2, 2021, we were authorized, subject to certain specifications, to repurchase additional shares of our common stock up to $7.24 billion through December 2022. We did not repurchase any shares during the first qu</w:t>
      </w:r>
      <w:r>
        <w:rPr>
          <w:rFonts w:ascii="sans-serif" w:eastAsia="sans-serif" w:hAnsi="sans-serif" w:cs="sans-serif"/>
          <w:color w:val="000000"/>
          <w:sz w:val="20"/>
          <w:szCs w:val="20"/>
        </w:rPr>
        <w:t>arter of fiscal year 2022.</w:t>
      </w:r>
    </w:p>
    <w:p w14:paraId="27E08D57" w14:textId="77777777" w:rsidR="00A85061" w:rsidRDefault="00F04891">
      <w:pPr>
        <w:spacing w:after="180"/>
        <w:jc w:val="both"/>
      </w:pPr>
      <w:r>
        <w:rPr>
          <w:rFonts w:ascii="sans-serif" w:eastAsia="sans-serif" w:hAnsi="sans-serif" w:cs="sans-serif"/>
          <w:b/>
          <w:bCs/>
          <w:color w:val="000000"/>
          <w:sz w:val="20"/>
          <w:szCs w:val="20"/>
        </w:rPr>
        <w:t>Outstanding Indebtedness and Credit Facilities</w:t>
      </w:r>
    </w:p>
    <w:p w14:paraId="27E08D58" w14:textId="77777777" w:rsidR="00A85061" w:rsidRDefault="00F04891">
      <w:pPr>
        <w:spacing w:after="180"/>
        <w:jc w:val="both"/>
      </w:pPr>
      <w:r>
        <w:rPr>
          <w:rFonts w:ascii="sans-serif" w:eastAsia="sans-serif" w:hAnsi="sans-serif" w:cs="sans-serif"/>
          <w:color w:val="000000"/>
          <w:sz w:val="20"/>
          <w:szCs w:val="20"/>
        </w:rPr>
        <w:t xml:space="preserve">We have outstanding $1.50 billion of Notes Due 2030, $1.00 billion of Notes Due 2040, $2.00 billion of Notes Due 2050, and $500 million of Notes due 2060, or collectively, the March </w:t>
      </w:r>
      <w:r>
        <w:rPr>
          <w:rFonts w:ascii="sans-serif" w:eastAsia="sans-serif" w:hAnsi="sans-serif" w:cs="sans-serif"/>
          <w:color w:val="000000"/>
          <w:sz w:val="20"/>
          <w:szCs w:val="20"/>
        </w:rPr>
        <w:t>2020 Notes.</w:t>
      </w:r>
    </w:p>
    <w:p w14:paraId="27E08D59" w14:textId="77777777" w:rsidR="00A85061" w:rsidRDefault="00F04891">
      <w:pPr>
        <w:spacing w:after="180"/>
        <w:jc w:val="both"/>
      </w:pPr>
      <w:r>
        <w:rPr>
          <w:rFonts w:ascii="sans-serif" w:eastAsia="sans-serif" w:hAnsi="sans-serif" w:cs="sans-serif"/>
          <w:color w:val="000000"/>
          <w:sz w:val="20"/>
          <w:szCs w:val="20"/>
        </w:rPr>
        <w:t>We have outstanding $1.00 billion of Notes due 2021 and $1.00 billion of Notes due 2026, or collectively, the September 2016 Notes.</w:t>
      </w:r>
    </w:p>
    <w:p w14:paraId="27E08D5A" w14:textId="77777777" w:rsidR="00A85061" w:rsidRDefault="00F04891">
      <w:pPr>
        <w:spacing w:after="180"/>
        <w:jc w:val="both"/>
      </w:pPr>
      <w:r>
        <w:rPr>
          <w:rFonts w:ascii="sans-serif" w:eastAsia="sans-serif" w:hAnsi="sans-serif" w:cs="sans-serif"/>
          <w:color w:val="000000"/>
          <w:sz w:val="20"/>
          <w:szCs w:val="20"/>
        </w:rPr>
        <w:t>We have a Credit Agreement under which we may borrow up to $575 million for general corporate purposes and can o</w:t>
      </w:r>
      <w:r>
        <w:rPr>
          <w:rFonts w:ascii="sans-serif" w:eastAsia="sans-serif" w:hAnsi="sans-serif" w:cs="sans-serif"/>
          <w:color w:val="000000"/>
          <w:sz w:val="20"/>
          <w:szCs w:val="20"/>
        </w:rPr>
        <w:t>btain revolving loan commitments up to $425 million. As of May 2, 2021, we had not borrowed any amounts under this agreement. The Credit Agreement expires October 2021.</w:t>
      </w:r>
    </w:p>
    <w:p w14:paraId="27E08D5B" w14:textId="77777777" w:rsidR="00A85061" w:rsidRDefault="00F04891">
      <w:pPr>
        <w:spacing w:before="120" w:after="120"/>
        <w:jc w:val="both"/>
      </w:pPr>
      <w:r>
        <w:rPr>
          <w:rFonts w:ascii="sans-serif" w:eastAsia="sans-serif" w:hAnsi="sans-serif" w:cs="sans-serif"/>
          <w:color w:val="000000"/>
          <w:sz w:val="20"/>
          <w:szCs w:val="20"/>
        </w:rPr>
        <w:t xml:space="preserve">We have a $575 million commercial paper program to support general corporate purposes. </w:t>
      </w:r>
      <w:r>
        <w:rPr>
          <w:rFonts w:ascii="sans-serif" w:eastAsia="sans-serif" w:hAnsi="sans-serif" w:cs="sans-serif"/>
          <w:color w:val="000000"/>
          <w:sz w:val="20"/>
          <w:szCs w:val="20"/>
        </w:rPr>
        <w:t>As of May 2, 2021, we had not issued any commercial paper.</w:t>
      </w:r>
    </w:p>
    <w:p w14:paraId="27E08D5C" w14:textId="77777777" w:rsidR="00A85061" w:rsidRDefault="00F04891">
      <w:pPr>
        <w:spacing w:after="180"/>
        <w:jc w:val="both"/>
      </w:pPr>
      <w:r>
        <w:rPr>
          <w:rFonts w:ascii="sans-serif" w:eastAsia="sans-serif" w:hAnsi="sans-serif" w:cs="sans-serif"/>
          <w:b/>
          <w:bCs/>
          <w:color w:val="000000"/>
          <w:sz w:val="20"/>
          <w:szCs w:val="20"/>
        </w:rPr>
        <w:t>Contractual Obligations</w:t>
      </w:r>
    </w:p>
    <w:p w14:paraId="27E08D5D" w14:textId="77777777" w:rsidR="00A85061" w:rsidRDefault="00F04891">
      <w:pPr>
        <w:spacing w:after="180"/>
        <w:jc w:val="both"/>
      </w:pPr>
      <w:r>
        <w:rPr>
          <w:rFonts w:ascii="sans-serif" w:eastAsia="sans-serif" w:hAnsi="sans-serif" w:cs="sans-serif"/>
          <w:color w:val="000000"/>
          <w:sz w:val="20"/>
          <w:szCs w:val="20"/>
        </w:rPr>
        <w:t>There were no material changes outside the ordinary course of business in our contractual obligations from those disclosed in our Annual Report on Form 10-K for the fiscal y</w:t>
      </w:r>
      <w:r>
        <w:rPr>
          <w:rFonts w:ascii="sans-serif" w:eastAsia="sans-serif" w:hAnsi="sans-serif" w:cs="sans-serif"/>
          <w:color w:val="000000"/>
          <w:sz w:val="20"/>
          <w:szCs w:val="20"/>
        </w:rPr>
        <w:t>ear ended January 31, 2021. Refer to Item 7, “Management’s Discussion and Analysis of Financial Condition and Results of Operations - Liquidity and Capital Resources” in our Annual Report on Form 10-K for the fiscal year ended January 31, 2021 for a descri</w:t>
      </w:r>
      <w:r>
        <w:rPr>
          <w:rFonts w:ascii="sans-serif" w:eastAsia="sans-serif" w:hAnsi="sans-serif" w:cs="sans-serif"/>
          <w:color w:val="000000"/>
          <w:sz w:val="20"/>
          <w:szCs w:val="20"/>
        </w:rPr>
        <w:t>ption of our contractual obligations. For a description of our operating lease obligations, long-term debt, and purchase obligations, refer to Note 3, Note 12, and Note 13 of the Notes to Condensed Consolidated Financial Statements, respectively.</w:t>
      </w:r>
    </w:p>
    <w:p w14:paraId="27E08D5E" w14:textId="77777777" w:rsidR="00A85061" w:rsidRDefault="00F04891">
      <w:pPr>
        <w:spacing w:before="240" w:after="120"/>
        <w:jc w:val="both"/>
      </w:pPr>
      <w:r>
        <w:rPr>
          <w:rFonts w:ascii="sans-serif" w:eastAsia="sans-serif" w:hAnsi="sans-serif" w:cs="sans-serif"/>
          <w:b/>
          <w:bCs/>
          <w:color w:val="76B900"/>
          <w:sz w:val="22"/>
          <w:szCs w:val="22"/>
        </w:rPr>
        <w:t xml:space="preserve">Adoption </w:t>
      </w:r>
      <w:r>
        <w:rPr>
          <w:rFonts w:ascii="sans-serif" w:eastAsia="sans-serif" w:hAnsi="sans-serif" w:cs="sans-serif"/>
          <w:b/>
          <w:bCs/>
          <w:color w:val="76B900"/>
          <w:sz w:val="22"/>
          <w:szCs w:val="22"/>
        </w:rPr>
        <w:t>of New and Recently Issued Accounting Pronouncements</w:t>
      </w:r>
    </w:p>
    <w:p w14:paraId="27E08D5F" w14:textId="77777777" w:rsidR="00A85061" w:rsidRDefault="00F04891">
      <w:pPr>
        <w:spacing w:after="180"/>
        <w:jc w:val="both"/>
      </w:pPr>
      <w:r>
        <w:rPr>
          <w:rFonts w:ascii="sans-serif" w:eastAsia="sans-serif" w:hAnsi="sans-serif" w:cs="sans-serif"/>
          <w:color w:val="000000"/>
          <w:sz w:val="20"/>
          <w:szCs w:val="20"/>
        </w:rPr>
        <w:t>Refer to Note 1 of the Notes to Condensed Consolidated Financial Statements for a discussion of adoption of new and recently issued accounting pronouncements.</w:t>
      </w:r>
    </w:p>
    <w:p w14:paraId="27E08D60" w14:textId="77777777" w:rsidR="00A85061" w:rsidRDefault="00F04891">
      <w:pPr>
        <w:spacing w:before="240" w:after="120"/>
        <w:jc w:val="both"/>
      </w:pPr>
      <w:r>
        <w:rPr>
          <w:rFonts w:ascii="sans-serif" w:eastAsia="sans-serif" w:hAnsi="sans-serif" w:cs="sans-serif"/>
          <w:b/>
          <w:bCs/>
          <w:color w:val="76B900"/>
          <w:sz w:val="22"/>
          <w:szCs w:val="22"/>
        </w:rPr>
        <w:t xml:space="preserve">ITEM 3. QUANTITATIVE AND </w:t>
      </w:r>
      <w:r>
        <w:rPr>
          <w:rFonts w:ascii="sans-serif" w:eastAsia="sans-serif" w:hAnsi="sans-serif" w:cs="sans-serif"/>
          <w:b/>
          <w:bCs/>
          <w:color w:val="76B900"/>
          <w:sz w:val="22"/>
          <w:szCs w:val="22"/>
        </w:rPr>
        <w:t>QUALITATIVE DISCLOSURES ABOUT MARKET RISK</w:t>
      </w:r>
    </w:p>
    <w:p w14:paraId="27E08D61" w14:textId="77777777" w:rsidR="00A85061" w:rsidRDefault="00F04891">
      <w:pPr>
        <w:spacing w:before="240" w:after="60"/>
        <w:jc w:val="both"/>
      </w:pPr>
      <w:r>
        <w:rPr>
          <w:rFonts w:ascii="sans-serif" w:eastAsia="sans-serif" w:hAnsi="sans-serif" w:cs="sans-serif"/>
          <w:b/>
          <w:bCs/>
          <w:color w:val="76B900"/>
          <w:sz w:val="20"/>
          <w:szCs w:val="20"/>
        </w:rPr>
        <w:t>Investment and Interest Rate Risk</w:t>
      </w:r>
    </w:p>
    <w:p w14:paraId="27E08D62" w14:textId="77777777" w:rsidR="00A85061" w:rsidRDefault="00F04891">
      <w:pPr>
        <w:spacing w:after="180"/>
        <w:jc w:val="both"/>
      </w:pPr>
      <w:r>
        <w:rPr>
          <w:rFonts w:ascii="sans-serif" w:eastAsia="sans-serif" w:hAnsi="sans-serif" w:cs="sans-serif"/>
          <w:color w:val="000000"/>
          <w:sz w:val="20"/>
          <w:szCs w:val="20"/>
        </w:rPr>
        <w:t>Financial market risks related to investment and interest rate risk are described in our Annual Report on Form 10-K for the fiscal year ended January 31, 2021. As of May 2, 2021, t</w:t>
      </w:r>
      <w:r>
        <w:rPr>
          <w:rFonts w:ascii="sans-serif" w:eastAsia="sans-serif" w:hAnsi="sans-serif" w:cs="sans-serif"/>
          <w:color w:val="000000"/>
          <w:sz w:val="20"/>
          <w:szCs w:val="20"/>
        </w:rPr>
        <w:t>here have been no material changes, including the impact of the COVID-19 pandemic, to the financial market risks described as of January 31, 2021.</w:t>
      </w:r>
    </w:p>
    <w:p w14:paraId="27E08D63" w14:textId="77777777" w:rsidR="00A85061" w:rsidRDefault="00F04891">
      <w:pPr>
        <w:spacing w:before="240" w:after="60"/>
        <w:jc w:val="both"/>
      </w:pPr>
      <w:r>
        <w:rPr>
          <w:rFonts w:ascii="sans-serif" w:eastAsia="sans-serif" w:hAnsi="sans-serif" w:cs="sans-serif"/>
          <w:b/>
          <w:bCs/>
          <w:color w:val="76B900"/>
          <w:sz w:val="20"/>
          <w:szCs w:val="20"/>
        </w:rPr>
        <w:t xml:space="preserve">Foreign Exchange Rate Risk </w:t>
      </w:r>
    </w:p>
    <w:p w14:paraId="27E08D64" w14:textId="77777777" w:rsidR="00A85061" w:rsidRDefault="00F04891">
      <w:pPr>
        <w:spacing w:after="180"/>
        <w:jc w:val="both"/>
      </w:pPr>
      <w:r>
        <w:rPr>
          <w:rFonts w:ascii="sans-serif" w:eastAsia="sans-serif" w:hAnsi="sans-serif" w:cs="sans-serif"/>
          <w:color w:val="000000"/>
          <w:sz w:val="20"/>
          <w:szCs w:val="20"/>
        </w:rPr>
        <w:t xml:space="preserve">The impact of foreign currency transactions related to foreign exchange rate </w:t>
      </w:r>
      <w:r>
        <w:rPr>
          <w:rFonts w:ascii="sans-serif" w:eastAsia="sans-serif" w:hAnsi="sans-serif" w:cs="sans-serif"/>
          <w:color w:val="000000"/>
          <w:sz w:val="20"/>
          <w:szCs w:val="20"/>
        </w:rPr>
        <w:t>risk is described in our Annual Report on Form 10-K for the fiscal year ended January 31, 2021. As of May 2, 2021, there have been no material changes, including the impact of the COVID-19 pandemic, to the foreign exchange rate risks described as of Januar</w:t>
      </w:r>
      <w:r>
        <w:rPr>
          <w:rFonts w:ascii="sans-serif" w:eastAsia="sans-serif" w:hAnsi="sans-serif" w:cs="sans-serif"/>
          <w:color w:val="000000"/>
          <w:sz w:val="20"/>
          <w:szCs w:val="20"/>
        </w:rPr>
        <w:t>y 31, 2021.</w:t>
      </w:r>
    </w:p>
    <w:p w14:paraId="27E08D65" w14:textId="77777777" w:rsidR="00A85061" w:rsidRDefault="00F04891">
      <w:pPr>
        <w:spacing w:after="180"/>
        <w:jc w:val="both"/>
      </w:pPr>
      <w:r>
        <w:rPr>
          <w:rFonts w:ascii="sans-serif" w:eastAsia="sans-serif" w:hAnsi="sans-serif" w:cs="sans-serif"/>
          <w:color w:val="000000"/>
          <w:sz w:val="20"/>
          <w:szCs w:val="20"/>
        </w:rPr>
        <w:t>Refer to Note 11 of the Notes to Condensed Consolidated Financial Statements for additional information.</w:t>
      </w:r>
    </w:p>
    <w:p w14:paraId="27E08D66" w14:textId="77777777" w:rsidR="00A85061" w:rsidRDefault="00F04891">
      <w:pPr>
        <w:spacing w:after="180"/>
        <w:jc w:val="center"/>
      </w:pPr>
      <w:r>
        <w:rPr>
          <w:rFonts w:ascii="sans-serif" w:eastAsia="sans-serif" w:hAnsi="sans-serif" w:cs="sans-serif"/>
          <w:color w:val="000000"/>
          <w:sz w:val="20"/>
          <w:szCs w:val="20"/>
        </w:rPr>
        <w:t>30</w:t>
      </w:r>
    </w:p>
    <w:p w14:paraId="27E08D67" w14:textId="77777777" w:rsidR="00A85061" w:rsidRDefault="00F04891">
      <w:r>
        <w:pict w14:anchorId="27E08F0F">
          <v:rect id="_x0000_i1054" style="width:415.3pt;height:1.5pt" o:hralign="center" o:hrstd="t" o:hr="t" fillcolor="#a0a0a0" stroked="f"/>
        </w:pict>
      </w:r>
    </w:p>
    <w:p w14:paraId="27E08D68" w14:textId="77777777" w:rsidR="00A85061" w:rsidRDefault="00A85061">
      <w:pPr>
        <w:spacing w:after="180"/>
        <w:jc w:val="both"/>
      </w:pPr>
    </w:p>
    <w:p w14:paraId="27E08D69" w14:textId="77777777" w:rsidR="00A85061" w:rsidRDefault="00A85061">
      <w:pPr>
        <w:spacing w:after="180"/>
        <w:jc w:val="both"/>
      </w:pPr>
    </w:p>
    <w:p w14:paraId="27E08D6A" w14:textId="77777777" w:rsidR="00A85061" w:rsidRDefault="00A85061">
      <w:pPr>
        <w:spacing w:after="180"/>
        <w:jc w:val="both"/>
      </w:pPr>
    </w:p>
    <w:p w14:paraId="27E08D6B" w14:textId="77777777" w:rsidR="00A85061" w:rsidRDefault="00F04891">
      <w:pPr>
        <w:spacing w:before="240" w:after="120"/>
        <w:jc w:val="both"/>
      </w:pPr>
      <w:r>
        <w:rPr>
          <w:rFonts w:ascii="sans-serif" w:eastAsia="sans-serif" w:hAnsi="sans-serif" w:cs="sans-serif"/>
          <w:b/>
          <w:bCs/>
          <w:color w:val="76B900"/>
          <w:sz w:val="22"/>
          <w:szCs w:val="22"/>
        </w:rPr>
        <w:t>ITEM 4. CONTROLS AND PROCEDURES</w:t>
      </w:r>
    </w:p>
    <w:p w14:paraId="27E08D6C" w14:textId="77777777" w:rsidR="00A85061" w:rsidRDefault="00F04891">
      <w:pPr>
        <w:spacing w:before="240" w:after="60"/>
        <w:jc w:val="both"/>
      </w:pPr>
      <w:r>
        <w:rPr>
          <w:rFonts w:ascii="sans-serif" w:eastAsia="sans-serif" w:hAnsi="sans-serif" w:cs="sans-serif"/>
          <w:b/>
          <w:bCs/>
          <w:color w:val="76B900"/>
          <w:sz w:val="20"/>
          <w:szCs w:val="20"/>
        </w:rPr>
        <w:t>Controls and Procedures</w:t>
      </w:r>
    </w:p>
    <w:p w14:paraId="27E08D6D" w14:textId="77777777" w:rsidR="00A85061" w:rsidRDefault="00F04891">
      <w:pPr>
        <w:spacing w:before="120" w:after="120"/>
        <w:jc w:val="both"/>
      </w:pPr>
      <w:r>
        <w:rPr>
          <w:rFonts w:ascii="sans-serif" w:eastAsia="sans-serif" w:hAnsi="sans-serif" w:cs="sans-serif"/>
          <w:b/>
          <w:bCs/>
          <w:color w:val="000000"/>
          <w:sz w:val="20"/>
          <w:szCs w:val="20"/>
        </w:rPr>
        <w:t>Disclosure Controls and Procedures</w:t>
      </w:r>
    </w:p>
    <w:p w14:paraId="27E08D6E" w14:textId="77777777" w:rsidR="00A85061" w:rsidRDefault="00F04891">
      <w:pPr>
        <w:spacing w:after="180"/>
        <w:jc w:val="both"/>
      </w:pPr>
      <w:r>
        <w:rPr>
          <w:rFonts w:ascii="sans-serif" w:eastAsia="sans-serif" w:hAnsi="sans-serif" w:cs="sans-serif"/>
          <w:color w:val="000000"/>
          <w:sz w:val="20"/>
          <w:szCs w:val="20"/>
        </w:rPr>
        <w:t>Based on their evaluation as of May 2, 2</w:t>
      </w:r>
      <w:r>
        <w:rPr>
          <w:rFonts w:ascii="sans-serif" w:eastAsia="sans-serif" w:hAnsi="sans-serif" w:cs="sans-serif"/>
          <w:color w:val="000000"/>
          <w:sz w:val="20"/>
          <w:szCs w:val="20"/>
        </w:rPr>
        <w:t>021, our management, including our Chief Executive Officer and Chief Financial Officer, has concluded that our disclosure controls and procedures (as defined in Rule 13a-15(e) under the Securities Exchange Act of 1934, as amended) were effective to provide</w:t>
      </w:r>
      <w:r>
        <w:rPr>
          <w:rFonts w:ascii="sans-serif" w:eastAsia="sans-serif" w:hAnsi="sans-serif" w:cs="sans-serif"/>
          <w:color w:val="000000"/>
          <w:sz w:val="20"/>
          <w:szCs w:val="20"/>
        </w:rPr>
        <w:t xml:space="preserve"> reasonable assurance.</w:t>
      </w:r>
    </w:p>
    <w:p w14:paraId="27E08D6F" w14:textId="77777777" w:rsidR="00A85061" w:rsidRDefault="00F04891">
      <w:pPr>
        <w:spacing w:before="120" w:after="120"/>
        <w:jc w:val="both"/>
      </w:pPr>
      <w:r>
        <w:rPr>
          <w:rFonts w:ascii="sans-serif" w:eastAsia="sans-serif" w:hAnsi="sans-serif" w:cs="sans-serif"/>
          <w:b/>
          <w:bCs/>
          <w:color w:val="000000"/>
          <w:sz w:val="20"/>
          <w:szCs w:val="20"/>
        </w:rPr>
        <w:t>Changes in Internal Control Over Financial Reporting</w:t>
      </w:r>
    </w:p>
    <w:p w14:paraId="27E08D70" w14:textId="77777777" w:rsidR="00A85061" w:rsidRDefault="00F04891">
      <w:pPr>
        <w:spacing w:after="180"/>
        <w:jc w:val="both"/>
      </w:pPr>
      <w:r>
        <w:rPr>
          <w:rFonts w:ascii="sans-serif" w:eastAsia="sans-serif" w:hAnsi="sans-serif" w:cs="sans-serif"/>
          <w:color w:val="000000"/>
          <w:sz w:val="20"/>
          <w:szCs w:val="20"/>
        </w:rPr>
        <w:t>There were no changes in our internal control over financial reporting during the first quarter of fiscal year 2022 that have materially affected, or are reasonably likely to mater</w:t>
      </w:r>
      <w:r>
        <w:rPr>
          <w:rFonts w:ascii="sans-serif" w:eastAsia="sans-serif" w:hAnsi="sans-serif" w:cs="sans-serif"/>
          <w:color w:val="000000"/>
          <w:sz w:val="20"/>
          <w:szCs w:val="20"/>
        </w:rPr>
        <w:t xml:space="preserve">ially affect, our internal control over financial reporting. </w:t>
      </w:r>
    </w:p>
    <w:p w14:paraId="27E08D71" w14:textId="77777777" w:rsidR="00A85061" w:rsidRDefault="00F04891">
      <w:pPr>
        <w:spacing w:before="120" w:after="120"/>
        <w:jc w:val="both"/>
      </w:pPr>
      <w:r>
        <w:rPr>
          <w:rFonts w:ascii="sans-serif" w:eastAsia="sans-serif" w:hAnsi="sans-serif" w:cs="sans-serif"/>
          <w:b/>
          <w:bCs/>
          <w:color w:val="000000"/>
          <w:sz w:val="20"/>
          <w:szCs w:val="20"/>
        </w:rPr>
        <w:t>Inherent Limitations on Effectiveness of Controls</w:t>
      </w:r>
    </w:p>
    <w:p w14:paraId="27E08D72" w14:textId="77777777" w:rsidR="00A85061" w:rsidRDefault="00F04891">
      <w:pPr>
        <w:spacing w:after="180"/>
        <w:jc w:val="both"/>
      </w:pPr>
      <w:r>
        <w:rPr>
          <w:rFonts w:ascii="sans-serif" w:eastAsia="sans-serif" w:hAnsi="sans-serif" w:cs="sans-serif"/>
          <w:color w:val="000000"/>
          <w:sz w:val="20"/>
          <w:szCs w:val="20"/>
        </w:rPr>
        <w:t>Our management, including our Chief Executive Officer and Chief Financial Officer, does not expect that our disclosure controls and procedures o</w:t>
      </w:r>
      <w:r>
        <w:rPr>
          <w:rFonts w:ascii="sans-serif" w:eastAsia="sans-serif" w:hAnsi="sans-serif" w:cs="sans-serif"/>
          <w:color w:val="000000"/>
          <w:sz w:val="20"/>
          <w:szCs w:val="20"/>
        </w:rPr>
        <w:t>r our internal controls, will prevent all error and all fraud. A control system, no matter how well conceived and operated, can provide only reasonable, not absolute, assurance that the objectives of the control system are met. Further, the design of a con</w:t>
      </w:r>
      <w:r>
        <w:rPr>
          <w:rFonts w:ascii="sans-serif" w:eastAsia="sans-serif" w:hAnsi="sans-serif" w:cs="sans-serif"/>
          <w:color w:val="000000"/>
          <w:sz w:val="20"/>
          <w:szCs w:val="20"/>
        </w:rPr>
        <w:t>trol system must reflect the fact that there are resource constraints, and the benefits of controls must be considered relative to their costs. Because of the inherent limitations in all control systems, no evaluation of controls can provide absolute assur</w:t>
      </w:r>
      <w:r>
        <w:rPr>
          <w:rFonts w:ascii="sans-serif" w:eastAsia="sans-serif" w:hAnsi="sans-serif" w:cs="sans-serif"/>
          <w:color w:val="000000"/>
          <w:sz w:val="20"/>
          <w:szCs w:val="20"/>
        </w:rPr>
        <w:t>ance that all control issues and instances of fraud, if any, within NVIDIA have been detected.</w:t>
      </w:r>
    </w:p>
    <w:p w14:paraId="27E08D73" w14:textId="77777777" w:rsidR="00A85061" w:rsidRDefault="00F04891">
      <w:pPr>
        <w:spacing w:before="240" w:after="120"/>
        <w:jc w:val="both"/>
      </w:pPr>
      <w:r>
        <w:rPr>
          <w:rFonts w:ascii="sans-serif" w:eastAsia="sans-serif" w:hAnsi="sans-serif" w:cs="sans-serif"/>
          <w:b/>
          <w:bCs/>
          <w:color w:val="76B900"/>
          <w:sz w:val="22"/>
          <w:szCs w:val="22"/>
        </w:rPr>
        <w:t>PART II. OTHER INFORMATION</w:t>
      </w:r>
    </w:p>
    <w:p w14:paraId="27E08D74" w14:textId="77777777" w:rsidR="00A85061" w:rsidRDefault="00F04891">
      <w:pPr>
        <w:spacing w:before="240" w:after="120"/>
        <w:jc w:val="both"/>
      </w:pPr>
      <w:r>
        <w:rPr>
          <w:rFonts w:ascii="sans-serif" w:eastAsia="sans-serif" w:hAnsi="sans-serif" w:cs="sans-serif"/>
          <w:b/>
          <w:bCs/>
          <w:color w:val="76B900"/>
          <w:sz w:val="22"/>
          <w:szCs w:val="22"/>
        </w:rPr>
        <w:t>ITEM 1. LEGAL PROCEEDINGS</w:t>
      </w:r>
    </w:p>
    <w:p w14:paraId="27E08D75" w14:textId="77777777" w:rsidR="00A85061" w:rsidRDefault="00F04891">
      <w:pPr>
        <w:spacing w:after="180"/>
        <w:jc w:val="both"/>
      </w:pPr>
      <w:r>
        <w:rPr>
          <w:rFonts w:ascii="sans-serif" w:eastAsia="sans-serif" w:hAnsi="sans-serif" w:cs="sans-serif"/>
          <w:color w:val="000000"/>
          <w:sz w:val="20"/>
          <w:szCs w:val="20"/>
        </w:rPr>
        <w:t>Refer to Part I, Item 1, Note 13 of the Notes to Condensed Consolidated Financial Statements for a discussio</w:t>
      </w:r>
      <w:r>
        <w:rPr>
          <w:rFonts w:ascii="sans-serif" w:eastAsia="sans-serif" w:hAnsi="sans-serif" w:cs="sans-serif"/>
          <w:color w:val="000000"/>
          <w:sz w:val="20"/>
          <w:szCs w:val="20"/>
        </w:rPr>
        <w:t>n of significant developments in our legal proceedings since January 31, 2021. Also refer to Item 3, “Legal Proceedings” in our Annual Report on Form 10-K for the fiscal year ended January 31, 2021 for a prior discussion of our legal proceedings.</w:t>
      </w:r>
    </w:p>
    <w:p w14:paraId="27E08D76" w14:textId="77777777" w:rsidR="00A85061" w:rsidRDefault="00F04891">
      <w:pPr>
        <w:spacing w:before="240" w:after="120"/>
        <w:jc w:val="both"/>
      </w:pPr>
      <w:r>
        <w:rPr>
          <w:rFonts w:ascii="sans-serif" w:eastAsia="sans-serif" w:hAnsi="sans-serif" w:cs="sans-serif"/>
          <w:b/>
          <w:bCs/>
          <w:color w:val="76B900"/>
          <w:sz w:val="22"/>
          <w:szCs w:val="22"/>
        </w:rPr>
        <w:t xml:space="preserve">ITEM 1A. </w:t>
      </w:r>
      <w:r>
        <w:rPr>
          <w:rFonts w:ascii="sans-serif" w:eastAsia="sans-serif" w:hAnsi="sans-serif" w:cs="sans-serif"/>
          <w:b/>
          <w:bCs/>
          <w:color w:val="76B900"/>
          <w:sz w:val="22"/>
          <w:szCs w:val="22"/>
        </w:rPr>
        <w:t>RISK FACTORS</w:t>
      </w:r>
    </w:p>
    <w:p w14:paraId="27E08D77" w14:textId="77777777" w:rsidR="00A85061" w:rsidRDefault="00F04891">
      <w:pPr>
        <w:spacing w:after="180"/>
        <w:jc w:val="both"/>
      </w:pPr>
      <w:r>
        <w:rPr>
          <w:rFonts w:ascii="sans-serif" w:eastAsia="sans-serif" w:hAnsi="sans-serif" w:cs="sans-serif"/>
          <w:color w:val="000000"/>
          <w:sz w:val="20"/>
          <w:szCs w:val="20"/>
        </w:rPr>
        <w:t>Other than the risk factors listed below, there have been no material changes from the risk factors previously described under Item 1A of our Annual Report on Form 10-K for the fiscal year ended January 31, 2021.</w:t>
      </w:r>
    </w:p>
    <w:p w14:paraId="27E08D78" w14:textId="77777777" w:rsidR="00A85061" w:rsidRDefault="00F04891">
      <w:pPr>
        <w:spacing w:after="180"/>
        <w:jc w:val="both"/>
      </w:pPr>
      <w:r>
        <w:rPr>
          <w:rFonts w:ascii="sans-serif" w:eastAsia="sans-serif" w:hAnsi="sans-serif" w:cs="sans-serif"/>
          <w:color w:val="000000"/>
          <w:sz w:val="20"/>
          <w:szCs w:val="20"/>
        </w:rPr>
        <w:t>Before you buy our common stoc</w:t>
      </w:r>
      <w:r>
        <w:rPr>
          <w:rFonts w:ascii="sans-serif" w:eastAsia="sans-serif" w:hAnsi="sans-serif" w:cs="sans-serif"/>
          <w:color w:val="000000"/>
          <w:sz w:val="20"/>
          <w:szCs w:val="20"/>
        </w:rPr>
        <w:t>k, you should know that making such an investment involves some risks including, but not limited to, the risks described in Item 1A of our Annual Report on Form 10-K for the fiscal year ended January 31, 2021. Additionally, any one of those risks could har</w:t>
      </w:r>
      <w:r>
        <w:rPr>
          <w:rFonts w:ascii="sans-serif" w:eastAsia="sans-serif" w:hAnsi="sans-serif" w:cs="sans-serif"/>
          <w:color w:val="000000"/>
          <w:sz w:val="20"/>
          <w:szCs w:val="20"/>
        </w:rPr>
        <w:t>m our business, financial condition and results of operations, which could cause our stock price to decline. Additional risks and uncertainties not presently known to us or that we currently deem immaterial may also impair our business operations.</w:t>
      </w:r>
    </w:p>
    <w:p w14:paraId="27E08D79" w14:textId="77777777" w:rsidR="00A85061" w:rsidRDefault="00F04891">
      <w:pPr>
        <w:spacing w:before="120" w:after="120"/>
        <w:jc w:val="both"/>
      </w:pPr>
      <w:r>
        <w:rPr>
          <w:rFonts w:ascii="sans-serif" w:eastAsia="sans-serif" w:hAnsi="sans-serif" w:cs="sans-serif"/>
          <w:b/>
          <w:bCs/>
          <w:color w:val="000000"/>
          <w:sz w:val="20"/>
          <w:szCs w:val="20"/>
        </w:rPr>
        <w:t>The COVI</w:t>
      </w:r>
      <w:r>
        <w:rPr>
          <w:rFonts w:ascii="sans-serif" w:eastAsia="sans-serif" w:hAnsi="sans-serif" w:cs="sans-serif"/>
          <w:b/>
          <w:bCs/>
          <w:color w:val="000000"/>
          <w:sz w:val="20"/>
          <w:szCs w:val="20"/>
        </w:rPr>
        <w:t>D-19 pandemic continues to impact our business and could materially adversely affect our financial condition and results of operations.</w:t>
      </w:r>
    </w:p>
    <w:p w14:paraId="27E08D7A" w14:textId="77777777" w:rsidR="00A85061" w:rsidRDefault="00F04891">
      <w:pPr>
        <w:spacing w:after="180"/>
        <w:jc w:val="both"/>
      </w:pPr>
      <w:r>
        <w:rPr>
          <w:rFonts w:ascii="sans-serif" w:eastAsia="sans-serif" w:hAnsi="sans-serif" w:cs="sans-serif"/>
          <w:color w:val="000000"/>
          <w:sz w:val="20"/>
          <w:szCs w:val="20"/>
        </w:rPr>
        <w:t xml:space="preserve">COVID-19 has spread worldwide, resulting in government authorities implementing numerous measures to try to contain the </w:t>
      </w:r>
      <w:r>
        <w:rPr>
          <w:rFonts w:ascii="sans-serif" w:eastAsia="sans-serif" w:hAnsi="sans-serif" w:cs="sans-serif"/>
          <w:color w:val="000000"/>
          <w:sz w:val="20"/>
          <w:szCs w:val="20"/>
        </w:rPr>
        <w:t>disease, such as travel bans and restrictions, quarantines, shelter-in-place orders and shutdowns. These measures have impacted, and may further impact, our workforce and operations, the operations of our customers and our partners, and those of our respec</w:t>
      </w:r>
      <w:r>
        <w:rPr>
          <w:rFonts w:ascii="sans-serif" w:eastAsia="sans-serif" w:hAnsi="sans-serif" w:cs="sans-serif"/>
          <w:color w:val="000000"/>
          <w:sz w:val="20"/>
          <w:szCs w:val="20"/>
        </w:rPr>
        <w:t>tive vendors and suppliers (including our subcontractors and third-party contract manufacturers). Our critical business operations, including our headquarters, most of our finished goods inventory and many of our key suppliers, are located in regions which</w:t>
      </w:r>
      <w:r>
        <w:rPr>
          <w:rFonts w:ascii="sans-serif" w:eastAsia="sans-serif" w:hAnsi="sans-serif" w:cs="sans-serif"/>
          <w:color w:val="000000"/>
          <w:sz w:val="20"/>
          <w:szCs w:val="20"/>
        </w:rPr>
        <w:t xml:space="preserve"> have been impacted by COVID-19. Our customers and suppliers worldwide have also been affected and may continue to be affected by COVID-19 related restrictions and closures.</w:t>
      </w:r>
    </w:p>
    <w:p w14:paraId="27E08D7B" w14:textId="77777777" w:rsidR="00A85061" w:rsidRDefault="00F04891">
      <w:pPr>
        <w:spacing w:after="180"/>
        <w:jc w:val="both"/>
      </w:pPr>
      <w:r>
        <w:rPr>
          <w:rFonts w:ascii="sans-serif" w:eastAsia="sans-serif" w:hAnsi="sans-serif" w:cs="sans-serif"/>
          <w:color w:val="000000"/>
          <w:sz w:val="20"/>
          <w:szCs w:val="20"/>
        </w:rPr>
        <w:t xml:space="preserve">The COVID-19 pandemic continues to evolve and affect our business and </w:t>
      </w:r>
      <w:r>
        <w:rPr>
          <w:rFonts w:ascii="sans-serif" w:eastAsia="sans-serif" w:hAnsi="sans-serif" w:cs="sans-serif"/>
          <w:color w:val="000000"/>
          <w:sz w:val="20"/>
          <w:szCs w:val="20"/>
        </w:rPr>
        <w:t>financial results and it has increased the duration and impact of economic and demand uncertainty. In the first quarter of fiscal year 2022, our Gaming and Data Center market platforms benefited from stronger demand as people continue to work, learn, and p</w:t>
      </w:r>
      <w:r>
        <w:rPr>
          <w:rFonts w:ascii="sans-serif" w:eastAsia="sans-serif" w:hAnsi="sans-serif" w:cs="sans-serif"/>
          <w:color w:val="000000"/>
          <w:sz w:val="20"/>
          <w:szCs w:val="20"/>
        </w:rPr>
        <w:t>lay from home. In Professional Visualization, notebook workstations continue to benefit from work-from-home trends and desktop workstations have started to recover as employees return onsite in certain markets.</w:t>
      </w:r>
    </w:p>
    <w:p w14:paraId="27E08D7C" w14:textId="77777777" w:rsidR="00A85061" w:rsidRDefault="00F04891">
      <w:pPr>
        <w:spacing w:after="180"/>
        <w:jc w:val="center"/>
      </w:pPr>
      <w:r>
        <w:rPr>
          <w:rFonts w:ascii="sans-serif" w:eastAsia="sans-serif" w:hAnsi="sans-serif" w:cs="sans-serif"/>
          <w:color w:val="000000"/>
          <w:sz w:val="20"/>
          <w:szCs w:val="20"/>
        </w:rPr>
        <w:t>31</w:t>
      </w:r>
    </w:p>
    <w:p w14:paraId="27E08D7D" w14:textId="77777777" w:rsidR="00A85061" w:rsidRDefault="00F04891">
      <w:r>
        <w:pict w14:anchorId="27E08F10">
          <v:rect id="_x0000_i1055" style="width:415.3pt;height:1.5pt" o:hralign="center" o:hrstd="t" o:hr="t" fillcolor="#a0a0a0" stroked="f"/>
        </w:pict>
      </w:r>
    </w:p>
    <w:p w14:paraId="27E08D7E" w14:textId="77777777" w:rsidR="00A85061" w:rsidRDefault="00A85061">
      <w:pPr>
        <w:spacing w:after="180"/>
        <w:jc w:val="both"/>
      </w:pPr>
    </w:p>
    <w:p w14:paraId="27E08D7F" w14:textId="77777777" w:rsidR="00A85061" w:rsidRDefault="00A85061">
      <w:pPr>
        <w:spacing w:after="180"/>
        <w:jc w:val="both"/>
      </w:pPr>
    </w:p>
    <w:p w14:paraId="27E08D80" w14:textId="77777777" w:rsidR="00A85061" w:rsidRDefault="00A85061">
      <w:pPr>
        <w:spacing w:after="180"/>
        <w:jc w:val="both"/>
      </w:pPr>
    </w:p>
    <w:p w14:paraId="27E08D81" w14:textId="77777777" w:rsidR="00A85061" w:rsidRDefault="00F04891">
      <w:pPr>
        <w:spacing w:after="180"/>
        <w:jc w:val="both"/>
      </w:pPr>
      <w:r>
        <w:rPr>
          <w:rFonts w:ascii="sans-serif" w:eastAsia="sans-serif" w:hAnsi="sans-serif" w:cs="sans-serif"/>
          <w:color w:val="000000"/>
          <w:sz w:val="20"/>
          <w:szCs w:val="20"/>
        </w:rPr>
        <w:t>In some regions, markets, or industri</w:t>
      </w:r>
      <w:r>
        <w:rPr>
          <w:rFonts w:ascii="sans-serif" w:eastAsia="sans-serif" w:hAnsi="sans-serif" w:cs="sans-serif"/>
          <w:color w:val="000000"/>
          <w:sz w:val="20"/>
          <w:szCs w:val="20"/>
        </w:rPr>
        <w:t>es, where COVID-19 has driven an increase in sales for our products, the demand may not be sustainable if conditions change. The reopening of offices may also generate demand for our products that may be temporary. Additionally, stronger demand globally ha</w:t>
      </w:r>
      <w:r>
        <w:rPr>
          <w:rFonts w:ascii="sans-serif" w:eastAsia="sans-serif" w:hAnsi="sans-serif" w:cs="sans-serif"/>
          <w:color w:val="000000"/>
          <w:sz w:val="20"/>
          <w:szCs w:val="20"/>
        </w:rPr>
        <w:t xml:space="preserve">s limited the availability of capacity and components in our supply chain, particularly in Gaming, which could cause us to order an excess amount if demand changes, pay higher prices, or limit our ability to obtain supply at necessary levels or at all. As </w:t>
      </w:r>
      <w:r>
        <w:rPr>
          <w:rFonts w:ascii="sans-serif" w:eastAsia="sans-serif" w:hAnsi="sans-serif" w:cs="sans-serif"/>
          <w:color w:val="000000"/>
          <w:sz w:val="20"/>
          <w:szCs w:val="20"/>
        </w:rPr>
        <w:t>the COVID-19 pandemic continues, the timing and overall demand from customers and the availability of supply chain, logistical services and component supply may have a material net negative impact on our business and financial results.</w:t>
      </w:r>
    </w:p>
    <w:p w14:paraId="27E08D82" w14:textId="77777777" w:rsidR="00A85061" w:rsidRDefault="00F04891">
      <w:pPr>
        <w:spacing w:after="180"/>
        <w:jc w:val="both"/>
      </w:pPr>
      <w:r>
        <w:rPr>
          <w:rFonts w:ascii="sans-serif" w:eastAsia="sans-serif" w:hAnsi="sans-serif" w:cs="sans-serif"/>
          <w:color w:val="000000"/>
          <w:sz w:val="20"/>
          <w:szCs w:val="20"/>
        </w:rPr>
        <w:t>The manufacture of p</w:t>
      </w:r>
      <w:r>
        <w:rPr>
          <w:rFonts w:ascii="sans-serif" w:eastAsia="sans-serif" w:hAnsi="sans-serif" w:cs="sans-serif"/>
          <w:color w:val="000000"/>
          <w:sz w:val="20"/>
          <w:szCs w:val="20"/>
        </w:rPr>
        <w:t>roduct components, the final assembly of our products and other critical operations are concentrated in certain geographic locations, including Taiwan, China, Hong Kong, Israel and Korea. A significant portion of our finished goods product distribution occ</w:t>
      </w:r>
      <w:r>
        <w:rPr>
          <w:rFonts w:ascii="sans-serif" w:eastAsia="sans-serif" w:hAnsi="sans-serif" w:cs="sans-serif"/>
          <w:color w:val="000000"/>
          <w:sz w:val="20"/>
          <w:szCs w:val="20"/>
        </w:rPr>
        <w:t>urs through Hong Kong, Israel and Taiwan. Additionally, our headquarters is in California. Each of these countries and locations has been affected by the pandemic and has taken measures to try to contain it, including restrictions on manufacturing faciliti</w:t>
      </w:r>
      <w:r>
        <w:rPr>
          <w:rFonts w:ascii="sans-serif" w:eastAsia="sans-serif" w:hAnsi="sans-serif" w:cs="sans-serif"/>
          <w:color w:val="000000"/>
          <w:sz w:val="20"/>
          <w:szCs w:val="20"/>
        </w:rPr>
        <w:t>es, commerce, travel, on our support operations or workforce, or on our customers, partners, vendors and suppliers. There is considerable uncertainty regarding the impact of such measures and potential future measures. Such measures, as well as restriction</w:t>
      </w:r>
      <w:r>
        <w:rPr>
          <w:rFonts w:ascii="sans-serif" w:eastAsia="sans-serif" w:hAnsi="sans-serif" w:cs="sans-serif"/>
          <w:color w:val="000000"/>
          <w:sz w:val="20"/>
          <w:szCs w:val="20"/>
        </w:rPr>
        <w:t>s on or disruptions of transportation, such as reduced availability or increased cost of air transport, port closures and increased border controls or closures, could limit our capacity to meet customer demand and have a material adverse effect on our fina</w:t>
      </w:r>
      <w:r>
        <w:rPr>
          <w:rFonts w:ascii="sans-serif" w:eastAsia="sans-serif" w:hAnsi="sans-serif" w:cs="sans-serif"/>
          <w:color w:val="000000"/>
          <w:sz w:val="20"/>
          <w:szCs w:val="20"/>
        </w:rPr>
        <w:t>ncial condition and results of operations.</w:t>
      </w:r>
    </w:p>
    <w:p w14:paraId="27E08D83" w14:textId="77777777" w:rsidR="00A85061" w:rsidRDefault="00F04891">
      <w:pPr>
        <w:spacing w:after="180"/>
        <w:jc w:val="both"/>
      </w:pPr>
      <w:r>
        <w:rPr>
          <w:rFonts w:ascii="sans-serif" w:eastAsia="sans-serif" w:hAnsi="sans-serif" w:cs="sans-serif"/>
          <w:color w:val="000000"/>
          <w:sz w:val="20"/>
          <w:szCs w:val="20"/>
        </w:rPr>
        <w:t xml:space="preserve">The spread of COVID-19 has caused us to modify our business practices (including employee travel, mandatory work-from-home policies and cancellation of physical participation in meetings, events and </w:t>
      </w:r>
      <w:r>
        <w:rPr>
          <w:rFonts w:ascii="sans-serif" w:eastAsia="sans-serif" w:hAnsi="sans-serif" w:cs="sans-serif"/>
          <w:color w:val="000000"/>
          <w:sz w:val="20"/>
          <w:szCs w:val="20"/>
        </w:rPr>
        <w:t>conferences), and we may take further actions as required by government authorities and regulations or that we determine are in the best interests of our employees, customers, partners and suppliers. Some regions are easing COVID-19 related restrictions; h</w:t>
      </w:r>
      <w:r>
        <w:rPr>
          <w:rFonts w:ascii="sans-serif" w:eastAsia="sans-serif" w:hAnsi="sans-serif" w:cs="sans-serif"/>
          <w:color w:val="000000"/>
          <w:sz w:val="20"/>
          <w:szCs w:val="20"/>
        </w:rPr>
        <w:t>owever, most of our employees continue to work remotely and we continue to temporarily prohibit most business travel. There is no certainty that such measures will be sufficient to mitigate the risks posed by the disease, and our ability to perform critica</w:t>
      </w:r>
      <w:r>
        <w:rPr>
          <w:rFonts w:ascii="sans-serif" w:eastAsia="sans-serif" w:hAnsi="sans-serif" w:cs="sans-serif"/>
          <w:color w:val="000000"/>
          <w:sz w:val="20"/>
          <w:szCs w:val="20"/>
        </w:rPr>
        <w:t>l functions could be harmed. As our offices begin to reopen, we expect to incur incremental expenses as we resume onsite services and related in-office costs, which could adversely impact our results of operations.</w:t>
      </w:r>
    </w:p>
    <w:p w14:paraId="27E08D84" w14:textId="77777777" w:rsidR="00A85061" w:rsidRDefault="00F04891">
      <w:pPr>
        <w:spacing w:after="180"/>
        <w:jc w:val="both"/>
      </w:pPr>
      <w:r>
        <w:rPr>
          <w:rFonts w:ascii="sans-serif" w:eastAsia="sans-serif" w:hAnsi="sans-serif" w:cs="sans-serif"/>
          <w:color w:val="000000"/>
          <w:sz w:val="20"/>
          <w:szCs w:val="20"/>
        </w:rPr>
        <w:t>While the extent and duration of the COVI</w:t>
      </w:r>
      <w:r>
        <w:rPr>
          <w:rFonts w:ascii="sans-serif" w:eastAsia="sans-serif" w:hAnsi="sans-serif" w:cs="sans-serif"/>
          <w:color w:val="000000"/>
          <w:sz w:val="20"/>
          <w:szCs w:val="20"/>
        </w:rPr>
        <w:t>D-19 pandemic on the global economy and our business is difficult to assess or predict, the pandemic has resulted in, and may continue to result in, significant disruption of global financial markets, which may reduce our ability to access capital or our c</w:t>
      </w:r>
      <w:r>
        <w:rPr>
          <w:rFonts w:ascii="sans-serif" w:eastAsia="sans-serif" w:hAnsi="sans-serif" w:cs="sans-serif"/>
          <w:color w:val="000000"/>
          <w:sz w:val="20"/>
          <w:szCs w:val="20"/>
        </w:rPr>
        <w:t>ustomers’ ability to pay us for past or future purchases, which could negatively affect our liquidity. A recession or financial market correction resulting from the lack of containment and spread of COVID-19 could impact overall technology spending, advers</w:t>
      </w:r>
      <w:r>
        <w:rPr>
          <w:rFonts w:ascii="sans-serif" w:eastAsia="sans-serif" w:hAnsi="sans-serif" w:cs="sans-serif"/>
          <w:color w:val="000000"/>
          <w:sz w:val="20"/>
          <w:szCs w:val="20"/>
        </w:rPr>
        <w:t>ely affecting demand for our products, our business and the value of our common stock.</w:t>
      </w:r>
    </w:p>
    <w:p w14:paraId="27E08D85" w14:textId="77777777" w:rsidR="00A85061" w:rsidRDefault="00F04891">
      <w:pPr>
        <w:spacing w:after="180"/>
        <w:jc w:val="both"/>
      </w:pPr>
      <w:r>
        <w:rPr>
          <w:rFonts w:ascii="sans-serif" w:eastAsia="sans-serif" w:hAnsi="sans-serif" w:cs="sans-serif"/>
          <w:color w:val="000000"/>
          <w:sz w:val="20"/>
          <w:szCs w:val="20"/>
        </w:rPr>
        <w:t>The ultimate impact of the COVID-19 pandemic or a similar health epidemic is highly uncertain and subject to change. The extent of the impact of the COVID-19 pandemic on</w:t>
      </w:r>
      <w:r>
        <w:rPr>
          <w:rFonts w:ascii="sans-serif" w:eastAsia="sans-serif" w:hAnsi="sans-serif" w:cs="sans-serif"/>
          <w:color w:val="000000"/>
          <w:sz w:val="20"/>
          <w:szCs w:val="20"/>
        </w:rPr>
        <w:t xml:space="preserve"> our operational and financial performance, including our ability to execute our business strategies and initiatives in the expected time frame, will depend on future developments, including, but not limited to, the duration and continued spread of the pan</w:t>
      </w:r>
      <w:r>
        <w:rPr>
          <w:rFonts w:ascii="sans-serif" w:eastAsia="sans-serif" w:hAnsi="sans-serif" w:cs="sans-serif"/>
          <w:color w:val="000000"/>
          <w:sz w:val="20"/>
          <w:szCs w:val="20"/>
        </w:rPr>
        <w:t>demic, its severity, the actions to contain the disease or treat its impact, availability of vaccines or other treatments, further related restrictions on travel, and the duration, timing and severity of the impact on customer spending, including any reces</w:t>
      </w:r>
      <w:r>
        <w:rPr>
          <w:rFonts w:ascii="sans-serif" w:eastAsia="sans-serif" w:hAnsi="sans-serif" w:cs="sans-serif"/>
          <w:color w:val="000000"/>
          <w:sz w:val="20"/>
          <w:szCs w:val="20"/>
        </w:rPr>
        <w:t>sion resulting from the pandemic, all of which are uncertain and cannot be predicted. An extended period of global supply chain and economic disruption as a result of the COVID-19 pandemic could have a material negative impact on our business, results of o</w:t>
      </w:r>
      <w:r>
        <w:rPr>
          <w:rFonts w:ascii="sans-serif" w:eastAsia="sans-serif" w:hAnsi="sans-serif" w:cs="sans-serif"/>
          <w:color w:val="000000"/>
          <w:sz w:val="20"/>
          <w:szCs w:val="20"/>
        </w:rPr>
        <w:t>perations, access to sources of liquidity and financial condition, though the full extent and duration is uncertain.</w:t>
      </w:r>
    </w:p>
    <w:p w14:paraId="27E08D86" w14:textId="77777777" w:rsidR="00A85061" w:rsidRDefault="00F04891">
      <w:pPr>
        <w:spacing w:before="120" w:after="120"/>
        <w:jc w:val="both"/>
      </w:pPr>
      <w:r>
        <w:rPr>
          <w:rFonts w:ascii="sans-serif" w:eastAsia="sans-serif" w:hAnsi="sans-serif" w:cs="sans-serif"/>
          <w:b/>
          <w:bCs/>
          <w:color w:val="000000"/>
          <w:sz w:val="20"/>
          <w:szCs w:val="20"/>
        </w:rPr>
        <w:t xml:space="preserve">Our operating results have in the past fluctuated and may in the future fluctuate, and if our operating results are below the expectations </w:t>
      </w:r>
      <w:r>
        <w:rPr>
          <w:rFonts w:ascii="sans-serif" w:eastAsia="sans-serif" w:hAnsi="sans-serif" w:cs="sans-serif"/>
          <w:b/>
          <w:bCs/>
          <w:color w:val="000000"/>
          <w:sz w:val="20"/>
          <w:szCs w:val="20"/>
        </w:rPr>
        <w:t>of securities analysts or investors, our stock price could decline.</w:t>
      </w:r>
    </w:p>
    <w:p w14:paraId="27E08D87" w14:textId="77777777" w:rsidR="00A85061" w:rsidRDefault="00F04891">
      <w:r>
        <w:rPr>
          <w:rFonts w:ascii="sans-serif" w:eastAsia="sans-serif" w:hAnsi="sans-serif" w:cs="sans-serif"/>
          <w:color w:val="000000"/>
          <w:sz w:val="20"/>
          <w:szCs w:val="20"/>
        </w:rPr>
        <w:t xml:space="preserve">Our operating results have in the past fluctuated and may in the future continue to fluctuate due to numerous factors. Therefore, investors should not rely on quarterly comparisons of our </w:t>
      </w:r>
      <w:r>
        <w:rPr>
          <w:rFonts w:ascii="sans-serif" w:eastAsia="sans-serif" w:hAnsi="sans-serif" w:cs="sans-serif"/>
          <w:color w:val="000000"/>
          <w:sz w:val="20"/>
          <w:szCs w:val="20"/>
        </w:rPr>
        <w:t xml:space="preserve">results of operations as an indication of our future performance. Additional factors, other than or in addition to those described elsewhere in these risk factors, that could affect our results of operations in the future include, but are not limited to: </w:t>
      </w:r>
    </w:p>
    <w:p w14:paraId="27E08D88" w14:textId="77777777" w:rsidR="00A85061" w:rsidRDefault="00A85061"/>
    <w:p w14:paraId="27E08D89" w14:textId="77777777" w:rsidR="00A85061" w:rsidRDefault="00F04891">
      <w:pPr>
        <w:spacing w:after="180"/>
        <w:ind w:hanging="360"/>
        <w:jc w:val="both"/>
      </w:pPr>
      <w:r>
        <w:rPr>
          <w:rFonts w:ascii="sans-serif" w:eastAsia="sans-serif" w:hAnsi="sans-serif" w:cs="sans-serif"/>
          <w:color w:val="000000"/>
          <w:sz w:val="20"/>
          <w:szCs w:val="20"/>
        </w:rPr>
        <w:t xml:space="preserve">•our ability to achieve volume production of our next-generation products; </w:t>
      </w:r>
    </w:p>
    <w:p w14:paraId="27E08D8A" w14:textId="77777777" w:rsidR="00A85061" w:rsidRDefault="00F04891">
      <w:pPr>
        <w:spacing w:after="180"/>
        <w:ind w:hanging="360"/>
        <w:jc w:val="both"/>
      </w:pPr>
      <w:r>
        <w:rPr>
          <w:rFonts w:ascii="sans-serif" w:eastAsia="sans-serif" w:hAnsi="sans-serif" w:cs="sans-serif"/>
          <w:color w:val="000000"/>
          <w:sz w:val="20"/>
          <w:szCs w:val="20"/>
        </w:rPr>
        <w:t xml:space="preserve">•our inability to adjust spending to offset revenue shortfalls due to the multi-year development cycle for some of our products and services; </w:t>
      </w:r>
    </w:p>
    <w:p w14:paraId="27E08D8B" w14:textId="77777777" w:rsidR="00A85061" w:rsidRDefault="00F04891">
      <w:pPr>
        <w:spacing w:after="180"/>
        <w:ind w:hanging="360"/>
        <w:jc w:val="both"/>
      </w:pPr>
      <w:r>
        <w:rPr>
          <w:rFonts w:ascii="sans-serif" w:eastAsia="sans-serif" w:hAnsi="sans-serif" w:cs="sans-serif"/>
          <w:color w:val="000000"/>
          <w:sz w:val="20"/>
          <w:szCs w:val="20"/>
        </w:rPr>
        <w:t xml:space="preserve">•fluctuations in the demand for our </w:t>
      </w:r>
      <w:r>
        <w:rPr>
          <w:rFonts w:ascii="sans-serif" w:eastAsia="sans-serif" w:hAnsi="sans-serif" w:cs="sans-serif"/>
          <w:color w:val="000000"/>
          <w:sz w:val="20"/>
          <w:szCs w:val="20"/>
        </w:rPr>
        <w:t>products related to cryptocurrencies and COVID-19, as discussed further in the risk factor “If we fail to estimate customer demand properly, our financial results could be harmed” in Item 1A of our Annual Report on Form 10-K for the fiscal year ended Janua</w:t>
      </w:r>
      <w:r>
        <w:rPr>
          <w:rFonts w:ascii="sans-serif" w:eastAsia="sans-serif" w:hAnsi="sans-serif" w:cs="sans-serif"/>
          <w:color w:val="000000"/>
          <w:sz w:val="20"/>
          <w:szCs w:val="20"/>
        </w:rPr>
        <w:t>ry 31, 2021;</w:t>
      </w:r>
    </w:p>
    <w:p w14:paraId="27E08D8C" w14:textId="77777777" w:rsidR="00A85061" w:rsidRDefault="00F04891">
      <w:pPr>
        <w:spacing w:after="180"/>
        <w:jc w:val="center"/>
      </w:pPr>
      <w:r>
        <w:rPr>
          <w:rFonts w:ascii="sans-serif" w:eastAsia="sans-serif" w:hAnsi="sans-serif" w:cs="sans-serif"/>
          <w:color w:val="000000"/>
          <w:sz w:val="20"/>
          <w:szCs w:val="20"/>
        </w:rPr>
        <w:t>32</w:t>
      </w:r>
    </w:p>
    <w:p w14:paraId="27E08D8D" w14:textId="77777777" w:rsidR="00A85061" w:rsidRDefault="00F04891">
      <w:r>
        <w:pict w14:anchorId="27E08F11">
          <v:rect id="_x0000_i1056" style="width:415.3pt;height:1.5pt" o:hralign="center" o:hrstd="t" o:hr="t" fillcolor="#a0a0a0" stroked="f"/>
        </w:pict>
      </w:r>
    </w:p>
    <w:p w14:paraId="27E08D8E" w14:textId="77777777" w:rsidR="00A85061" w:rsidRDefault="00A85061">
      <w:pPr>
        <w:spacing w:after="180"/>
        <w:jc w:val="both"/>
      </w:pPr>
    </w:p>
    <w:p w14:paraId="27E08D8F" w14:textId="77777777" w:rsidR="00A85061" w:rsidRDefault="00A85061">
      <w:pPr>
        <w:spacing w:after="180"/>
        <w:jc w:val="both"/>
      </w:pPr>
    </w:p>
    <w:p w14:paraId="27E08D90" w14:textId="77777777" w:rsidR="00A85061" w:rsidRDefault="00A85061">
      <w:pPr>
        <w:spacing w:after="180"/>
        <w:jc w:val="both"/>
      </w:pPr>
    </w:p>
    <w:p w14:paraId="27E08D91" w14:textId="77777777" w:rsidR="00A85061" w:rsidRDefault="00F04891">
      <w:pPr>
        <w:spacing w:after="180"/>
        <w:ind w:hanging="360"/>
        <w:jc w:val="both"/>
      </w:pPr>
      <w:r>
        <w:rPr>
          <w:rFonts w:ascii="sans-serif" w:eastAsia="sans-serif" w:hAnsi="sans-serif" w:cs="sans-serif"/>
          <w:color w:val="000000"/>
          <w:sz w:val="20"/>
          <w:szCs w:val="20"/>
        </w:rPr>
        <w:t>•changes in the timing of product orders due to unexpected delays in the introduction of our partners’ products;</w:t>
      </w:r>
    </w:p>
    <w:p w14:paraId="27E08D92" w14:textId="77777777" w:rsidR="00A85061" w:rsidRDefault="00F04891">
      <w:pPr>
        <w:spacing w:after="180"/>
        <w:ind w:hanging="360"/>
        <w:jc w:val="both"/>
      </w:pPr>
      <w:r>
        <w:rPr>
          <w:rFonts w:ascii="sans-serif" w:eastAsia="sans-serif" w:hAnsi="sans-serif" w:cs="sans-serif"/>
          <w:color w:val="000000"/>
          <w:sz w:val="20"/>
          <w:szCs w:val="20"/>
        </w:rPr>
        <w:t xml:space="preserve">•our ability to cover the manufacturing and design costs of our products through competitive pricing; </w:t>
      </w:r>
    </w:p>
    <w:p w14:paraId="27E08D93" w14:textId="77777777" w:rsidR="00A85061" w:rsidRDefault="00F04891">
      <w:pPr>
        <w:spacing w:after="180"/>
        <w:ind w:hanging="360"/>
        <w:jc w:val="both"/>
      </w:pPr>
      <w:r>
        <w:rPr>
          <w:rFonts w:ascii="sans-serif" w:eastAsia="sans-serif" w:hAnsi="sans-serif" w:cs="sans-serif"/>
          <w:color w:val="000000"/>
          <w:sz w:val="20"/>
          <w:szCs w:val="20"/>
        </w:rPr>
        <w:t>•our ability to com</w:t>
      </w:r>
      <w:r>
        <w:rPr>
          <w:rFonts w:ascii="sans-serif" w:eastAsia="sans-serif" w:hAnsi="sans-serif" w:cs="sans-serif"/>
          <w:color w:val="000000"/>
          <w:sz w:val="20"/>
          <w:szCs w:val="20"/>
        </w:rPr>
        <w:t xml:space="preserve">ply and continue to comply with our customers’ contractual obligations; </w:t>
      </w:r>
    </w:p>
    <w:p w14:paraId="27E08D94" w14:textId="77777777" w:rsidR="00A85061" w:rsidRDefault="00F04891">
      <w:pPr>
        <w:spacing w:after="180"/>
        <w:ind w:hanging="360"/>
        <w:jc w:val="both"/>
      </w:pPr>
      <w:r>
        <w:rPr>
          <w:rFonts w:ascii="sans-serif" w:eastAsia="sans-serif" w:hAnsi="sans-serif" w:cs="sans-serif"/>
          <w:color w:val="000000"/>
          <w:sz w:val="20"/>
          <w:szCs w:val="20"/>
        </w:rPr>
        <w:t xml:space="preserve">•product rates of return in excess of that forecasted or expected due to quality issues; </w:t>
      </w:r>
    </w:p>
    <w:p w14:paraId="27E08D95" w14:textId="77777777" w:rsidR="00A85061" w:rsidRDefault="00F04891">
      <w:pPr>
        <w:spacing w:after="180"/>
        <w:ind w:hanging="360"/>
        <w:jc w:val="both"/>
      </w:pPr>
      <w:r>
        <w:rPr>
          <w:rFonts w:ascii="sans-serif" w:eastAsia="sans-serif" w:hAnsi="sans-serif" w:cs="sans-serif"/>
          <w:color w:val="000000"/>
          <w:sz w:val="20"/>
          <w:szCs w:val="20"/>
        </w:rPr>
        <w:t xml:space="preserve">•our ability to secure appropriate safety certifications and meet industry safety standards; </w:t>
      </w:r>
    </w:p>
    <w:p w14:paraId="27E08D96" w14:textId="77777777" w:rsidR="00A85061" w:rsidRDefault="00F04891">
      <w:pPr>
        <w:spacing w:after="180"/>
        <w:ind w:hanging="360"/>
        <w:jc w:val="both"/>
      </w:pPr>
      <w:r>
        <w:rPr>
          <w:rFonts w:ascii="sans-serif" w:eastAsia="sans-serif" w:hAnsi="sans-serif" w:cs="sans-serif"/>
          <w:color w:val="000000"/>
          <w:sz w:val="20"/>
          <w:szCs w:val="20"/>
        </w:rPr>
        <w:t xml:space="preserve">•supply constraints for and changes in the cost of the other components incorporated into our products; </w:t>
      </w:r>
    </w:p>
    <w:p w14:paraId="27E08D97" w14:textId="77777777" w:rsidR="00A85061" w:rsidRDefault="00F04891">
      <w:pPr>
        <w:spacing w:after="180"/>
        <w:ind w:hanging="360"/>
        <w:jc w:val="both"/>
      </w:pPr>
      <w:r>
        <w:rPr>
          <w:rFonts w:ascii="sans-serif" w:eastAsia="sans-serif" w:hAnsi="sans-serif" w:cs="sans-serif"/>
          <w:color w:val="000000"/>
          <w:sz w:val="20"/>
          <w:szCs w:val="20"/>
        </w:rPr>
        <w:t xml:space="preserve">•inventory write-downs; </w:t>
      </w:r>
    </w:p>
    <w:p w14:paraId="27E08D98" w14:textId="77777777" w:rsidR="00A85061" w:rsidRDefault="00F04891">
      <w:pPr>
        <w:spacing w:after="180"/>
        <w:ind w:hanging="360"/>
        <w:jc w:val="both"/>
      </w:pPr>
      <w:r>
        <w:rPr>
          <w:rFonts w:ascii="sans-serif" w:eastAsia="sans-serif" w:hAnsi="sans-serif" w:cs="sans-serif"/>
          <w:color w:val="000000"/>
          <w:sz w:val="20"/>
          <w:szCs w:val="20"/>
        </w:rPr>
        <w:t>•our ability to continue generat</w:t>
      </w:r>
      <w:r>
        <w:rPr>
          <w:rFonts w:ascii="sans-serif" w:eastAsia="sans-serif" w:hAnsi="sans-serif" w:cs="sans-serif"/>
          <w:color w:val="000000"/>
          <w:sz w:val="20"/>
          <w:szCs w:val="20"/>
        </w:rPr>
        <w:t>ing revenue from our partner network, including by generating sales within our partner network and ensuring our products are incorporated into our partners product ecosystems, and our partner network’s ability to sell products that incorporate our technolo</w:t>
      </w:r>
      <w:r>
        <w:rPr>
          <w:rFonts w:ascii="sans-serif" w:eastAsia="sans-serif" w:hAnsi="sans-serif" w:cs="sans-serif"/>
          <w:color w:val="000000"/>
          <w:sz w:val="20"/>
          <w:szCs w:val="20"/>
        </w:rPr>
        <w:t xml:space="preserve">gies; </w:t>
      </w:r>
    </w:p>
    <w:p w14:paraId="27E08D99" w14:textId="77777777" w:rsidR="00A85061" w:rsidRDefault="00F04891">
      <w:pPr>
        <w:spacing w:after="180"/>
        <w:ind w:hanging="360"/>
        <w:jc w:val="both"/>
      </w:pPr>
      <w:r>
        <w:rPr>
          <w:rFonts w:ascii="sans-serif" w:eastAsia="sans-serif" w:hAnsi="sans-serif" w:cs="sans-serif"/>
          <w:color w:val="000000"/>
          <w:sz w:val="20"/>
          <w:szCs w:val="20"/>
        </w:rPr>
        <w:t xml:space="preserve">•our dependence on third party vendors and end users to adopt our products, including InfiniBand; </w:t>
      </w:r>
    </w:p>
    <w:p w14:paraId="27E08D9A" w14:textId="77777777" w:rsidR="00A85061" w:rsidRDefault="00F04891">
      <w:pPr>
        <w:spacing w:after="180"/>
        <w:ind w:hanging="360"/>
        <w:jc w:val="both"/>
      </w:pPr>
      <w:r>
        <w:rPr>
          <w:rFonts w:ascii="sans-serif" w:eastAsia="sans-serif" w:hAnsi="sans-serif" w:cs="sans-serif"/>
          <w:color w:val="000000"/>
          <w:sz w:val="20"/>
          <w:szCs w:val="20"/>
        </w:rPr>
        <w:t>•the inability of certain of our customers to make required payments to us, and our ability to obtain credit insurance over the purchasing credit exte</w:t>
      </w:r>
      <w:r>
        <w:rPr>
          <w:rFonts w:ascii="sans-serif" w:eastAsia="sans-serif" w:hAnsi="sans-serif" w:cs="sans-serif"/>
          <w:color w:val="000000"/>
          <w:sz w:val="20"/>
          <w:szCs w:val="20"/>
        </w:rPr>
        <w:t xml:space="preserve">nded to these customers; </w:t>
      </w:r>
    </w:p>
    <w:p w14:paraId="27E08D9B" w14:textId="77777777" w:rsidR="00A85061" w:rsidRDefault="00F04891">
      <w:pPr>
        <w:spacing w:after="180"/>
        <w:ind w:hanging="360"/>
        <w:jc w:val="both"/>
      </w:pPr>
      <w:r>
        <w:rPr>
          <w:rFonts w:ascii="sans-serif" w:eastAsia="sans-serif" w:hAnsi="sans-serif" w:cs="sans-serif"/>
          <w:color w:val="000000"/>
          <w:sz w:val="20"/>
          <w:szCs w:val="20"/>
        </w:rPr>
        <w:t xml:space="preserve">•customer bad debt write-offs; </w:t>
      </w:r>
    </w:p>
    <w:p w14:paraId="27E08D9C" w14:textId="77777777" w:rsidR="00A85061" w:rsidRDefault="00F04891">
      <w:pPr>
        <w:spacing w:after="180"/>
        <w:ind w:hanging="360"/>
        <w:jc w:val="both"/>
      </w:pPr>
      <w:r>
        <w:rPr>
          <w:rFonts w:ascii="sans-serif" w:eastAsia="sans-serif" w:hAnsi="sans-serif" w:cs="sans-serif"/>
          <w:color w:val="000000"/>
          <w:sz w:val="20"/>
          <w:szCs w:val="20"/>
        </w:rPr>
        <w:t xml:space="preserve">•any unanticipated costs associated with environmental liabilities; </w:t>
      </w:r>
    </w:p>
    <w:p w14:paraId="27E08D9D" w14:textId="77777777" w:rsidR="00A85061" w:rsidRDefault="00F04891">
      <w:pPr>
        <w:spacing w:after="180"/>
        <w:ind w:hanging="360"/>
        <w:jc w:val="both"/>
      </w:pPr>
      <w:r>
        <w:rPr>
          <w:rFonts w:ascii="sans-serif" w:eastAsia="sans-serif" w:hAnsi="sans-serif" w:cs="sans-serif"/>
          <w:color w:val="000000"/>
          <w:sz w:val="20"/>
          <w:szCs w:val="20"/>
        </w:rPr>
        <w:t xml:space="preserve">•unexpected costs related to our ownership of real property; </w:t>
      </w:r>
    </w:p>
    <w:p w14:paraId="27E08D9E" w14:textId="77777777" w:rsidR="00A85061" w:rsidRDefault="00F04891">
      <w:pPr>
        <w:spacing w:after="180"/>
        <w:ind w:hanging="360"/>
        <w:jc w:val="both"/>
      </w:pPr>
      <w:r>
        <w:rPr>
          <w:rFonts w:ascii="sans-serif" w:eastAsia="sans-serif" w:hAnsi="sans-serif" w:cs="sans-serif"/>
          <w:color w:val="000000"/>
          <w:sz w:val="20"/>
          <w:szCs w:val="20"/>
        </w:rPr>
        <w:t>•our ability to maintain and scale our business processes, informat</w:t>
      </w:r>
      <w:r>
        <w:rPr>
          <w:rFonts w:ascii="sans-serif" w:eastAsia="sans-serif" w:hAnsi="sans-serif" w:cs="sans-serif"/>
          <w:color w:val="000000"/>
          <w:sz w:val="20"/>
          <w:szCs w:val="20"/>
        </w:rPr>
        <w:t xml:space="preserve">ion systems and internal controls; </w:t>
      </w:r>
    </w:p>
    <w:p w14:paraId="27E08D9F" w14:textId="77777777" w:rsidR="00A85061" w:rsidRDefault="00F04891">
      <w:pPr>
        <w:spacing w:after="180"/>
        <w:ind w:hanging="360"/>
        <w:jc w:val="both"/>
      </w:pPr>
      <w:r>
        <w:rPr>
          <w:rFonts w:ascii="sans-serif" w:eastAsia="sans-serif" w:hAnsi="sans-serif" w:cs="sans-serif"/>
          <w:color w:val="000000"/>
          <w:sz w:val="20"/>
          <w:szCs w:val="20"/>
        </w:rPr>
        <w:t>•increases in our future tax rates, as discussed further in the risk factor “We may have exposure to additional tax liabilities and our operating results may be adversely impacted by higher than expected tax rates” in It</w:t>
      </w:r>
      <w:r>
        <w:rPr>
          <w:rFonts w:ascii="sans-serif" w:eastAsia="sans-serif" w:hAnsi="sans-serif" w:cs="sans-serif"/>
          <w:color w:val="000000"/>
          <w:sz w:val="20"/>
          <w:szCs w:val="20"/>
        </w:rPr>
        <w:t>em 1A of our Annual Report on Form 10-K for the fiscal year ended January 31, 2021;</w:t>
      </w:r>
    </w:p>
    <w:p w14:paraId="27E08DA0" w14:textId="77777777" w:rsidR="00A85061" w:rsidRDefault="00F04891">
      <w:pPr>
        <w:spacing w:after="180"/>
        <w:ind w:hanging="360"/>
        <w:jc w:val="both"/>
      </w:pPr>
      <w:r>
        <w:rPr>
          <w:rFonts w:ascii="sans-serif" w:eastAsia="sans-serif" w:hAnsi="sans-serif" w:cs="sans-serif"/>
          <w:color w:val="000000"/>
          <w:sz w:val="20"/>
          <w:szCs w:val="20"/>
        </w:rPr>
        <w:t xml:space="preserve">•changes in financial accounting standards or interpretations of existing standards; and </w:t>
      </w:r>
    </w:p>
    <w:p w14:paraId="27E08DA1" w14:textId="77777777" w:rsidR="00A85061" w:rsidRDefault="00F04891">
      <w:pPr>
        <w:spacing w:after="180"/>
        <w:ind w:hanging="360"/>
        <w:jc w:val="both"/>
      </w:pPr>
      <w:r>
        <w:rPr>
          <w:rFonts w:ascii="sans-serif" w:eastAsia="sans-serif" w:hAnsi="sans-serif" w:cs="sans-serif"/>
          <w:color w:val="000000"/>
          <w:sz w:val="20"/>
          <w:szCs w:val="20"/>
        </w:rPr>
        <w:t>•general macroeconomic or industry events and factors affecting the overall market</w:t>
      </w:r>
      <w:r>
        <w:rPr>
          <w:rFonts w:ascii="sans-serif" w:eastAsia="sans-serif" w:hAnsi="sans-serif" w:cs="sans-serif"/>
          <w:color w:val="000000"/>
          <w:sz w:val="20"/>
          <w:szCs w:val="20"/>
        </w:rPr>
        <w:t xml:space="preserve"> and our target markets, including global and domestic inflation rates.</w:t>
      </w:r>
    </w:p>
    <w:p w14:paraId="27E08DA2" w14:textId="77777777" w:rsidR="00A85061" w:rsidRDefault="00F04891">
      <w:pPr>
        <w:spacing w:after="180"/>
        <w:jc w:val="both"/>
      </w:pPr>
      <w:r>
        <w:rPr>
          <w:rFonts w:ascii="sans-serif" w:eastAsia="sans-serif" w:hAnsi="sans-serif" w:cs="sans-serif"/>
          <w:color w:val="000000"/>
          <w:sz w:val="20"/>
          <w:szCs w:val="20"/>
        </w:rPr>
        <w:t>Any one or more of the factors discussed above could prevent us from achieving our expected future financial results. Any such failure to meet our expectations or the expectations of o</w:t>
      </w:r>
      <w:r>
        <w:rPr>
          <w:rFonts w:ascii="sans-serif" w:eastAsia="sans-serif" w:hAnsi="sans-serif" w:cs="sans-serif"/>
          <w:color w:val="000000"/>
          <w:sz w:val="20"/>
          <w:szCs w:val="20"/>
        </w:rPr>
        <w:t>ur investors or security analysts could cause our stock price to decline or experience substantial price volatility.</w:t>
      </w:r>
    </w:p>
    <w:p w14:paraId="27E08DA3" w14:textId="77777777" w:rsidR="00A85061" w:rsidRDefault="00F04891">
      <w:pPr>
        <w:spacing w:before="240" w:after="120"/>
        <w:jc w:val="both"/>
      </w:pPr>
      <w:r>
        <w:rPr>
          <w:rFonts w:ascii="sans-serif" w:eastAsia="sans-serif" w:hAnsi="sans-serif" w:cs="sans-serif"/>
          <w:b/>
          <w:bCs/>
          <w:color w:val="76B900"/>
          <w:sz w:val="22"/>
          <w:szCs w:val="22"/>
        </w:rPr>
        <w:t>ITEM 2. UNREGISTERED SALES OF EQUITY SECURITIES AND USE OF PROCEEDS</w:t>
      </w:r>
    </w:p>
    <w:p w14:paraId="27E08DA4" w14:textId="77777777" w:rsidR="00A85061" w:rsidRDefault="00F04891">
      <w:pPr>
        <w:spacing w:before="240" w:after="60"/>
        <w:jc w:val="both"/>
      </w:pPr>
      <w:r>
        <w:rPr>
          <w:rFonts w:ascii="sans-serif" w:eastAsia="sans-serif" w:hAnsi="sans-serif" w:cs="sans-serif"/>
          <w:b/>
          <w:bCs/>
          <w:color w:val="76B900"/>
          <w:sz w:val="20"/>
          <w:szCs w:val="20"/>
        </w:rPr>
        <w:t>Issuer Purchases of Equity Securities</w:t>
      </w:r>
    </w:p>
    <w:p w14:paraId="27E08DA5" w14:textId="77777777" w:rsidR="00A85061" w:rsidRDefault="00F04891">
      <w:pPr>
        <w:spacing w:after="180"/>
        <w:jc w:val="both"/>
      </w:pPr>
      <w:r>
        <w:rPr>
          <w:rFonts w:ascii="sans-serif" w:eastAsia="sans-serif" w:hAnsi="sans-serif" w:cs="sans-serif"/>
          <w:color w:val="000000"/>
          <w:sz w:val="20"/>
          <w:szCs w:val="20"/>
        </w:rPr>
        <w:t xml:space="preserve">Beginning August 2004, our Board </w:t>
      </w:r>
      <w:r>
        <w:rPr>
          <w:rFonts w:ascii="sans-serif" w:eastAsia="sans-serif" w:hAnsi="sans-serif" w:cs="sans-serif"/>
          <w:color w:val="000000"/>
          <w:sz w:val="20"/>
          <w:szCs w:val="20"/>
        </w:rPr>
        <w:t xml:space="preserve">of Directors authorized us to repurchase our stock. </w:t>
      </w:r>
    </w:p>
    <w:p w14:paraId="27E08DA6" w14:textId="77777777" w:rsidR="00A85061" w:rsidRDefault="00F04891">
      <w:pPr>
        <w:spacing w:after="180"/>
        <w:jc w:val="both"/>
      </w:pPr>
      <w:r>
        <w:rPr>
          <w:rFonts w:ascii="sans-serif" w:eastAsia="sans-serif" w:hAnsi="sans-serif" w:cs="sans-serif"/>
          <w:color w:val="000000"/>
          <w:sz w:val="20"/>
          <w:szCs w:val="20"/>
        </w:rPr>
        <w:t xml:space="preserve">Since the inception of our share repurchase program, we have repurchased an aggregate of 260 million shares for a total cost of $7.08 billion through May 2, 2021. All shares delivered from these </w:t>
      </w:r>
      <w:r>
        <w:rPr>
          <w:rFonts w:ascii="sans-serif" w:eastAsia="sans-serif" w:hAnsi="sans-serif" w:cs="sans-serif"/>
          <w:color w:val="000000"/>
          <w:sz w:val="20"/>
          <w:szCs w:val="20"/>
        </w:rPr>
        <w:t>repurchases have been placed into treasury stock.</w:t>
      </w:r>
    </w:p>
    <w:p w14:paraId="27E08DA7" w14:textId="77777777" w:rsidR="00A85061" w:rsidRDefault="00F04891">
      <w:pPr>
        <w:spacing w:after="180"/>
        <w:jc w:val="both"/>
      </w:pPr>
      <w:r>
        <w:rPr>
          <w:rFonts w:ascii="sans-serif" w:eastAsia="sans-serif" w:hAnsi="sans-serif" w:cs="sans-serif"/>
          <w:color w:val="000000"/>
          <w:sz w:val="20"/>
          <w:szCs w:val="20"/>
        </w:rPr>
        <w:t>The repurchases can be made in the open market, in privately negotiated transactions, or in structured share repurchase programs, and can be made in one or more larger repurchases, in compliance with Rule 1</w:t>
      </w:r>
      <w:r>
        <w:rPr>
          <w:rFonts w:ascii="sans-serif" w:eastAsia="sans-serif" w:hAnsi="sans-serif" w:cs="sans-serif"/>
          <w:color w:val="000000"/>
          <w:sz w:val="20"/>
          <w:szCs w:val="20"/>
        </w:rPr>
        <w:t>0b-18 of the Securities Exchange Act of 1934, as amended, subject to market conditions, applicable legal requirements, and other factors. The program does not obligate NVIDIA to acquire any particular amount of common stock and the program may be suspended</w:t>
      </w:r>
      <w:r>
        <w:rPr>
          <w:rFonts w:ascii="sans-serif" w:eastAsia="sans-serif" w:hAnsi="sans-serif" w:cs="sans-serif"/>
          <w:color w:val="000000"/>
          <w:sz w:val="20"/>
          <w:szCs w:val="20"/>
        </w:rPr>
        <w:t xml:space="preserve"> at any time at our discretion.</w:t>
      </w:r>
    </w:p>
    <w:p w14:paraId="27E08DA8" w14:textId="77777777" w:rsidR="00A85061" w:rsidRDefault="00F04891">
      <w:pPr>
        <w:spacing w:after="180"/>
        <w:jc w:val="both"/>
      </w:pPr>
      <w:r>
        <w:rPr>
          <w:rFonts w:ascii="sans-serif" w:eastAsia="sans-serif" w:hAnsi="sans-serif" w:cs="sans-serif"/>
          <w:color w:val="000000"/>
          <w:sz w:val="20"/>
          <w:szCs w:val="20"/>
        </w:rPr>
        <w:t>In the first quarter of fiscal year 2022, we paid $99 million in quarterly cash dividends. As of May 2, 2021, we were authorized, subject to certain specifications, to repurchase additional shares of our common stock up to $</w:t>
      </w:r>
      <w:r>
        <w:rPr>
          <w:rFonts w:ascii="sans-serif" w:eastAsia="sans-serif" w:hAnsi="sans-serif" w:cs="sans-serif"/>
          <w:color w:val="000000"/>
          <w:sz w:val="20"/>
          <w:szCs w:val="20"/>
        </w:rPr>
        <w:t>7.24 billion through December 2022. We did not repurchase any shares during the first quarter of fiscal year 2022.</w:t>
      </w:r>
    </w:p>
    <w:p w14:paraId="27E08DA9" w14:textId="77777777" w:rsidR="00A85061" w:rsidRDefault="00F04891">
      <w:pPr>
        <w:spacing w:after="180"/>
        <w:jc w:val="center"/>
      </w:pPr>
      <w:r>
        <w:rPr>
          <w:rFonts w:ascii="sans-serif" w:eastAsia="sans-serif" w:hAnsi="sans-serif" w:cs="sans-serif"/>
          <w:color w:val="000000"/>
          <w:sz w:val="20"/>
          <w:szCs w:val="20"/>
        </w:rPr>
        <w:t>33</w:t>
      </w:r>
    </w:p>
    <w:p w14:paraId="27E08DAA" w14:textId="77777777" w:rsidR="00A85061" w:rsidRDefault="00F04891">
      <w:r>
        <w:pict w14:anchorId="27E08F12">
          <v:rect id="_x0000_i1057" style="width:415.3pt;height:1.5pt" o:hralign="center" o:hrstd="t" o:hr="t" fillcolor="#a0a0a0" stroked="f"/>
        </w:pict>
      </w:r>
    </w:p>
    <w:p w14:paraId="27E08DAB" w14:textId="77777777" w:rsidR="00A85061" w:rsidRDefault="00A85061">
      <w:pPr>
        <w:spacing w:after="180"/>
        <w:jc w:val="both"/>
      </w:pPr>
    </w:p>
    <w:p w14:paraId="27E08DAC" w14:textId="77777777" w:rsidR="00A85061" w:rsidRDefault="00A85061">
      <w:pPr>
        <w:spacing w:after="180"/>
        <w:jc w:val="both"/>
      </w:pPr>
    </w:p>
    <w:p w14:paraId="27E08DAD" w14:textId="77777777" w:rsidR="00A85061" w:rsidRDefault="00A85061">
      <w:pPr>
        <w:spacing w:after="180"/>
        <w:jc w:val="both"/>
      </w:pPr>
    </w:p>
    <w:p w14:paraId="27E08DAE" w14:textId="77777777" w:rsidR="00A85061" w:rsidRDefault="00F04891">
      <w:pPr>
        <w:spacing w:before="120" w:after="120"/>
        <w:jc w:val="both"/>
      </w:pPr>
      <w:r>
        <w:rPr>
          <w:rFonts w:ascii="sans-serif" w:eastAsia="sans-serif" w:hAnsi="sans-serif" w:cs="sans-serif"/>
          <w:b/>
          <w:bCs/>
          <w:color w:val="000000"/>
          <w:sz w:val="20"/>
          <w:szCs w:val="20"/>
        </w:rPr>
        <w:t>Restricted Stock Unit Share Withholding</w:t>
      </w:r>
    </w:p>
    <w:p w14:paraId="27E08DAF" w14:textId="77777777" w:rsidR="00A85061" w:rsidRDefault="00F04891">
      <w:pPr>
        <w:spacing w:after="180"/>
        <w:jc w:val="both"/>
      </w:pPr>
      <w:r>
        <w:rPr>
          <w:rFonts w:ascii="sans-serif" w:eastAsia="sans-serif" w:hAnsi="sans-serif" w:cs="sans-serif"/>
          <w:color w:val="000000"/>
          <w:sz w:val="20"/>
          <w:szCs w:val="20"/>
        </w:rPr>
        <w:t>We also withhold common stock shares associated with net share settlements to cover tax withholding obligations upon the vesting of restricted stock unit awards under our employee equity incentive program. During the first quarter of fiscal year 2022, we w</w:t>
      </w:r>
      <w:r>
        <w:rPr>
          <w:rFonts w:ascii="sans-serif" w:eastAsia="sans-serif" w:hAnsi="sans-serif" w:cs="sans-serif"/>
          <w:color w:val="000000"/>
          <w:sz w:val="20"/>
          <w:szCs w:val="20"/>
        </w:rPr>
        <w:t xml:space="preserve">ithheld approximately 1 million shares at a total cost of $486 million through net share settlements. </w:t>
      </w:r>
    </w:p>
    <w:p w14:paraId="27E08DB0" w14:textId="77777777" w:rsidR="00A85061" w:rsidRDefault="00F04891">
      <w:pPr>
        <w:spacing w:after="180"/>
        <w:jc w:val="center"/>
      </w:pPr>
      <w:r>
        <w:rPr>
          <w:rFonts w:ascii="sans-serif" w:eastAsia="sans-serif" w:hAnsi="sans-serif" w:cs="sans-serif"/>
          <w:color w:val="000000"/>
          <w:sz w:val="20"/>
          <w:szCs w:val="20"/>
        </w:rPr>
        <w:t>34</w:t>
      </w:r>
    </w:p>
    <w:p w14:paraId="27E08DB1" w14:textId="77777777" w:rsidR="00A85061" w:rsidRDefault="00F04891">
      <w:r>
        <w:pict w14:anchorId="27E08F13">
          <v:rect id="_x0000_i1058" style="width:415.3pt;height:1.5pt" o:hralign="center" o:hrstd="t" o:hr="t" fillcolor="#a0a0a0" stroked="f"/>
        </w:pict>
      </w:r>
    </w:p>
    <w:p w14:paraId="27E08DB2" w14:textId="77777777" w:rsidR="00A85061" w:rsidRDefault="00A85061">
      <w:pPr>
        <w:spacing w:after="180"/>
        <w:jc w:val="both"/>
      </w:pPr>
    </w:p>
    <w:p w14:paraId="27E08DB3" w14:textId="77777777" w:rsidR="00A85061" w:rsidRDefault="00A85061">
      <w:pPr>
        <w:spacing w:after="180"/>
        <w:jc w:val="both"/>
      </w:pPr>
    </w:p>
    <w:p w14:paraId="27E08DB4" w14:textId="77777777" w:rsidR="00A85061" w:rsidRDefault="00A85061">
      <w:pPr>
        <w:spacing w:after="180"/>
        <w:jc w:val="both"/>
      </w:pPr>
    </w:p>
    <w:p w14:paraId="27E08DB5" w14:textId="77777777" w:rsidR="00A85061" w:rsidRDefault="00F04891">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93"/>
        <w:gridCol w:w="814"/>
        <w:gridCol w:w="39"/>
        <w:gridCol w:w="36"/>
        <w:gridCol w:w="45"/>
        <w:gridCol w:w="36"/>
        <w:gridCol w:w="38"/>
        <w:gridCol w:w="2727"/>
        <w:gridCol w:w="37"/>
        <w:gridCol w:w="36"/>
        <w:gridCol w:w="36"/>
        <w:gridCol w:w="36"/>
        <w:gridCol w:w="71"/>
        <w:gridCol w:w="766"/>
        <w:gridCol w:w="36"/>
        <w:gridCol w:w="36"/>
        <w:gridCol w:w="45"/>
        <w:gridCol w:w="36"/>
        <w:gridCol w:w="88"/>
        <w:gridCol w:w="817"/>
        <w:gridCol w:w="37"/>
        <w:gridCol w:w="36"/>
        <w:gridCol w:w="46"/>
        <w:gridCol w:w="36"/>
        <w:gridCol w:w="50"/>
        <w:gridCol w:w="889"/>
        <w:gridCol w:w="36"/>
        <w:gridCol w:w="36"/>
        <w:gridCol w:w="46"/>
        <w:gridCol w:w="36"/>
        <w:gridCol w:w="60"/>
        <w:gridCol w:w="1098"/>
        <w:gridCol w:w="37"/>
      </w:tblGrid>
      <w:tr w:rsidR="00A85061" w14:paraId="27E08DD7" w14:textId="77777777">
        <w:tc>
          <w:tcPr>
            <w:tcW w:w="50" w:type="pct"/>
            <w:shd w:val="clear" w:color="auto" w:fill="auto"/>
            <w:vAlign w:val="bottom"/>
          </w:tcPr>
          <w:p w14:paraId="27E08DB6" w14:textId="77777777" w:rsidR="00A85061" w:rsidRDefault="00A85061">
            <w:pPr>
              <w:rPr>
                <w:rFonts w:ascii="宋体"/>
              </w:rPr>
            </w:pPr>
          </w:p>
        </w:tc>
        <w:tc>
          <w:tcPr>
            <w:tcW w:w="436" w:type="pct"/>
            <w:shd w:val="clear" w:color="auto" w:fill="auto"/>
            <w:vAlign w:val="bottom"/>
          </w:tcPr>
          <w:p w14:paraId="27E08DB7" w14:textId="77777777" w:rsidR="00A85061" w:rsidRDefault="00A85061">
            <w:pPr>
              <w:rPr>
                <w:rFonts w:ascii="宋体"/>
              </w:rPr>
            </w:pPr>
          </w:p>
        </w:tc>
        <w:tc>
          <w:tcPr>
            <w:tcW w:w="5" w:type="pct"/>
            <w:shd w:val="clear" w:color="auto" w:fill="auto"/>
            <w:vAlign w:val="bottom"/>
          </w:tcPr>
          <w:p w14:paraId="27E08DB8" w14:textId="77777777" w:rsidR="00A85061" w:rsidRDefault="00A85061">
            <w:pPr>
              <w:rPr>
                <w:rFonts w:ascii="宋体"/>
              </w:rPr>
            </w:pPr>
          </w:p>
        </w:tc>
        <w:tc>
          <w:tcPr>
            <w:tcW w:w="5" w:type="pct"/>
            <w:shd w:val="clear" w:color="auto" w:fill="auto"/>
            <w:vAlign w:val="bottom"/>
          </w:tcPr>
          <w:p w14:paraId="27E08DB9" w14:textId="77777777" w:rsidR="00A85061" w:rsidRDefault="00A85061">
            <w:pPr>
              <w:rPr>
                <w:rFonts w:ascii="宋体"/>
              </w:rPr>
            </w:pPr>
          </w:p>
        </w:tc>
        <w:tc>
          <w:tcPr>
            <w:tcW w:w="55" w:type="pct"/>
            <w:shd w:val="clear" w:color="auto" w:fill="auto"/>
            <w:vAlign w:val="bottom"/>
          </w:tcPr>
          <w:p w14:paraId="27E08DBA" w14:textId="77777777" w:rsidR="00A85061" w:rsidRDefault="00A85061">
            <w:pPr>
              <w:rPr>
                <w:rFonts w:ascii="宋体"/>
              </w:rPr>
            </w:pPr>
          </w:p>
        </w:tc>
        <w:tc>
          <w:tcPr>
            <w:tcW w:w="5" w:type="pct"/>
            <w:shd w:val="clear" w:color="auto" w:fill="auto"/>
            <w:vAlign w:val="bottom"/>
          </w:tcPr>
          <w:p w14:paraId="27E08DBB" w14:textId="77777777" w:rsidR="00A85061" w:rsidRDefault="00A85061">
            <w:pPr>
              <w:rPr>
                <w:rFonts w:ascii="宋体"/>
              </w:rPr>
            </w:pPr>
          </w:p>
        </w:tc>
        <w:tc>
          <w:tcPr>
            <w:tcW w:w="50" w:type="pct"/>
            <w:shd w:val="clear" w:color="auto" w:fill="auto"/>
            <w:vAlign w:val="bottom"/>
          </w:tcPr>
          <w:p w14:paraId="27E08DBC" w14:textId="77777777" w:rsidR="00A85061" w:rsidRDefault="00A85061">
            <w:pPr>
              <w:rPr>
                <w:rFonts w:ascii="宋体"/>
              </w:rPr>
            </w:pPr>
          </w:p>
        </w:tc>
        <w:tc>
          <w:tcPr>
            <w:tcW w:w="1667" w:type="pct"/>
            <w:shd w:val="clear" w:color="auto" w:fill="auto"/>
            <w:vAlign w:val="bottom"/>
          </w:tcPr>
          <w:p w14:paraId="27E08DBD" w14:textId="77777777" w:rsidR="00A85061" w:rsidRDefault="00A85061">
            <w:pPr>
              <w:rPr>
                <w:rFonts w:ascii="宋体"/>
              </w:rPr>
            </w:pPr>
          </w:p>
        </w:tc>
        <w:tc>
          <w:tcPr>
            <w:tcW w:w="5" w:type="pct"/>
            <w:shd w:val="clear" w:color="auto" w:fill="auto"/>
            <w:vAlign w:val="bottom"/>
          </w:tcPr>
          <w:p w14:paraId="27E08DBE" w14:textId="77777777" w:rsidR="00A85061" w:rsidRDefault="00A85061">
            <w:pPr>
              <w:rPr>
                <w:rFonts w:ascii="宋体"/>
              </w:rPr>
            </w:pPr>
          </w:p>
        </w:tc>
        <w:tc>
          <w:tcPr>
            <w:tcW w:w="5" w:type="pct"/>
            <w:shd w:val="clear" w:color="auto" w:fill="auto"/>
            <w:vAlign w:val="bottom"/>
          </w:tcPr>
          <w:p w14:paraId="27E08DBF" w14:textId="77777777" w:rsidR="00A85061" w:rsidRDefault="00A85061">
            <w:pPr>
              <w:rPr>
                <w:rFonts w:ascii="宋体"/>
              </w:rPr>
            </w:pPr>
          </w:p>
        </w:tc>
        <w:tc>
          <w:tcPr>
            <w:tcW w:w="48" w:type="pct"/>
            <w:shd w:val="clear" w:color="auto" w:fill="auto"/>
            <w:vAlign w:val="bottom"/>
          </w:tcPr>
          <w:p w14:paraId="27E08DC0" w14:textId="77777777" w:rsidR="00A85061" w:rsidRDefault="00A85061">
            <w:pPr>
              <w:rPr>
                <w:rFonts w:ascii="宋体"/>
              </w:rPr>
            </w:pPr>
          </w:p>
        </w:tc>
        <w:tc>
          <w:tcPr>
            <w:tcW w:w="5" w:type="pct"/>
            <w:shd w:val="clear" w:color="auto" w:fill="auto"/>
            <w:vAlign w:val="bottom"/>
          </w:tcPr>
          <w:p w14:paraId="27E08DC1" w14:textId="77777777" w:rsidR="00A85061" w:rsidRDefault="00A85061">
            <w:pPr>
              <w:rPr>
                <w:rFonts w:ascii="宋体"/>
              </w:rPr>
            </w:pPr>
          </w:p>
        </w:tc>
        <w:tc>
          <w:tcPr>
            <w:tcW w:w="50" w:type="pct"/>
            <w:shd w:val="clear" w:color="auto" w:fill="auto"/>
            <w:vAlign w:val="bottom"/>
          </w:tcPr>
          <w:p w14:paraId="27E08DC2" w14:textId="77777777" w:rsidR="00A85061" w:rsidRDefault="00A85061">
            <w:pPr>
              <w:rPr>
                <w:rFonts w:ascii="宋体"/>
              </w:rPr>
            </w:pPr>
          </w:p>
        </w:tc>
        <w:tc>
          <w:tcPr>
            <w:tcW w:w="509" w:type="pct"/>
            <w:shd w:val="clear" w:color="auto" w:fill="auto"/>
            <w:vAlign w:val="bottom"/>
          </w:tcPr>
          <w:p w14:paraId="27E08DC3" w14:textId="77777777" w:rsidR="00A85061" w:rsidRDefault="00A85061">
            <w:pPr>
              <w:rPr>
                <w:rFonts w:ascii="宋体"/>
              </w:rPr>
            </w:pPr>
          </w:p>
        </w:tc>
        <w:tc>
          <w:tcPr>
            <w:tcW w:w="5" w:type="pct"/>
            <w:shd w:val="clear" w:color="auto" w:fill="auto"/>
            <w:vAlign w:val="bottom"/>
          </w:tcPr>
          <w:p w14:paraId="27E08DC4" w14:textId="77777777" w:rsidR="00A85061" w:rsidRDefault="00A85061">
            <w:pPr>
              <w:rPr>
                <w:rFonts w:ascii="宋体"/>
              </w:rPr>
            </w:pPr>
          </w:p>
        </w:tc>
        <w:tc>
          <w:tcPr>
            <w:tcW w:w="5" w:type="pct"/>
            <w:shd w:val="clear" w:color="auto" w:fill="auto"/>
            <w:vAlign w:val="bottom"/>
          </w:tcPr>
          <w:p w14:paraId="27E08DC5" w14:textId="77777777" w:rsidR="00A85061" w:rsidRDefault="00A85061">
            <w:pPr>
              <w:rPr>
                <w:rFonts w:ascii="宋体"/>
              </w:rPr>
            </w:pPr>
          </w:p>
        </w:tc>
        <w:tc>
          <w:tcPr>
            <w:tcW w:w="55" w:type="pct"/>
            <w:shd w:val="clear" w:color="auto" w:fill="auto"/>
            <w:vAlign w:val="bottom"/>
          </w:tcPr>
          <w:p w14:paraId="27E08DC6" w14:textId="77777777" w:rsidR="00A85061" w:rsidRDefault="00A85061">
            <w:pPr>
              <w:rPr>
                <w:rFonts w:ascii="宋体"/>
              </w:rPr>
            </w:pPr>
          </w:p>
        </w:tc>
        <w:tc>
          <w:tcPr>
            <w:tcW w:w="5" w:type="pct"/>
            <w:shd w:val="clear" w:color="auto" w:fill="auto"/>
            <w:vAlign w:val="bottom"/>
          </w:tcPr>
          <w:p w14:paraId="27E08DC7" w14:textId="77777777" w:rsidR="00A85061" w:rsidRDefault="00A85061">
            <w:pPr>
              <w:rPr>
                <w:rFonts w:ascii="宋体"/>
              </w:rPr>
            </w:pPr>
          </w:p>
        </w:tc>
        <w:tc>
          <w:tcPr>
            <w:tcW w:w="50" w:type="pct"/>
            <w:shd w:val="clear" w:color="auto" w:fill="auto"/>
            <w:vAlign w:val="bottom"/>
          </w:tcPr>
          <w:p w14:paraId="27E08DC8" w14:textId="77777777" w:rsidR="00A85061" w:rsidRDefault="00A85061">
            <w:pPr>
              <w:rPr>
                <w:rFonts w:ascii="宋体"/>
              </w:rPr>
            </w:pPr>
          </w:p>
        </w:tc>
        <w:tc>
          <w:tcPr>
            <w:tcW w:w="465" w:type="pct"/>
            <w:shd w:val="clear" w:color="auto" w:fill="auto"/>
            <w:vAlign w:val="bottom"/>
          </w:tcPr>
          <w:p w14:paraId="27E08DC9" w14:textId="77777777" w:rsidR="00A85061" w:rsidRDefault="00A85061">
            <w:pPr>
              <w:rPr>
                <w:rFonts w:ascii="宋体"/>
              </w:rPr>
            </w:pPr>
          </w:p>
        </w:tc>
        <w:tc>
          <w:tcPr>
            <w:tcW w:w="5" w:type="pct"/>
            <w:shd w:val="clear" w:color="auto" w:fill="auto"/>
            <w:vAlign w:val="bottom"/>
          </w:tcPr>
          <w:p w14:paraId="27E08DCA" w14:textId="77777777" w:rsidR="00A85061" w:rsidRDefault="00A85061">
            <w:pPr>
              <w:rPr>
                <w:rFonts w:ascii="宋体"/>
              </w:rPr>
            </w:pPr>
          </w:p>
        </w:tc>
        <w:tc>
          <w:tcPr>
            <w:tcW w:w="5" w:type="pct"/>
            <w:shd w:val="clear" w:color="auto" w:fill="auto"/>
            <w:vAlign w:val="bottom"/>
          </w:tcPr>
          <w:p w14:paraId="27E08DCB" w14:textId="77777777" w:rsidR="00A85061" w:rsidRDefault="00A85061">
            <w:pPr>
              <w:rPr>
                <w:rFonts w:ascii="宋体"/>
              </w:rPr>
            </w:pPr>
          </w:p>
        </w:tc>
        <w:tc>
          <w:tcPr>
            <w:tcW w:w="55" w:type="pct"/>
            <w:shd w:val="clear" w:color="auto" w:fill="auto"/>
            <w:vAlign w:val="bottom"/>
          </w:tcPr>
          <w:p w14:paraId="27E08DCC" w14:textId="77777777" w:rsidR="00A85061" w:rsidRDefault="00A85061">
            <w:pPr>
              <w:rPr>
                <w:rFonts w:ascii="宋体"/>
              </w:rPr>
            </w:pPr>
          </w:p>
        </w:tc>
        <w:tc>
          <w:tcPr>
            <w:tcW w:w="5" w:type="pct"/>
            <w:shd w:val="clear" w:color="auto" w:fill="auto"/>
            <w:vAlign w:val="bottom"/>
          </w:tcPr>
          <w:p w14:paraId="27E08DCD" w14:textId="77777777" w:rsidR="00A85061" w:rsidRDefault="00A85061">
            <w:pPr>
              <w:rPr>
                <w:rFonts w:ascii="宋体"/>
              </w:rPr>
            </w:pPr>
          </w:p>
        </w:tc>
        <w:tc>
          <w:tcPr>
            <w:tcW w:w="50" w:type="pct"/>
            <w:shd w:val="clear" w:color="auto" w:fill="auto"/>
            <w:vAlign w:val="bottom"/>
          </w:tcPr>
          <w:p w14:paraId="27E08DCE" w14:textId="77777777" w:rsidR="00A85061" w:rsidRDefault="00A85061">
            <w:pPr>
              <w:rPr>
                <w:rFonts w:ascii="宋体"/>
              </w:rPr>
            </w:pPr>
          </w:p>
        </w:tc>
        <w:tc>
          <w:tcPr>
            <w:tcW w:w="568" w:type="pct"/>
            <w:shd w:val="clear" w:color="auto" w:fill="auto"/>
            <w:vAlign w:val="bottom"/>
          </w:tcPr>
          <w:p w14:paraId="27E08DCF" w14:textId="77777777" w:rsidR="00A85061" w:rsidRDefault="00A85061">
            <w:pPr>
              <w:rPr>
                <w:rFonts w:ascii="宋体"/>
              </w:rPr>
            </w:pPr>
          </w:p>
        </w:tc>
        <w:tc>
          <w:tcPr>
            <w:tcW w:w="5" w:type="pct"/>
            <w:shd w:val="clear" w:color="auto" w:fill="auto"/>
            <w:vAlign w:val="bottom"/>
          </w:tcPr>
          <w:p w14:paraId="27E08DD0" w14:textId="77777777" w:rsidR="00A85061" w:rsidRDefault="00A85061">
            <w:pPr>
              <w:rPr>
                <w:rFonts w:ascii="宋体"/>
              </w:rPr>
            </w:pPr>
          </w:p>
        </w:tc>
        <w:tc>
          <w:tcPr>
            <w:tcW w:w="5" w:type="pct"/>
            <w:shd w:val="clear" w:color="auto" w:fill="auto"/>
            <w:vAlign w:val="bottom"/>
          </w:tcPr>
          <w:p w14:paraId="27E08DD1" w14:textId="77777777" w:rsidR="00A85061" w:rsidRDefault="00A85061">
            <w:pPr>
              <w:rPr>
                <w:rFonts w:ascii="宋体"/>
              </w:rPr>
            </w:pPr>
          </w:p>
        </w:tc>
        <w:tc>
          <w:tcPr>
            <w:tcW w:w="55" w:type="pct"/>
            <w:shd w:val="clear" w:color="auto" w:fill="auto"/>
            <w:vAlign w:val="bottom"/>
          </w:tcPr>
          <w:p w14:paraId="27E08DD2" w14:textId="77777777" w:rsidR="00A85061" w:rsidRDefault="00A85061">
            <w:pPr>
              <w:rPr>
                <w:rFonts w:ascii="宋体"/>
              </w:rPr>
            </w:pPr>
          </w:p>
        </w:tc>
        <w:tc>
          <w:tcPr>
            <w:tcW w:w="5" w:type="pct"/>
            <w:shd w:val="clear" w:color="auto" w:fill="auto"/>
            <w:vAlign w:val="bottom"/>
          </w:tcPr>
          <w:p w14:paraId="27E08DD3" w14:textId="77777777" w:rsidR="00A85061" w:rsidRDefault="00A85061">
            <w:pPr>
              <w:rPr>
                <w:rFonts w:ascii="宋体"/>
              </w:rPr>
            </w:pPr>
          </w:p>
        </w:tc>
        <w:tc>
          <w:tcPr>
            <w:tcW w:w="50" w:type="pct"/>
            <w:shd w:val="clear" w:color="auto" w:fill="auto"/>
            <w:vAlign w:val="bottom"/>
          </w:tcPr>
          <w:p w14:paraId="27E08DD4" w14:textId="77777777" w:rsidR="00A85061" w:rsidRDefault="00A85061">
            <w:pPr>
              <w:rPr>
                <w:rFonts w:ascii="宋体"/>
              </w:rPr>
            </w:pPr>
          </w:p>
        </w:tc>
        <w:tc>
          <w:tcPr>
            <w:tcW w:w="700" w:type="pct"/>
            <w:shd w:val="clear" w:color="auto" w:fill="auto"/>
            <w:vAlign w:val="bottom"/>
          </w:tcPr>
          <w:p w14:paraId="27E08DD5" w14:textId="77777777" w:rsidR="00A85061" w:rsidRDefault="00A85061">
            <w:pPr>
              <w:rPr>
                <w:rFonts w:ascii="宋体"/>
              </w:rPr>
            </w:pPr>
          </w:p>
        </w:tc>
        <w:tc>
          <w:tcPr>
            <w:tcW w:w="5" w:type="pct"/>
            <w:shd w:val="clear" w:color="auto" w:fill="auto"/>
            <w:vAlign w:val="bottom"/>
          </w:tcPr>
          <w:p w14:paraId="27E08DD6" w14:textId="77777777" w:rsidR="00A85061" w:rsidRDefault="00A85061">
            <w:pPr>
              <w:rPr>
                <w:rFonts w:ascii="宋体"/>
              </w:rPr>
            </w:pPr>
          </w:p>
        </w:tc>
      </w:tr>
      <w:tr w:rsidR="00A85061" w14:paraId="27E08DE3" w14:textId="77777777">
        <w:tc>
          <w:tcPr>
            <w:tcW w:w="0" w:type="auto"/>
            <w:gridSpan w:val="3"/>
            <w:shd w:val="clear" w:color="auto" w:fill="auto"/>
            <w:tcMar>
              <w:top w:w="40" w:type="dxa"/>
              <w:left w:w="20" w:type="dxa"/>
              <w:bottom w:w="40" w:type="dxa"/>
              <w:right w:w="20" w:type="dxa"/>
            </w:tcMar>
            <w:vAlign w:val="bottom"/>
          </w:tcPr>
          <w:p w14:paraId="27E08DD8" w14:textId="77777777" w:rsidR="00A85061" w:rsidRDefault="00F04891">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27E08DD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DA" w14:textId="77777777" w:rsidR="00A85061" w:rsidRDefault="00F04891">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27E08DDB"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DC" w14:textId="77777777" w:rsidR="00A85061" w:rsidRDefault="00F04891">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27E08DD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DE" w14:textId="77777777" w:rsidR="00A85061" w:rsidRDefault="00F04891">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27E08DDF"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0" w14:textId="77777777" w:rsidR="00A85061" w:rsidRDefault="00F04891">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27E08DE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2" w14:textId="77777777" w:rsidR="00A85061" w:rsidRDefault="00F04891">
            <w:pPr>
              <w:jc w:val="center"/>
              <w:textAlignment w:val="bottom"/>
            </w:pPr>
            <w:r>
              <w:rPr>
                <w:rFonts w:ascii="sans-serif" w:eastAsia="sans-serif" w:hAnsi="sans-serif" w:cs="sans-serif"/>
                <w:b/>
                <w:bCs/>
                <w:color w:val="000000"/>
                <w:sz w:val="20"/>
                <w:szCs w:val="20"/>
              </w:rPr>
              <w:t>Filing Date</w:t>
            </w:r>
          </w:p>
        </w:tc>
      </w:tr>
      <w:tr w:rsidR="00A85061" w14:paraId="27E08DEF" w14:textId="77777777">
        <w:tc>
          <w:tcPr>
            <w:tcW w:w="0" w:type="auto"/>
            <w:gridSpan w:val="3"/>
            <w:shd w:val="clear" w:color="auto" w:fill="auto"/>
            <w:tcMar>
              <w:top w:w="40" w:type="dxa"/>
              <w:left w:w="20" w:type="dxa"/>
              <w:bottom w:w="40" w:type="dxa"/>
              <w:right w:w="20" w:type="dxa"/>
            </w:tcMar>
          </w:tcPr>
          <w:p w14:paraId="27E08DE4" w14:textId="77777777" w:rsidR="00A85061" w:rsidRDefault="00F04891">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27E08DE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6" w14:textId="77777777" w:rsidR="00A85061" w:rsidRDefault="00F04891">
            <w:pPr>
              <w:textAlignment w:val="bottom"/>
            </w:pPr>
            <w:hyperlink r:id="rId32" w:history="1">
              <w:r>
                <w:rPr>
                  <w:rStyle w:val="a5"/>
                  <w:rFonts w:ascii="sans-serif" w:eastAsia="sans-serif" w:hAnsi="sans-serif" w:cs="sans-serif"/>
                  <w:sz w:val="20"/>
                  <w:szCs w:val="20"/>
                </w:rPr>
                <w:t>Variable Compensation Plan - Fiscal Year 2022</w:t>
              </w:r>
            </w:hyperlink>
          </w:p>
        </w:tc>
        <w:tc>
          <w:tcPr>
            <w:tcW w:w="0" w:type="auto"/>
            <w:gridSpan w:val="3"/>
            <w:shd w:val="clear" w:color="auto" w:fill="auto"/>
            <w:tcMar>
              <w:top w:w="0" w:type="dxa"/>
              <w:left w:w="20" w:type="dxa"/>
              <w:bottom w:w="0" w:type="dxa"/>
              <w:right w:w="20" w:type="dxa"/>
            </w:tcMar>
            <w:vAlign w:val="bottom"/>
          </w:tcPr>
          <w:p w14:paraId="27E08DE7"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8" w14:textId="77777777" w:rsidR="00A85061" w:rsidRDefault="00F04891">
            <w:pPr>
              <w:jc w:val="center"/>
              <w:textAlignment w:val="bottom"/>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27E08DE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A" w14:textId="77777777" w:rsidR="00A85061" w:rsidRDefault="00F04891">
            <w:pPr>
              <w:jc w:val="center"/>
              <w:textAlignment w:val="bottom"/>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27E08DEB"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C" w14:textId="77777777" w:rsidR="00A85061" w:rsidRDefault="00F04891">
            <w:pPr>
              <w:jc w:val="center"/>
              <w:textAlignment w:val="bottom"/>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27E08DE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EE" w14:textId="77777777" w:rsidR="00A85061" w:rsidRDefault="00F04891">
            <w:pPr>
              <w:jc w:val="center"/>
              <w:textAlignment w:val="bottom"/>
            </w:pPr>
            <w:r>
              <w:rPr>
                <w:rFonts w:ascii="sans-serif" w:eastAsia="sans-serif" w:hAnsi="sans-serif" w:cs="sans-serif"/>
                <w:color w:val="000000"/>
                <w:sz w:val="20"/>
                <w:szCs w:val="20"/>
              </w:rPr>
              <w:t>3/19/2021</w:t>
            </w:r>
          </w:p>
        </w:tc>
      </w:tr>
      <w:tr w:rsidR="00A85061" w14:paraId="27E08DFB" w14:textId="77777777">
        <w:tc>
          <w:tcPr>
            <w:tcW w:w="0" w:type="auto"/>
            <w:gridSpan w:val="3"/>
            <w:shd w:val="clear" w:color="auto" w:fill="auto"/>
            <w:tcMar>
              <w:top w:w="40" w:type="dxa"/>
              <w:left w:w="20" w:type="dxa"/>
              <w:bottom w:w="40" w:type="dxa"/>
              <w:right w:w="20" w:type="dxa"/>
            </w:tcMar>
          </w:tcPr>
          <w:p w14:paraId="27E08DF0" w14:textId="77777777" w:rsidR="00A85061" w:rsidRDefault="00F04891">
            <w:pPr>
              <w:jc w:val="center"/>
              <w:textAlignment w:val="top"/>
            </w:pPr>
            <w:r>
              <w:rPr>
                <w:rFonts w:ascii="sans-serif" w:eastAsia="sans-serif" w:hAnsi="sans-serif" w:cs="sans-serif"/>
                <w:color w:val="000000"/>
                <w:sz w:val="20"/>
                <w:szCs w:val="20"/>
              </w:rPr>
              <w:t>10.2**+</w:t>
            </w:r>
          </w:p>
        </w:tc>
        <w:tc>
          <w:tcPr>
            <w:tcW w:w="0" w:type="auto"/>
            <w:gridSpan w:val="3"/>
            <w:shd w:val="clear" w:color="auto" w:fill="auto"/>
            <w:tcMar>
              <w:top w:w="0" w:type="dxa"/>
              <w:left w:w="20" w:type="dxa"/>
              <w:bottom w:w="0" w:type="dxa"/>
              <w:right w:w="20" w:type="dxa"/>
            </w:tcMar>
            <w:vAlign w:val="bottom"/>
          </w:tcPr>
          <w:p w14:paraId="27E08DF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F2" w14:textId="77777777" w:rsidR="00A85061" w:rsidRDefault="00F04891">
            <w:pPr>
              <w:textAlignment w:val="bottom"/>
            </w:pPr>
            <w:hyperlink r:id="rId33" w:history="1">
              <w:r>
                <w:rPr>
                  <w:rStyle w:val="a5"/>
                  <w:rFonts w:ascii="sans-serif" w:eastAsia="sans-serif" w:hAnsi="sans-serif" w:cs="sans-serif"/>
                  <w:sz w:val="20"/>
                  <w:szCs w:val="20"/>
                </w:rPr>
                <w:t>Amended and Restated 2007 Equity Incentive Plan – Global Restricted Stock Unit Grant Notice and Global Restricted Stock Unit Agreement (2021)</w:t>
              </w:r>
            </w:hyperlink>
          </w:p>
        </w:tc>
        <w:tc>
          <w:tcPr>
            <w:tcW w:w="0" w:type="auto"/>
            <w:gridSpan w:val="3"/>
            <w:shd w:val="clear" w:color="auto" w:fill="auto"/>
            <w:tcMar>
              <w:top w:w="0" w:type="dxa"/>
              <w:left w:w="20" w:type="dxa"/>
              <w:bottom w:w="0" w:type="dxa"/>
              <w:right w:w="20" w:type="dxa"/>
            </w:tcMar>
            <w:vAlign w:val="bottom"/>
          </w:tcPr>
          <w:p w14:paraId="27E08DF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DFA" w14:textId="77777777" w:rsidR="00A85061" w:rsidRDefault="00A85061">
            <w:pPr>
              <w:rPr>
                <w:rFonts w:ascii="宋体"/>
              </w:rPr>
            </w:pPr>
          </w:p>
        </w:tc>
      </w:tr>
      <w:tr w:rsidR="00A85061" w14:paraId="27E08E07" w14:textId="77777777">
        <w:tc>
          <w:tcPr>
            <w:tcW w:w="0" w:type="auto"/>
            <w:gridSpan w:val="3"/>
            <w:shd w:val="clear" w:color="auto" w:fill="auto"/>
            <w:tcMar>
              <w:top w:w="40" w:type="dxa"/>
              <w:left w:w="20" w:type="dxa"/>
              <w:bottom w:w="40" w:type="dxa"/>
              <w:right w:w="20" w:type="dxa"/>
            </w:tcMar>
          </w:tcPr>
          <w:p w14:paraId="27E08DFC" w14:textId="77777777" w:rsidR="00A85061" w:rsidRDefault="00F04891">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27E08DF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DFE" w14:textId="77777777" w:rsidR="00A85061" w:rsidRDefault="00F04891">
            <w:pPr>
              <w:textAlignment w:val="bottom"/>
            </w:pPr>
            <w:hyperlink r:id="rId34"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27E08DF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6" w14:textId="77777777" w:rsidR="00A85061" w:rsidRDefault="00A85061">
            <w:pPr>
              <w:rPr>
                <w:rFonts w:ascii="宋体"/>
              </w:rPr>
            </w:pPr>
          </w:p>
        </w:tc>
      </w:tr>
      <w:tr w:rsidR="00A85061" w14:paraId="27E08E13" w14:textId="77777777">
        <w:tc>
          <w:tcPr>
            <w:tcW w:w="0" w:type="auto"/>
            <w:gridSpan w:val="3"/>
            <w:shd w:val="clear" w:color="auto" w:fill="auto"/>
            <w:tcMar>
              <w:top w:w="40" w:type="dxa"/>
              <w:left w:w="20" w:type="dxa"/>
              <w:bottom w:w="40" w:type="dxa"/>
              <w:right w:w="20" w:type="dxa"/>
            </w:tcMar>
          </w:tcPr>
          <w:p w14:paraId="27E08E08" w14:textId="77777777" w:rsidR="00A85061" w:rsidRDefault="00F04891">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27E08E0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0A" w14:textId="77777777" w:rsidR="00A85061" w:rsidRDefault="00F04891">
            <w:pPr>
              <w:textAlignment w:val="bottom"/>
            </w:pPr>
            <w:hyperlink r:id="rId35"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27E08E0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0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2" w14:textId="77777777" w:rsidR="00A85061" w:rsidRDefault="00A85061">
            <w:pPr>
              <w:rPr>
                <w:rFonts w:ascii="宋体"/>
              </w:rPr>
            </w:pPr>
          </w:p>
        </w:tc>
      </w:tr>
      <w:tr w:rsidR="00A85061" w14:paraId="27E08E1F" w14:textId="77777777">
        <w:tc>
          <w:tcPr>
            <w:tcW w:w="0" w:type="auto"/>
            <w:gridSpan w:val="3"/>
            <w:shd w:val="clear" w:color="auto" w:fill="auto"/>
            <w:tcMar>
              <w:top w:w="40" w:type="dxa"/>
              <w:left w:w="20" w:type="dxa"/>
              <w:bottom w:w="40" w:type="dxa"/>
              <w:right w:w="20" w:type="dxa"/>
            </w:tcMar>
          </w:tcPr>
          <w:p w14:paraId="27E08E14" w14:textId="77777777" w:rsidR="00A85061" w:rsidRDefault="00F04891">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27E08E1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16" w14:textId="77777777" w:rsidR="00A85061" w:rsidRDefault="00F04891">
            <w:pPr>
              <w:textAlignment w:val="bottom"/>
            </w:pPr>
            <w:hyperlink r:id="rId36"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27E08E1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1E" w14:textId="77777777" w:rsidR="00A85061" w:rsidRDefault="00A85061">
            <w:pPr>
              <w:rPr>
                <w:rFonts w:ascii="宋体"/>
              </w:rPr>
            </w:pPr>
          </w:p>
        </w:tc>
      </w:tr>
      <w:tr w:rsidR="00A85061" w14:paraId="27E08E2B" w14:textId="77777777">
        <w:tc>
          <w:tcPr>
            <w:tcW w:w="0" w:type="auto"/>
            <w:gridSpan w:val="3"/>
            <w:shd w:val="clear" w:color="auto" w:fill="auto"/>
            <w:tcMar>
              <w:top w:w="40" w:type="dxa"/>
              <w:left w:w="20" w:type="dxa"/>
              <w:bottom w:w="40" w:type="dxa"/>
              <w:right w:w="20" w:type="dxa"/>
            </w:tcMar>
          </w:tcPr>
          <w:p w14:paraId="27E08E20" w14:textId="77777777" w:rsidR="00A85061" w:rsidRDefault="00F04891">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27E08E2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22" w14:textId="77777777" w:rsidR="00A85061" w:rsidRDefault="00F04891">
            <w:pPr>
              <w:textAlignment w:val="bottom"/>
            </w:pPr>
            <w:hyperlink r:id="rId37"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27E08E2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2A" w14:textId="77777777" w:rsidR="00A85061" w:rsidRDefault="00A85061">
            <w:pPr>
              <w:rPr>
                <w:rFonts w:ascii="宋体"/>
              </w:rPr>
            </w:pPr>
          </w:p>
        </w:tc>
      </w:tr>
      <w:tr w:rsidR="00A85061" w14:paraId="27E08E37" w14:textId="77777777">
        <w:tc>
          <w:tcPr>
            <w:tcW w:w="0" w:type="auto"/>
            <w:gridSpan w:val="3"/>
            <w:shd w:val="clear" w:color="auto" w:fill="auto"/>
            <w:tcMar>
              <w:top w:w="40" w:type="dxa"/>
              <w:left w:w="20" w:type="dxa"/>
              <w:bottom w:w="40" w:type="dxa"/>
              <w:right w:w="20" w:type="dxa"/>
            </w:tcMar>
          </w:tcPr>
          <w:p w14:paraId="27E08E2C" w14:textId="77777777" w:rsidR="00A85061" w:rsidRDefault="00F04891">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27E08E2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2E" w14:textId="77777777" w:rsidR="00A85061" w:rsidRDefault="00F04891">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27E08E2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6" w14:textId="77777777" w:rsidR="00A85061" w:rsidRDefault="00A85061">
            <w:pPr>
              <w:rPr>
                <w:rFonts w:ascii="宋体"/>
              </w:rPr>
            </w:pPr>
          </w:p>
        </w:tc>
      </w:tr>
      <w:tr w:rsidR="00A85061" w14:paraId="27E08E43" w14:textId="77777777">
        <w:tc>
          <w:tcPr>
            <w:tcW w:w="0" w:type="auto"/>
            <w:gridSpan w:val="3"/>
            <w:shd w:val="clear" w:color="auto" w:fill="auto"/>
            <w:tcMar>
              <w:top w:w="40" w:type="dxa"/>
              <w:left w:w="20" w:type="dxa"/>
              <w:bottom w:w="40" w:type="dxa"/>
              <w:right w:w="20" w:type="dxa"/>
            </w:tcMar>
          </w:tcPr>
          <w:p w14:paraId="27E08E38" w14:textId="77777777" w:rsidR="00A85061" w:rsidRDefault="00F04891">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27E08E3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3A" w14:textId="77777777" w:rsidR="00A85061" w:rsidRDefault="00F04891">
            <w:pPr>
              <w:textAlignment w:val="bottom"/>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27E08E3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3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2" w14:textId="77777777" w:rsidR="00A85061" w:rsidRDefault="00A85061">
            <w:pPr>
              <w:rPr>
                <w:rFonts w:ascii="宋体"/>
              </w:rPr>
            </w:pPr>
          </w:p>
        </w:tc>
      </w:tr>
      <w:tr w:rsidR="00A85061" w14:paraId="27E08E4F" w14:textId="77777777">
        <w:tc>
          <w:tcPr>
            <w:tcW w:w="0" w:type="auto"/>
            <w:gridSpan w:val="3"/>
            <w:shd w:val="clear" w:color="auto" w:fill="auto"/>
            <w:tcMar>
              <w:top w:w="40" w:type="dxa"/>
              <w:left w:w="20" w:type="dxa"/>
              <w:bottom w:w="40" w:type="dxa"/>
              <w:right w:w="20" w:type="dxa"/>
            </w:tcMar>
          </w:tcPr>
          <w:p w14:paraId="27E08E44" w14:textId="77777777" w:rsidR="00A85061" w:rsidRDefault="00F04891">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27E08E4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46" w14:textId="77777777" w:rsidR="00A85061" w:rsidRDefault="00F04891">
            <w:pPr>
              <w:textAlignment w:val="bottom"/>
            </w:pPr>
            <w:r>
              <w:rPr>
                <w:rFonts w:ascii="sans-serif" w:eastAsia="sans-serif" w:hAnsi="sans-serif" w:cs="sans-serif"/>
                <w:color w:val="000000"/>
                <w:sz w:val="20"/>
                <w:szCs w:val="20"/>
              </w:rPr>
              <w:t xml:space="preserve">Inline </w:t>
            </w:r>
            <w:r>
              <w:rPr>
                <w:rFonts w:ascii="sans-serif" w:eastAsia="sans-serif" w:hAnsi="sans-serif" w:cs="sans-serif"/>
                <w:color w:val="000000"/>
                <w:sz w:val="20"/>
                <w:szCs w:val="20"/>
              </w:rPr>
              <w:t>XBRL Taxonomy Extension Calculation Linkbase Document</w:t>
            </w:r>
          </w:p>
        </w:tc>
        <w:tc>
          <w:tcPr>
            <w:tcW w:w="0" w:type="auto"/>
            <w:gridSpan w:val="3"/>
            <w:shd w:val="clear" w:color="auto" w:fill="auto"/>
            <w:tcMar>
              <w:top w:w="0" w:type="dxa"/>
              <w:left w:w="20" w:type="dxa"/>
              <w:bottom w:w="0" w:type="dxa"/>
              <w:right w:w="20" w:type="dxa"/>
            </w:tcMar>
            <w:vAlign w:val="bottom"/>
          </w:tcPr>
          <w:p w14:paraId="27E08E4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4E" w14:textId="77777777" w:rsidR="00A85061" w:rsidRDefault="00A85061">
            <w:pPr>
              <w:rPr>
                <w:rFonts w:ascii="宋体"/>
              </w:rPr>
            </w:pPr>
          </w:p>
        </w:tc>
      </w:tr>
      <w:tr w:rsidR="00A85061" w14:paraId="27E08E5B" w14:textId="77777777">
        <w:tc>
          <w:tcPr>
            <w:tcW w:w="0" w:type="auto"/>
            <w:gridSpan w:val="3"/>
            <w:shd w:val="clear" w:color="auto" w:fill="auto"/>
            <w:tcMar>
              <w:top w:w="40" w:type="dxa"/>
              <w:left w:w="20" w:type="dxa"/>
              <w:bottom w:w="40" w:type="dxa"/>
              <w:right w:w="20" w:type="dxa"/>
            </w:tcMar>
          </w:tcPr>
          <w:p w14:paraId="27E08E50" w14:textId="77777777" w:rsidR="00A85061" w:rsidRDefault="00F04891">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27E08E51"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52" w14:textId="77777777" w:rsidR="00A85061" w:rsidRDefault="00F04891">
            <w:pPr>
              <w:textAlignment w:val="bottom"/>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27E08E5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6"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5A" w14:textId="77777777" w:rsidR="00A85061" w:rsidRDefault="00A85061">
            <w:pPr>
              <w:rPr>
                <w:rFonts w:ascii="宋体"/>
              </w:rPr>
            </w:pPr>
          </w:p>
        </w:tc>
      </w:tr>
      <w:tr w:rsidR="00A85061" w14:paraId="27E08E67" w14:textId="77777777">
        <w:tc>
          <w:tcPr>
            <w:tcW w:w="0" w:type="auto"/>
            <w:gridSpan w:val="3"/>
            <w:shd w:val="clear" w:color="auto" w:fill="auto"/>
            <w:tcMar>
              <w:top w:w="40" w:type="dxa"/>
              <w:left w:w="20" w:type="dxa"/>
              <w:bottom w:w="40" w:type="dxa"/>
              <w:right w:w="20" w:type="dxa"/>
            </w:tcMar>
          </w:tcPr>
          <w:p w14:paraId="27E08E5C" w14:textId="77777777" w:rsidR="00A85061" w:rsidRDefault="00F04891">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27E08E5D"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5E" w14:textId="77777777" w:rsidR="00A85061" w:rsidRDefault="00F04891">
            <w:pPr>
              <w:textAlignment w:val="bottom"/>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27E08E5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2"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3"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4"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5"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6" w14:textId="77777777" w:rsidR="00A85061" w:rsidRDefault="00A85061">
            <w:pPr>
              <w:rPr>
                <w:rFonts w:ascii="宋体"/>
              </w:rPr>
            </w:pPr>
          </w:p>
        </w:tc>
      </w:tr>
      <w:tr w:rsidR="00A85061" w14:paraId="27E08E73" w14:textId="77777777">
        <w:tc>
          <w:tcPr>
            <w:tcW w:w="0" w:type="auto"/>
            <w:gridSpan w:val="3"/>
            <w:shd w:val="clear" w:color="auto" w:fill="auto"/>
            <w:tcMar>
              <w:top w:w="40" w:type="dxa"/>
              <w:left w:w="20" w:type="dxa"/>
              <w:bottom w:w="40" w:type="dxa"/>
              <w:right w:w="20" w:type="dxa"/>
            </w:tcMar>
          </w:tcPr>
          <w:p w14:paraId="27E08E68" w14:textId="77777777" w:rsidR="00A85061" w:rsidRDefault="00F04891">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27E08E69"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6A" w14:textId="77777777" w:rsidR="00A85061" w:rsidRDefault="00F04891">
            <w:pPr>
              <w:textAlignment w:val="bottom"/>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Presentation Linkbase Document</w:t>
            </w:r>
          </w:p>
        </w:tc>
        <w:tc>
          <w:tcPr>
            <w:tcW w:w="0" w:type="auto"/>
            <w:gridSpan w:val="3"/>
            <w:shd w:val="clear" w:color="auto" w:fill="auto"/>
            <w:tcMar>
              <w:top w:w="0" w:type="dxa"/>
              <w:left w:w="20" w:type="dxa"/>
              <w:bottom w:w="0" w:type="dxa"/>
              <w:right w:w="20" w:type="dxa"/>
            </w:tcMar>
            <w:vAlign w:val="bottom"/>
          </w:tcPr>
          <w:p w14:paraId="27E08E6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E"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6F"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0"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1"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2" w14:textId="77777777" w:rsidR="00A85061" w:rsidRDefault="00A85061">
            <w:pPr>
              <w:rPr>
                <w:rFonts w:ascii="宋体"/>
              </w:rPr>
            </w:pPr>
          </w:p>
        </w:tc>
      </w:tr>
      <w:tr w:rsidR="00A85061" w14:paraId="27E08E7F" w14:textId="77777777">
        <w:tc>
          <w:tcPr>
            <w:tcW w:w="0" w:type="auto"/>
            <w:gridSpan w:val="3"/>
            <w:shd w:val="clear" w:color="auto" w:fill="auto"/>
            <w:tcMar>
              <w:top w:w="40" w:type="dxa"/>
              <w:left w:w="20" w:type="dxa"/>
              <w:bottom w:w="40" w:type="dxa"/>
              <w:right w:w="20" w:type="dxa"/>
            </w:tcMar>
          </w:tcPr>
          <w:p w14:paraId="27E08E74" w14:textId="77777777" w:rsidR="00A85061" w:rsidRDefault="00F04891">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27E08E75" w14:textId="77777777" w:rsidR="00A85061" w:rsidRDefault="00A85061">
            <w:pPr>
              <w:rPr>
                <w:rFonts w:ascii="宋体"/>
              </w:rPr>
            </w:pPr>
          </w:p>
        </w:tc>
        <w:tc>
          <w:tcPr>
            <w:tcW w:w="0" w:type="auto"/>
            <w:gridSpan w:val="3"/>
            <w:shd w:val="clear" w:color="auto" w:fill="auto"/>
            <w:tcMar>
              <w:top w:w="40" w:type="dxa"/>
              <w:left w:w="20" w:type="dxa"/>
              <w:bottom w:w="40" w:type="dxa"/>
              <w:right w:w="20" w:type="dxa"/>
            </w:tcMar>
            <w:vAlign w:val="bottom"/>
          </w:tcPr>
          <w:p w14:paraId="27E08E76" w14:textId="77777777" w:rsidR="00A85061" w:rsidRDefault="00F04891">
            <w:pPr>
              <w:textAlignment w:val="bottom"/>
            </w:pPr>
            <w:r>
              <w:rPr>
                <w:rFonts w:ascii="sans-serif" w:eastAsia="sans-serif" w:hAnsi="sans-serif" w:cs="sans-serif"/>
                <w:color w:val="000000"/>
                <w:sz w:val="20"/>
                <w:szCs w:val="20"/>
              </w:rPr>
              <w:t xml:space="preserve">Cover Page Interactive Data File - the cover page interactive data file does not appear in the Interactive Data File because its XBRL tags are embedded within the Inline XBRL </w:t>
            </w:r>
            <w:r>
              <w:rPr>
                <w:rFonts w:ascii="sans-serif" w:eastAsia="sans-serif" w:hAnsi="sans-serif" w:cs="sans-serif"/>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27E08E77"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8"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9"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A"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B"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C"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D" w14:textId="77777777" w:rsidR="00A85061" w:rsidRDefault="00A85061">
            <w:pPr>
              <w:rPr>
                <w:rFonts w:ascii="宋体"/>
              </w:rPr>
            </w:pPr>
          </w:p>
        </w:tc>
        <w:tc>
          <w:tcPr>
            <w:tcW w:w="0" w:type="auto"/>
            <w:gridSpan w:val="3"/>
            <w:shd w:val="clear" w:color="auto" w:fill="auto"/>
            <w:tcMar>
              <w:top w:w="0" w:type="dxa"/>
              <w:left w:w="20" w:type="dxa"/>
              <w:bottom w:w="0" w:type="dxa"/>
              <w:right w:w="20" w:type="dxa"/>
            </w:tcMar>
            <w:vAlign w:val="bottom"/>
          </w:tcPr>
          <w:p w14:paraId="27E08E7E" w14:textId="77777777" w:rsidR="00A85061" w:rsidRDefault="00A85061">
            <w:pPr>
              <w:rPr>
                <w:rFonts w:ascii="宋体"/>
              </w:rPr>
            </w:pPr>
          </w:p>
        </w:tc>
      </w:tr>
    </w:tbl>
    <w:p w14:paraId="27E08E80" w14:textId="77777777" w:rsidR="00A85061" w:rsidRDefault="00F04891">
      <w:pPr>
        <w:spacing w:after="180"/>
        <w:jc w:val="both"/>
      </w:pPr>
      <w:r>
        <w:rPr>
          <w:rFonts w:ascii="sans-serif" w:eastAsia="sans-serif" w:hAnsi="sans-serif" w:cs="sans-serif"/>
          <w:color w:val="000000"/>
          <w:sz w:val="20"/>
          <w:szCs w:val="20"/>
        </w:rPr>
        <w:t>** Filed herewith.</w:t>
      </w:r>
    </w:p>
    <w:p w14:paraId="27E08E81" w14:textId="77777777" w:rsidR="00A85061" w:rsidRDefault="00F04891">
      <w:pPr>
        <w:spacing w:after="180"/>
        <w:jc w:val="both"/>
      </w:pPr>
      <w:r>
        <w:rPr>
          <w:rFonts w:ascii="sans-serif" w:eastAsia="sans-serif" w:hAnsi="sans-serif" w:cs="sans-serif"/>
          <w:color w:val="000000"/>
          <w:sz w:val="20"/>
          <w:szCs w:val="20"/>
        </w:rPr>
        <w:t>+ Management contract or compensatory plan or arrangement.</w:t>
      </w:r>
    </w:p>
    <w:p w14:paraId="27E08E82" w14:textId="77777777" w:rsidR="00A85061" w:rsidRDefault="00F04891">
      <w:pPr>
        <w:spacing w:after="180"/>
        <w:jc w:val="both"/>
      </w:pPr>
      <w:r>
        <w:rPr>
          <w:rFonts w:ascii="sans-serif" w:eastAsia="sans-serif" w:hAnsi="sans-serif" w:cs="sans-serif"/>
          <w:color w:val="000000"/>
          <w:sz w:val="20"/>
          <w:szCs w:val="20"/>
        </w:rPr>
        <w:t xml:space="preserve"># In accordance with Item 601(b)(32)(ii) of Regulation S-K and SEC Release Nos. 33-8238 and 34-47986, Final Rule: Management's Reports on Internal </w:t>
      </w:r>
      <w:r>
        <w:rPr>
          <w:rFonts w:ascii="sans-serif" w:eastAsia="sans-serif" w:hAnsi="sans-serif" w:cs="sans-serif"/>
          <w:color w:val="000000"/>
          <w:sz w:val="20"/>
          <w:szCs w:val="20"/>
        </w:rPr>
        <w:t>Control Over Financial Reporting and Certification of Disclosure in Exchange Act Periodic Reports, the certifications furnished in Exhibits 32.1 and 32.2 hereto are deemed to accompany this Quarterly Report on Form 10-Q and will not be deemed “filed” for p</w:t>
      </w:r>
      <w:r>
        <w:rPr>
          <w:rFonts w:ascii="sans-serif" w:eastAsia="sans-serif" w:hAnsi="sans-serif" w:cs="sans-serif"/>
          <w:color w:val="000000"/>
          <w:sz w:val="20"/>
          <w:szCs w:val="20"/>
        </w:rPr>
        <w:t>urpose of Section 18 of the Exchange Act. Such certifications will not be deemed to be incorporated by reference into any filing under the Securities Act or the Exchange Act, except to the extent that the registrant specifically incorporates it by referenc</w:t>
      </w:r>
      <w:r>
        <w:rPr>
          <w:rFonts w:ascii="sans-serif" w:eastAsia="sans-serif" w:hAnsi="sans-serif" w:cs="sans-serif"/>
          <w:color w:val="000000"/>
          <w:sz w:val="20"/>
          <w:szCs w:val="20"/>
        </w:rPr>
        <w:t>e.</w:t>
      </w:r>
    </w:p>
    <w:p w14:paraId="27E08E83" w14:textId="77777777" w:rsidR="00A85061" w:rsidRDefault="00F04891">
      <w:pPr>
        <w:spacing w:after="180"/>
        <w:jc w:val="both"/>
      </w:pPr>
      <w:r>
        <w:rPr>
          <w:rFonts w:ascii="sans-serif" w:eastAsia="sans-serif" w:hAnsi="sans-serif" w:cs="sans-serif"/>
          <w:color w:val="000000"/>
          <w:sz w:val="20"/>
          <w:szCs w:val="20"/>
        </w:rPr>
        <w:t>Copies of above exhibits not contained herein are available to any shareholder upon written request to:</w:t>
      </w:r>
    </w:p>
    <w:p w14:paraId="27E08E84" w14:textId="77777777" w:rsidR="00A85061" w:rsidRDefault="00F04891">
      <w:pPr>
        <w:spacing w:after="180"/>
        <w:jc w:val="both"/>
      </w:pPr>
      <w:r>
        <w:rPr>
          <w:rFonts w:ascii="sans-serif" w:eastAsia="sans-serif" w:hAnsi="sans-serif" w:cs="sans-serif"/>
          <w:color w:val="000000"/>
          <w:sz w:val="20"/>
          <w:szCs w:val="20"/>
        </w:rPr>
        <w:t>Investor Relations: NVIDIA Corporation, 2788 San Tomas Expressway, Santa Clara, CA 95051.</w:t>
      </w:r>
    </w:p>
    <w:p w14:paraId="27E08E85" w14:textId="77777777" w:rsidR="00A85061" w:rsidRDefault="00F04891">
      <w:pPr>
        <w:spacing w:after="180"/>
        <w:jc w:val="center"/>
      </w:pPr>
      <w:r>
        <w:rPr>
          <w:rFonts w:ascii="sans-serif" w:eastAsia="sans-serif" w:hAnsi="sans-serif" w:cs="sans-serif"/>
          <w:color w:val="000000"/>
          <w:sz w:val="20"/>
          <w:szCs w:val="20"/>
        </w:rPr>
        <w:t>35</w:t>
      </w:r>
    </w:p>
    <w:p w14:paraId="27E08E86" w14:textId="77777777" w:rsidR="00A85061" w:rsidRDefault="00F04891">
      <w:r>
        <w:pict w14:anchorId="27E08F14">
          <v:rect id="_x0000_i1059" style="width:415.3pt;height:1.5pt" o:hralign="center" o:hrstd="t" o:hr="t" fillcolor="#a0a0a0" stroked="f"/>
        </w:pict>
      </w:r>
    </w:p>
    <w:p w14:paraId="27E08E87" w14:textId="77777777" w:rsidR="00A85061" w:rsidRDefault="00A85061">
      <w:pPr>
        <w:spacing w:after="180"/>
        <w:jc w:val="both"/>
      </w:pPr>
    </w:p>
    <w:p w14:paraId="27E08E88" w14:textId="77777777" w:rsidR="00A85061" w:rsidRDefault="00A85061">
      <w:pPr>
        <w:spacing w:after="180"/>
        <w:jc w:val="both"/>
      </w:pPr>
    </w:p>
    <w:p w14:paraId="27E08E89" w14:textId="77777777" w:rsidR="00A85061" w:rsidRDefault="00A85061">
      <w:pPr>
        <w:spacing w:after="180"/>
        <w:jc w:val="both"/>
      </w:pPr>
    </w:p>
    <w:p w14:paraId="27E08E8A" w14:textId="77777777" w:rsidR="00A85061" w:rsidRDefault="00F04891">
      <w:pPr>
        <w:spacing w:after="180"/>
        <w:jc w:val="center"/>
      </w:pPr>
      <w:r>
        <w:rPr>
          <w:rFonts w:ascii="sans-serif" w:eastAsia="sans-serif" w:hAnsi="sans-serif" w:cs="sans-serif"/>
          <w:b/>
          <w:bCs/>
          <w:color w:val="000000"/>
          <w:sz w:val="20"/>
          <w:szCs w:val="20"/>
        </w:rPr>
        <w:t>SIGNATURE</w:t>
      </w:r>
    </w:p>
    <w:p w14:paraId="27E08E8B" w14:textId="77777777" w:rsidR="00A85061" w:rsidRDefault="00F04891">
      <w:pPr>
        <w:spacing w:after="180"/>
        <w:jc w:val="both"/>
      </w:pPr>
      <w:r>
        <w:rPr>
          <w:rFonts w:ascii="sans-serif" w:eastAsia="sans-serif" w:hAnsi="sans-serif" w:cs="sans-serif"/>
          <w:color w:val="000000"/>
          <w:sz w:val="20"/>
          <w:szCs w:val="20"/>
        </w:rPr>
        <w:t>Pursuant to the requirements of the Secur</w:t>
      </w:r>
      <w:r>
        <w:rPr>
          <w:rFonts w:ascii="sans-serif" w:eastAsia="sans-serif" w:hAnsi="sans-serif" w:cs="sans-serif"/>
          <w:color w:val="000000"/>
          <w:sz w:val="20"/>
          <w:szCs w:val="20"/>
        </w:rPr>
        <w:t>ities Exchange Act of 1934, the registrant has duly caused this report to be signed on its behalf by the undersigned, thereunto duly authorized.</w:t>
      </w:r>
    </w:p>
    <w:p w14:paraId="27E08E8C" w14:textId="77777777" w:rsidR="00A85061" w:rsidRDefault="00F04891">
      <w:pPr>
        <w:spacing w:after="180"/>
        <w:jc w:val="both"/>
      </w:pPr>
      <w:r>
        <w:rPr>
          <w:rFonts w:ascii="sans-serif" w:eastAsia="sans-serif" w:hAnsi="sans-serif" w:cs="sans-serif"/>
          <w:color w:val="000000"/>
          <w:sz w:val="20"/>
          <w:szCs w:val="20"/>
        </w:rPr>
        <w:t xml:space="preserve">Date: May 26,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A85061" w14:paraId="27E08E99" w14:textId="77777777">
        <w:tc>
          <w:tcPr>
            <w:tcW w:w="50" w:type="pct"/>
            <w:shd w:val="clear" w:color="auto" w:fill="auto"/>
            <w:vAlign w:val="bottom"/>
          </w:tcPr>
          <w:p w14:paraId="27E08E8D" w14:textId="77777777" w:rsidR="00A85061" w:rsidRDefault="00A85061">
            <w:pPr>
              <w:rPr>
                <w:rFonts w:ascii="宋体"/>
              </w:rPr>
            </w:pPr>
          </w:p>
        </w:tc>
        <w:tc>
          <w:tcPr>
            <w:tcW w:w="2090" w:type="pct"/>
            <w:shd w:val="clear" w:color="auto" w:fill="auto"/>
            <w:vAlign w:val="bottom"/>
          </w:tcPr>
          <w:p w14:paraId="27E08E8E" w14:textId="77777777" w:rsidR="00A85061" w:rsidRDefault="00A85061">
            <w:pPr>
              <w:rPr>
                <w:rFonts w:ascii="宋体"/>
              </w:rPr>
            </w:pPr>
          </w:p>
        </w:tc>
        <w:tc>
          <w:tcPr>
            <w:tcW w:w="5" w:type="pct"/>
            <w:shd w:val="clear" w:color="auto" w:fill="auto"/>
            <w:vAlign w:val="bottom"/>
          </w:tcPr>
          <w:p w14:paraId="27E08E8F" w14:textId="77777777" w:rsidR="00A85061" w:rsidRDefault="00A85061">
            <w:pPr>
              <w:rPr>
                <w:rFonts w:ascii="宋体"/>
              </w:rPr>
            </w:pPr>
          </w:p>
        </w:tc>
        <w:tc>
          <w:tcPr>
            <w:tcW w:w="50" w:type="pct"/>
            <w:shd w:val="clear" w:color="auto" w:fill="auto"/>
            <w:vAlign w:val="bottom"/>
          </w:tcPr>
          <w:p w14:paraId="27E08E90" w14:textId="77777777" w:rsidR="00A85061" w:rsidRDefault="00A85061">
            <w:pPr>
              <w:rPr>
                <w:rFonts w:ascii="宋体"/>
              </w:rPr>
            </w:pPr>
          </w:p>
        </w:tc>
        <w:tc>
          <w:tcPr>
            <w:tcW w:w="896" w:type="pct"/>
            <w:shd w:val="clear" w:color="auto" w:fill="auto"/>
            <w:vAlign w:val="bottom"/>
          </w:tcPr>
          <w:p w14:paraId="27E08E91" w14:textId="77777777" w:rsidR="00A85061" w:rsidRDefault="00A85061">
            <w:pPr>
              <w:rPr>
                <w:rFonts w:ascii="宋体"/>
              </w:rPr>
            </w:pPr>
          </w:p>
        </w:tc>
        <w:tc>
          <w:tcPr>
            <w:tcW w:w="5" w:type="pct"/>
            <w:shd w:val="clear" w:color="auto" w:fill="auto"/>
            <w:vAlign w:val="bottom"/>
          </w:tcPr>
          <w:p w14:paraId="27E08E92" w14:textId="77777777" w:rsidR="00A85061" w:rsidRDefault="00A85061">
            <w:pPr>
              <w:rPr>
                <w:rFonts w:ascii="宋体"/>
              </w:rPr>
            </w:pPr>
          </w:p>
        </w:tc>
        <w:tc>
          <w:tcPr>
            <w:tcW w:w="50" w:type="pct"/>
            <w:shd w:val="clear" w:color="auto" w:fill="auto"/>
            <w:vAlign w:val="bottom"/>
          </w:tcPr>
          <w:p w14:paraId="27E08E93" w14:textId="77777777" w:rsidR="00A85061" w:rsidRDefault="00A85061">
            <w:pPr>
              <w:rPr>
                <w:rFonts w:ascii="宋体"/>
              </w:rPr>
            </w:pPr>
          </w:p>
        </w:tc>
        <w:tc>
          <w:tcPr>
            <w:tcW w:w="896" w:type="pct"/>
            <w:shd w:val="clear" w:color="auto" w:fill="auto"/>
            <w:vAlign w:val="bottom"/>
          </w:tcPr>
          <w:p w14:paraId="27E08E94" w14:textId="77777777" w:rsidR="00A85061" w:rsidRDefault="00A85061">
            <w:pPr>
              <w:rPr>
                <w:rFonts w:ascii="宋体"/>
              </w:rPr>
            </w:pPr>
          </w:p>
        </w:tc>
        <w:tc>
          <w:tcPr>
            <w:tcW w:w="5" w:type="pct"/>
            <w:shd w:val="clear" w:color="auto" w:fill="auto"/>
            <w:vAlign w:val="bottom"/>
          </w:tcPr>
          <w:p w14:paraId="27E08E95" w14:textId="77777777" w:rsidR="00A85061" w:rsidRDefault="00A85061">
            <w:pPr>
              <w:rPr>
                <w:rFonts w:ascii="宋体"/>
              </w:rPr>
            </w:pPr>
          </w:p>
        </w:tc>
        <w:tc>
          <w:tcPr>
            <w:tcW w:w="50" w:type="pct"/>
            <w:shd w:val="clear" w:color="auto" w:fill="auto"/>
            <w:vAlign w:val="bottom"/>
          </w:tcPr>
          <w:p w14:paraId="27E08E96" w14:textId="77777777" w:rsidR="00A85061" w:rsidRDefault="00A85061">
            <w:pPr>
              <w:rPr>
                <w:rFonts w:ascii="宋体"/>
              </w:rPr>
            </w:pPr>
          </w:p>
        </w:tc>
        <w:tc>
          <w:tcPr>
            <w:tcW w:w="896" w:type="pct"/>
            <w:shd w:val="clear" w:color="auto" w:fill="auto"/>
            <w:vAlign w:val="bottom"/>
          </w:tcPr>
          <w:p w14:paraId="27E08E97" w14:textId="77777777" w:rsidR="00A85061" w:rsidRDefault="00A85061">
            <w:pPr>
              <w:rPr>
                <w:rFonts w:ascii="宋体"/>
              </w:rPr>
            </w:pPr>
          </w:p>
        </w:tc>
        <w:tc>
          <w:tcPr>
            <w:tcW w:w="5" w:type="pct"/>
            <w:shd w:val="clear" w:color="auto" w:fill="auto"/>
            <w:vAlign w:val="bottom"/>
          </w:tcPr>
          <w:p w14:paraId="27E08E98" w14:textId="77777777" w:rsidR="00A85061" w:rsidRDefault="00A85061">
            <w:pPr>
              <w:rPr>
                <w:rFonts w:ascii="宋体"/>
              </w:rPr>
            </w:pPr>
          </w:p>
        </w:tc>
      </w:tr>
      <w:tr w:rsidR="00A85061" w14:paraId="27E08E9C" w14:textId="77777777">
        <w:tc>
          <w:tcPr>
            <w:tcW w:w="0" w:type="auto"/>
            <w:gridSpan w:val="3"/>
            <w:shd w:val="clear" w:color="auto" w:fill="auto"/>
            <w:tcMar>
              <w:top w:w="40" w:type="dxa"/>
              <w:left w:w="20" w:type="dxa"/>
              <w:bottom w:w="40" w:type="dxa"/>
              <w:right w:w="20" w:type="dxa"/>
            </w:tcMar>
          </w:tcPr>
          <w:p w14:paraId="27E08E9A" w14:textId="77777777" w:rsidR="00A85061" w:rsidRDefault="00F04891">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E9B" w14:textId="77777777" w:rsidR="00A85061" w:rsidRDefault="00F04891">
            <w:pPr>
              <w:textAlignment w:val="bottom"/>
            </w:pPr>
            <w:r>
              <w:rPr>
                <w:rFonts w:ascii="sans-serif" w:eastAsia="sans-serif" w:hAnsi="sans-serif" w:cs="sans-serif"/>
                <w:color w:val="000000"/>
                <w:sz w:val="20"/>
                <w:szCs w:val="20"/>
              </w:rPr>
              <w:t>NVIDIA Corporation </w:t>
            </w:r>
          </w:p>
        </w:tc>
      </w:tr>
      <w:tr w:rsidR="00A85061" w14:paraId="27E08EA0" w14:textId="77777777">
        <w:tc>
          <w:tcPr>
            <w:tcW w:w="0" w:type="auto"/>
            <w:gridSpan w:val="3"/>
            <w:shd w:val="clear" w:color="auto" w:fill="auto"/>
            <w:tcMar>
              <w:top w:w="40" w:type="dxa"/>
              <w:left w:w="20" w:type="dxa"/>
              <w:bottom w:w="40" w:type="dxa"/>
              <w:right w:w="20" w:type="dxa"/>
            </w:tcMar>
            <w:vAlign w:val="bottom"/>
          </w:tcPr>
          <w:p w14:paraId="27E08E9D" w14:textId="77777777" w:rsidR="00A85061" w:rsidRDefault="00F04891">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27E08E9E" w14:textId="77777777" w:rsidR="00A85061" w:rsidRDefault="00F04891">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27E08E9F" w14:textId="77777777" w:rsidR="00A85061" w:rsidRDefault="00A85061">
            <w:pPr>
              <w:rPr>
                <w:rFonts w:ascii="宋体"/>
              </w:rPr>
            </w:pPr>
          </w:p>
        </w:tc>
      </w:tr>
      <w:tr w:rsidR="00A85061" w14:paraId="27E08EA4" w14:textId="77777777">
        <w:trPr>
          <w:trHeight w:val="60"/>
        </w:trPr>
        <w:tc>
          <w:tcPr>
            <w:tcW w:w="0" w:type="auto"/>
            <w:gridSpan w:val="3"/>
            <w:shd w:val="clear" w:color="auto" w:fill="auto"/>
            <w:tcMar>
              <w:top w:w="0" w:type="dxa"/>
              <w:left w:w="20" w:type="dxa"/>
              <w:bottom w:w="0" w:type="dxa"/>
              <w:right w:w="20" w:type="dxa"/>
            </w:tcMar>
            <w:vAlign w:val="bottom"/>
          </w:tcPr>
          <w:p w14:paraId="27E08EA1" w14:textId="77777777" w:rsidR="00A85061" w:rsidRDefault="00A8506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27E08EA2" w14:textId="77777777" w:rsidR="00A85061" w:rsidRDefault="00A85061">
            <w:pPr>
              <w:rPr>
                <w:rFonts w:ascii="宋体"/>
              </w:rPr>
            </w:pPr>
          </w:p>
        </w:tc>
        <w:tc>
          <w:tcPr>
            <w:tcW w:w="0" w:type="auto"/>
            <w:gridSpan w:val="6"/>
            <w:shd w:val="clear" w:color="auto" w:fill="auto"/>
            <w:tcMar>
              <w:top w:w="0" w:type="dxa"/>
              <w:left w:w="20" w:type="dxa"/>
              <w:bottom w:w="0" w:type="dxa"/>
              <w:right w:w="20" w:type="dxa"/>
            </w:tcMar>
            <w:vAlign w:val="bottom"/>
          </w:tcPr>
          <w:p w14:paraId="27E08EA3" w14:textId="77777777" w:rsidR="00A85061" w:rsidRDefault="00A85061">
            <w:pPr>
              <w:rPr>
                <w:rFonts w:ascii="宋体"/>
              </w:rPr>
            </w:pPr>
          </w:p>
        </w:tc>
      </w:tr>
      <w:tr w:rsidR="00A85061" w14:paraId="27E08EA7" w14:textId="77777777">
        <w:tc>
          <w:tcPr>
            <w:tcW w:w="0" w:type="auto"/>
            <w:gridSpan w:val="3"/>
            <w:shd w:val="clear" w:color="auto" w:fill="auto"/>
            <w:tcMar>
              <w:top w:w="40" w:type="dxa"/>
              <w:left w:w="20" w:type="dxa"/>
              <w:bottom w:w="40" w:type="dxa"/>
              <w:right w:w="20" w:type="dxa"/>
            </w:tcMar>
          </w:tcPr>
          <w:p w14:paraId="27E08EA5" w14:textId="77777777" w:rsidR="00A85061" w:rsidRDefault="00F04891">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EA6" w14:textId="77777777" w:rsidR="00A85061" w:rsidRDefault="00F04891">
            <w:pPr>
              <w:textAlignment w:val="bottom"/>
            </w:pPr>
            <w:r>
              <w:rPr>
                <w:rFonts w:ascii="sans-serif" w:eastAsia="sans-serif" w:hAnsi="sans-serif" w:cs="sans-serif"/>
                <w:color w:val="000000"/>
                <w:sz w:val="20"/>
                <w:szCs w:val="20"/>
              </w:rPr>
              <w:t xml:space="preserve">Colette M. </w:t>
            </w:r>
            <w:r>
              <w:rPr>
                <w:rFonts w:ascii="sans-serif" w:eastAsia="sans-serif" w:hAnsi="sans-serif" w:cs="sans-serif"/>
                <w:color w:val="000000"/>
                <w:sz w:val="20"/>
                <w:szCs w:val="20"/>
              </w:rPr>
              <w:t>Kress</w:t>
            </w:r>
          </w:p>
        </w:tc>
      </w:tr>
      <w:tr w:rsidR="00A85061" w14:paraId="27E08EAA" w14:textId="77777777">
        <w:tc>
          <w:tcPr>
            <w:tcW w:w="0" w:type="auto"/>
            <w:gridSpan w:val="3"/>
            <w:shd w:val="clear" w:color="auto" w:fill="auto"/>
            <w:tcMar>
              <w:top w:w="40" w:type="dxa"/>
              <w:left w:w="20" w:type="dxa"/>
              <w:bottom w:w="40" w:type="dxa"/>
              <w:right w:w="20" w:type="dxa"/>
            </w:tcMar>
          </w:tcPr>
          <w:p w14:paraId="27E08EA8" w14:textId="77777777" w:rsidR="00A85061" w:rsidRDefault="00F04891">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27E08EA9" w14:textId="77777777" w:rsidR="00A85061" w:rsidRDefault="00F04891">
            <w:pPr>
              <w:textAlignment w:val="bottom"/>
            </w:pPr>
            <w:r>
              <w:rPr>
                <w:rFonts w:ascii="sans-serif" w:eastAsia="sans-serif" w:hAnsi="sans-serif" w:cs="sans-serif"/>
                <w:color w:val="000000"/>
                <w:sz w:val="20"/>
                <w:szCs w:val="20"/>
              </w:rPr>
              <w:t>Executive Vice President and Chief Financial Officer (Duly Authorized Officer and Principal Financial Officer)</w:t>
            </w:r>
          </w:p>
        </w:tc>
      </w:tr>
    </w:tbl>
    <w:p w14:paraId="27E08EAB" w14:textId="77777777" w:rsidR="00A85061" w:rsidRDefault="00A85061">
      <w:pPr>
        <w:spacing w:after="180"/>
        <w:jc w:val="both"/>
      </w:pPr>
    </w:p>
    <w:p w14:paraId="27E08EAC" w14:textId="77777777" w:rsidR="00A85061" w:rsidRDefault="00F04891">
      <w:pPr>
        <w:spacing w:after="180"/>
        <w:jc w:val="center"/>
      </w:pPr>
      <w:r>
        <w:rPr>
          <w:rFonts w:ascii="sans-serif" w:eastAsia="sans-serif" w:hAnsi="sans-serif" w:cs="sans-serif"/>
          <w:color w:val="000000"/>
          <w:sz w:val="20"/>
          <w:szCs w:val="20"/>
        </w:rPr>
        <w:t>36</w:t>
      </w:r>
    </w:p>
    <w:p w14:paraId="27E08EAD" w14:textId="77777777" w:rsidR="00A85061" w:rsidRDefault="00F0489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7E08F15" wp14:editId="27E08F16">
                <wp:extent cx="635" cy="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OLnNAECAAAaBAAADgAAAGRycy9l&#10;Mm9Eb2MueG1srVNLbhsxDN0X6B0E7etx3CZIBx4HRdx0E7QB0h6AljQzQvWDKHvs0xTorofocYpe&#10;o5TGdn4bLzqLAUWRj3yP1Pxqaw3bqIjau4afTaacKSe81K5r+LevN28uOcMEToLxTjV8p5BfLV6/&#10;mg+hVjPfeyNVZATisB5Cw/uUQl1VKHplASc+KEeXrY8WEh1jV8kIA6FbU82m04tq8FGG6IVCJO9y&#10;vOR7xHgKoG9bLdTSi7VVLo2oURlIRAl7HZAvSrdtq0T60raoEjMNJ6ap/KkI2av8rxZzqLsIoddi&#10;3wKc0sIzTha0o6JHqCUkYOuoX0BZLaJH36aJ8LYaiRRFiMXZ9Jk29z0EVbiQ1BiOouP/gxWfN3eR&#10;adnwy3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i5zQ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AF" w14:textId="77777777">
        <w:trPr>
          <w:tblCellSpacing w:w="15" w:type="dxa"/>
        </w:trPr>
        <w:tc>
          <w:tcPr>
            <w:tcW w:w="0" w:type="auto"/>
            <w:shd w:val="clear" w:color="auto" w:fill="auto"/>
            <w:vAlign w:val="center"/>
          </w:tcPr>
          <w:p w14:paraId="27E08EAE" w14:textId="77777777" w:rsidR="00A85061" w:rsidRDefault="00A85061">
            <w:pPr>
              <w:rPr>
                <w:rFonts w:ascii="宋体"/>
              </w:rPr>
            </w:pPr>
          </w:p>
        </w:tc>
      </w:tr>
    </w:tbl>
    <w:p w14:paraId="27E08EB0"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B2" w14:textId="77777777">
        <w:trPr>
          <w:tblCellSpacing w:w="15" w:type="dxa"/>
        </w:trPr>
        <w:tc>
          <w:tcPr>
            <w:tcW w:w="0" w:type="auto"/>
            <w:shd w:val="clear" w:color="auto" w:fill="auto"/>
            <w:vAlign w:val="center"/>
          </w:tcPr>
          <w:p w14:paraId="27E08EB1" w14:textId="77777777" w:rsidR="00A85061" w:rsidRDefault="00A85061">
            <w:pPr>
              <w:rPr>
                <w:rFonts w:ascii="宋体"/>
              </w:rPr>
            </w:pPr>
          </w:p>
        </w:tc>
      </w:tr>
    </w:tbl>
    <w:p w14:paraId="27E08EB3"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B5" w14:textId="77777777">
        <w:trPr>
          <w:tblCellSpacing w:w="15" w:type="dxa"/>
        </w:trPr>
        <w:tc>
          <w:tcPr>
            <w:tcW w:w="0" w:type="auto"/>
            <w:shd w:val="clear" w:color="auto" w:fill="auto"/>
            <w:vAlign w:val="center"/>
          </w:tcPr>
          <w:p w14:paraId="27E08EB4" w14:textId="77777777" w:rsidR="00A85061" w:rsidRDefault="00A85061">
            <w:pPr>
              <w:rPr>
                <w:rFonts w:ascii="宋体"/>
              </w:rPr>
            </w:pPr>
          </w:p>
        </w:tc>
      </w:tr>
    </w:tbl>
    <w:p w14:paraId="27E08EB6"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B8" w14:textId="77777777">
        <w:trPr>
          <w:tblCellSpacing w:w="15" w:type="dxa"/>
        </w:trPr>
        <w:tc>
          <w:tcPr>
            <w:tcW w:w="0" w:type="auto"/>
            <w:shd w:val="clear" w:color="auto" w:fill="auto"/>
            <w:vAlign w:val="center"/>
          </w:tcPr>
          <w:p w14:paraId="27E08EB7" w14:textId="77777777" w:rsidR="00A85061" w:rsidRDefault="00A85061">
            <w:pPr>
              <w:rPr>
                <w:rFonts w:ascii="宋体"/>
              </w:rPr>
            </w:pPr>
          </w:p>
        </w:tc>
      </w:tr>
    </w:tbl>
    <w:p w14:paraId="27E08EB9" w14:textId="77777777" w:rsidR="00A85061" w:rsidRDefault="00F04891">
      <w:r>
        <w:rPr>
          <w:rFonts w:ascii="宋体" w:eastAsia="宋体" w:hAnsi="宋体" w:cs="宋体"/>
        </w:rPr>
        <w:t xml:space="preserve">Previous Next </w:t>
      </w:r>
    </w:p>
    <w:p w14:paraId="27E08EBA" w14:textId="77777777" w:rsidR="00A85061" w:rsidRDefault="00F04891">
      <w:pPr>
        <w:pStyle w:val="a3"/>
      </w:pPr>
      <w:r>
        <w:t>Settings</w:t>
      </w:r>
    </w:p>
    <w:p w14:paraId="27E08EBB" w14:textId="77777777" w:rsidR="00A85061" w:rsidRDefault="00F04891">
      <w:pPr>
        <w:pStyle w:val="Style4"/>
      </w:pPr>
      <w:r>
        <w:t>窗体顶端</w:t>
      </w:r>
    </w:p>
    <w:p w14:paraId="27E08EBC" w14:textId="77777777" w:rsidR="00A85061" w:rsidRDefault="00F0489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7E08F17" wp14:editId="27E08F18">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lTHkQ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ZUx5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27E08EBD" w14:textId="77777777" w:rsidR="00A85061" w:rsidRDefault="00F0489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7E08F19" wp14:editId="27E08F1A">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GsSX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BrEl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7E08EBE" w14:textId="77777777" w:rsidR="00A85061" w:rsidRDefault="00F04891">
      <w:r>
        <w:pict w14:anchorId="27E08F1B">
          <v:rect id="_x0000_i1060" style="width:415.3pt;height:1.5pt" o:hralign="center" o:hrstd="t" o:hr="t" fillcolor="#a0a0a0" stroked="f"/>
        </w:pict>
      </w:r>
    </w:p>
    <w:p w14:paraId="27E08EBF" w14:textId="77777777" w:rsidR="00A85061" w:rsidRDefault="00F04891">
      <w:r>
        <w:rPr>
          <w:rFonts w:ascii="宋体" w:eastAsia="宋体" w:hAnsi="宋体" w:cs="宋体"/>
        </w:rPr>
        <w:t xml:space="preserve">Tagged Data </w:t>
      </w:r>
    </w:p>
    <w:p w14:paraId="27E08EC0" w14:textId="77777777" w:rsidR="00A85061" w:rsidRDefault="00F04891">
      <w:r>
        <w:rPr>
          <w:rFonts w:ascii="monospace" w:eastAsia="monospace" w:hAnsi="monospace" w:cs="monospace"/>
          <w:noProof/>
        </w:rPr>
        <mc:AlternateContent>
          <mc:Choice Requires="wps">
            <w:drawing>
              <wp:inline distT="0" distB="0" distL="114300" distR="114300" wp14:anchorId="27E08F1C" wp14:editId="27E08F1D">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b8pDAECAAAaBAAADgAAAGRycy9l&#10;Mm9Eb2MueG1srVNLbhsxDN0X6B0E7etxXCRpBx4HRdx0E7QB0h6AljQzQvWDKHvs0xTorofocYpe&#10;o5TGdn4bLzqLAUWRj3yP1Pxqaw3bqIjau4afTaacKSe81K5r+LevN2/ecYYJnATjnWr4TiG/Wrx+&#10;NR9CrWa+90aqyAjEYT2EhvcphbqqUPTKAk58UI4uWx8tJDrGrpIRBkK3pppNpxfV4KMM0QuFSN7l&#10;eMn3iPEUQN+2WqilF2urXBpRozKQiBL2OiBflG7bVon0pW1RJWYaTkxT+VMRslf5Xy3mUHcRQq/F&#10;vgU4pYVnnCxoR0WPUEtIwNZRv4CyWkSPvk0T4W01EimKEIuz6TNt7nsIqnAhqTEcRcf/Bys+b+4i&#10;07Lhl5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2/KQwBAgAAGgQAAA4AAAAAAAAA&#10;AQAgAAAAMwEAAGRycy9lMm9Eb2MueG1sUEsFBgAAAAAGAAYAWQEAAKYFAAAAAA==&#10;">
                <v:path/>
                <v:fill on="f" focussize="0,0"/>
                <v:stroke/>
                <v:imagedata o:title=""/>
                <o:lock v:ext="edit" aspectratio="t"/>
                <w10:wrap type="none"/>
                <w10:anchorlock/>
              </v:rect>
            </w:pict>
          </mc:Fallback>
        </mc:AlternateContent>
      </w:r>
    </w:p>
    <w:p w14:paraId="27E08EC1" w14:textId="77777777" w:rsidR="00A85061" w:rsidRDefault="00F04891">
      <w:r>
        <w:rPr>
          <w:rFonts w:ascii="宋体" w:eastAsia="宋体" w:hAnsi="宋体" w:cs="宋体"/>
        </w:rPr>
        <w:t>Save</w:t>
      </w:r>
    </w:p>
    <w:p w14:paraId="27E08EC2" w14:textId="77777777" w:rsidR="00A85061" w:rsidRDefault="00F04891">
      <w:r>
        <w:rPr>
          <w:rFonts w:ascii="宋体" w:eastAsia="宋体" w:hAnsi="宋体" w:cs="宋体"/>
        </w:rPr>
        <w:t>Reset</w:t>
      </w:r>
    </w:p>
    <w:p w14:paraId="27E08EC3" w14:textId="77777777" w:rsidR="00A85061" w:rsidRDefault="00F04891">
      <w:r>
        <w:pict w14:anchorId="27E08F1E">
          <v:rect id="_x0000_i1061" style="width:415.3pt;height:1.5pt" o:hralign="center" o:hrstd="t" o:hr="t" fillcolor="#a0a0a0" stroked="f"/>
        </w:pict>
      </w:r>
    </w:p>
    <w:p w14:paraId="27E08EC4" w14:textId="77777777" w:rsidR="00A85061" w:rsidRDefault="00F04891">
      <w:r>
        <w:rPr>
          <w:rFonts w:ascii="宋体" w:eastAsia="宋体" w:hAnsi="宋体" w:cs="宋体"/>
        </w:rPr>
        <w:t xml:space="preserve">Search Results </w:t>
      </w:r>
    </w:p>
    <w:p w14:paraId="27E08EC5" w14:textId="77777777" w:rsidR="00A85061" w:rsidRDefault="00F04891">
      <w:r>
        <w:rPr>
          <w:rFonts w:ascii="monospace" w:eastAsia="monospace" w:hAnsi="monospace" w:cs="monospace"/>
          <w:noProof/>
        </w:rPr>
        <mc:AlternateContent>
          <mc:Choice Requires="wps">
            <w:drawing>
              <wp:inline distT="0" distB="0" distL="114300" distR="114300" wp14:anchorId="27E08F1F" wp14:editId="27E08F20">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path/>
                <v:fill on="f" focussize="0,0"/>
                <v:stroke/>
                <v:imagedata o:title=""/>
                <o:lock v:ext="edit" aspectratio="t"/>
                <w10:wrap type="none"/>
                <w10:anchorlock/>
              </v:rect>
            </w:pict>
          </mc:Fallback>
        </mc:AlternateContent>
      </w:r>
    </w:p>
    <w:p w14:paraId="27E08EC6" w14:textId="77777777" w:rsidR="00A85061" w:rsidRDefault="00F04891">
      <w:r>
        <w:rPr>
          <w:rFonts w:ascii="宋体" w:eastAsia="宋体" w:hAnsi="宋体" w:cs="宋体"/>
        </w:rPr>
        <w:t>Save</w:t>
      </w:r>
    </w:p>
    <w:p w14:paraId="27E08EC7" w14:textId="77777777" w:rsidR="00A85061" w:rsidRDefault="00F04891">
      <w:r>
        <w:rPr>
          <w:rFonts w:ascii="宋体" w:eastAsia="宋体" w:hAnsi="宋体" w:cs="宋体"/>
        </w:rPr>
        <w:t>Reset</w:t>
      </w:r>
    </w:p>
    <w:p w14:paraId="27E08EC8" w14:textId="77777777" w:rsidR="00A85061" w:rsidRDefault="00F04891">
      <w:r>
        <w:pict w14:anchorId="27E08F21">
          <v:rect id="_x0000_i1062" style="width:415.3pt;height:1.5pt" o:hralign="center" o:hrstd="t" o:hr="t" fillcolor="#a0a0a0" stroked="f"/>
        </w:pict>
      </w:r>
    </w:p>
    <w:p w14:paraId="27E08EC9" w14:textId="77777777" w:rsidR="00A85061" w:rsidRDefault="00F04891">
      <w:r>
        <w:rPr>
          <w:rFonts w:ascii="宋体" w:eastAsia="宋体" w:hAnsi="宋体" w:cs="宋体"/>
        </w:rPr>
        <w:t xml:space="preserve">Selected Fact </w:t>
      </w:r>
    </w:p>
    <w:p w14:paraId="27E08ECA" w14:textId="77777777" w:rsidR="00A85061" w:rsidRDefault="00F04891">
      <w:r>
        <w:rPr>
          <w:rFonts w:ascii="monospace" w:eastAsia="monospace" w:hAnsi="monospace" w:cs="monospace"/>
          <w:noProof/>
        </w:rPr>
        <mc:AlternateContent>
          <mc:Choice Requires="wps">
            <w:drawing>
              <wp:inline distT="0" distB="0" distL="114300" distR="114300" wp14:anchorId="27E08F22" wp14:editId="27E08F23">
                <wp:extent cx="635" cy="0"/>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0fPLg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kmSOLA08d/ffvz6+Z2Rg9QZAtYU9BDuY+aH4c6LJ2TO3/TgOnWNgTSmPcqx1YvgfMB92raN&#10;NqcTYbYt6u+O6qttYoKcF+/PORM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n0fPLgACAAAaBAAADgAAAAAAAAAB&#10;ACAAAAAzAQAAZHJzL2Uyb0RvYy54bWxQSwUGAAAAAAYABgBZAQAApQUAAAAA&#10;">
                <v:path/>
                <v:fill on="f" focussize="0,0"/>
                <v:stroke/>
                <v:imagedata o:title=""/>
                <o:lock v:ext="edit" aspectratio="t"/>
                <w10:wrap type="none"/>
                <w10:anchorlock/>
              </v:rect>
            </w:pict>
          </mc:Fallback>
        </mc:AlternateContent>
      </w:r>
    </w:p>
    <w:p w14:paraId="27E08ECB" w14:textId="77777777" w:rsidR="00A85061" w:rsidRDefault="00F04891">
      <w:r>
        <w:rPr>
          <w:rFonts w:ascii="宋体" w:eastAsia="宋体" w:hAnsi="宋体" w:cs="宋体"/>
        </w:rPr>
        <w:t>Save</w:t>
      </w:r>
    </w:p>
    <w:p w14:paraId="27E08ECC" w14:textId="77777777" w:rsidR="00A85061" w:rsidRDefault="00F04891">
      <w:r>
        <w:rPr>
          <w:rFonts w:ascii="宋体" w:eastAsia="宋体" w:hAnsi="宋体" w:cs="宋体"/>
        </w:rPr>
        <w:t>Reset</w:t>
      </w:r>
    </w:p>
    <w:p w14:paraId="27E08ECD" w14:textId="77777777" w:rsidR="00A85061" w:rsidRDefault="00F04891">
      <w:r>
        <w:pict w14:anchorId="27E08F24">
          <v:rect id="_x0000_i1063" style="width:415.3pt;height:1.5pt" o:hralign="center" o:hrstd="t" o:hr="t" fillcolor="#a0a0a0" stroked="f"/>
        </w:pict>
      </w:r>
    </w:p>
    <w:p w14:paraId="27E08ECE" w14:textId="77777777" w:rsidR="00A85061" w:rsidRDefault="00F04891">
      <w:r>
        <w:rPr>
          <w:rFonts w:ascii="宋体" w:eastAsia="宋体" w:hAnsi="宋体" w:cs="宋体"/>
        </w:rPr>
        <w:t xml:space="preserve">Tag Shading (hover) </w:t>
      </w:r>
    </w:p>
    <w:p w14:paraId="27E08ECF" w14:textId="77777777" w:rsidR="00A85061" w:rsidRDefault="00F04891">
      <w:r>
        <w:rPr>
          <w:rFonts w:ascii="monospace" w:eastAsia="monospace" w:hAnsi="monospace" w:cs="monospace"/>
          <w:noProof/>
        </w:rPr>
        <mc:AlternateContent>
          <mc:Choice Requires="wps">
            <w:drawing>
              <wp:inline distT="0" distB="0" distL="114300" distR="114300" wp14:anchorId="27E08F25" wp14:editId="27E08F26">
                <wp:extent cx="635" cy="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KwhswECAAAaBAAADgAAAGRycy9l&#10;Mm9Eb2MueG1srVPNbhMxEL4j8Q6W72SToFZllU2FGsqlgkotDzCxvbsW/pPHySZPg8SNh+BxEK/B&#10;2JuEtlxyYA+r8Xjmm/m+GS+ud9awrYqovWv4bDLlTDnhpXZdw7883r654gwTOAnGO9XwvUJ+vXz9&#10;ajGEWs19741UkRGIw3oIDe9TCnVVoeiVBZz4oBxdtj5aSHSMXSUjDIRuTTWfTi+rwUcZohcKkbyr&#10;8ZIfEOM5gL5ttVArLzZWuTSiRmUgESXsdUC+LN22rRLpc9uiSsw0nJim8qciZK/zv1ouoO4ihF6L&#10;QwtwTgsvOFnQjoqeoFaQgG2i/gfKahE9+jZNhLfVSKQoQixm0xfaPPQQVOFCUmM4iY7/D1Z82t5H&#10;pmXDr2acObA08d/ffvz6+Z2Rg9QZAtYU9BDuY+aH4c6Lr8icv+nBdeo9BtKY9ijHVs+C8wEPabs2&#10;2pxOhNmuqL8/qa92iQlyXr694Ewc/RXUx6QQMX1U3rJsNDxSwaI1bO8w5bJQH0NyDedvtTFlsMax&#10;oeHvLu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SsIbMBAgAAGgQAAA4AAAAAAAAA&#10;AQAgAAAAMwEAAGRycy9lMm9Eb2MueG1sUEsFBgAAAAAGAAYAWQEAAKYFAAAAAA==&#10;">
                <v:path/>
                <v:fill on="f" focussize="0,0"/>
                <v:stroke/>
                <v:imagedata o:title=""/>
                <o:lock v:ext="edit" aspectratio="t"/>
                <w10:wrap type="none"/>
                <w10:anchorlock/>
              </v:rect>
            </w:pict>
          </mc:Fallback>
        </mc:AlternateContent>
      </w:r>
    </w:p>
    <w:p w14:paraId="27E08ED0" w14:textId="77777777" w:rsidR="00A85061" w:rsidRDefault="00F04891">
      <w:r>
        <w:rPr>
          <w:rFonts w:ascii="宋体" w:eastAsia="宋体" w:hAnsi="宋体" w:cs="宋体"/>
        </w:rPr>
        <w:t>Save</w:t>
      </w:r>
    </w:p>
    <w:p w14:paraId="27E08ED1" w14:textId="77777777" w:rsidR="00A85061" w:rsidRDefault="00F04891">
      <w:r>
        <w:rPr>
          <w:rFonts w:ascii="宋体" w:eastAsia="宋体" w:hAnsi="宋体" w:cs="宋体"/>
        </w:rPr>
        <w:t>Reset</w:t>
      </w:r>
    </w:p>
    <w:p w14:paraId="27E08ED2" w14:textId="77777777" w:rsidR="00A85061" w:rsidRDefault="00F04891">
      <w:pPr>
        <w:pStyle w:val="Style5"/>
      </w:pPr>
      <w:r>
        <w:t>窗体底端</w:t>
      </w:r>
    </w:p>
    <w:p w14:paraId="27E08ED3" w14:textId="77777777" w:rsidR="00A85061" w:rsidRDefault="00F0489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7E08F27" wp14:editId="27E08F28">
                <wp:extent cx="635" cy="0"/>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JZjzgE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jnjzIGlif/+9uPXz++MHKTOELCmoIdwHzM/DHdePCFz/qYH16lrDKQx7VGOrV4E5wPu07Zt&#10;tDmdCLNtUX93VF9tExPkvHh/zpk4+CuoD0khYvqkvGXZaHikgkVr2NxhymWhPoTkGs7famPKYI1j&#10;Q8M/nM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iWY84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D5" w14:textId="77777777">
        <w:trPr>
          <w:tblCellSpacing w:w="15" w:type="dxa"/>
        </w:trPr>
        <w:tc>
          <w:tcPr>
            <w:tcW w:w="0" w:type="auto"/>
            <w:shd w:val="clear" w:color="auto" w:fill="auto"/>
            <w:vAlign w:val="center"/>
          </w:tcPr>
          <w:p w14:paraId="27E08ED4" w14:textId="77777777" w:rsidR="00A85061" w:rsidRDefault="00A85061">
            <w:pPr>
              <w:rPr>
                <w:rFonts w:ascii="宋体"/>
              </w:rPr>
            </w:pPr>
          </w:p>
        </w:tc>
      </w:tr>
    </w:tbl>
    <w:p w14:paraId="27E08ED6"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D8" w14:textId="77777777">
        <w:trPr>
          <w:tblCellSpacing w:w="15" w:type="dxa"/>
        </w:trPr>
        <w:tc>
          <w:tcPr>
            <w:tcW w:w="0" w:type="auto"/>
            <w:shd w:val="clear" w:color="auto" w:fill="auto"/>
            <w:vAlign w:val="center"/>
          </w:tcPr>
          <w:p w14:paraId="27E08ED7" w14:textId="77777777" w:rsidR="00A85061" w:rsidRDefault="00A85061">
            <w:pPr>
              <w:rPr>
                <w:rFonts w:ascii="宋体"/>
              </w:rPr>
            </w:pPr>
          </w:p>
        </w:tc>
      </w:tr>
    </w:tbl>
    <w:p w14:paraId="27E08ED9"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DB" w14:textId="77777777">
        <w:trPr>
          <w:tblCellSpacing w:w="15" w:type="dxa"/>
        </w:trPr>
        <w:tc>
          <w:tcPr>
            <w:tcW w:w="0" w:type="auto"/>
            <w:shd w:val="clear" w:color="auto" w:fill="auto"/>
            <w:vAlign w:val="center"/>
          </w:tcPr>
          <w:p w14:paraId="27E08EDA" w14:textId="77777777" w:rsidR="00A85061" w:rsidRDefault="00A85061">
            <w:pPr>
              <w:rPr>
                <w:rFonts w:ascii="宋体"/>
              </w:rPr>
            </w:pPr>
          </w:p>
        </w:tc>
      </w:tr>
    </w:tbl>
    <w:p w14:paraId="27E08EDC"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DE" w14:textId="77777777">
        <w:trPr>
          <w:tblCellSpacing w:w="15" w:type="dxa"/>
        </w:trPr>
        <w:tc>
          <w:tcPr>
            <w:tcW w:w="0" w:type="auto"/>
            <w:shd w:val="clear" w:color="auto" w:fill="auto"/>
            <w:vAlign w:val="center"/>
          </w:tcPr>
          <w:p w14:paraId="27E08EDD" w14:textId="77777777" w:rsidR="00A85061" w:rsidRDefault="00A85061">
            <w:pPr>
              <w:rPr>
                <w:rFonts w:ascii="宋体"/>
              </w:rPr>
            </w:pPr>
          </w:p>
        </w:tc>
      </w:tr>
    </w:tbl>
    <w:p w14:paraId="27E08EDF" w14:textId="77777777" w:rsidR="00A85061" w:rsidRDefault="00F04891">
      <w:r>
        <w:rPr>
          <w:rFonts w:ascii="宋体" w:eastAsia="宋体" w:hAnsi="宋体" w:cs="宋体"/>
        </w:rPr>
        <w:t xml:space="preserve">Previous Next </w:t>
      </w:r>
    </w:p>
    <w:p w14:paraId="27E08EE0" w14:textId="77777777" w:rsidR="00A85061" w:rsidRDefault="00F04891">
      <w:pPr>
        <w:pStyle w:val="a3"/>
      </w:pPr>
      <w:r>
        <w:t xml:space="preserve">Nested Facts / </w:t>
      </w:r>
    </w:p>
    <w:p w14:paraId="27E08EE1" w14:textId="77777777" w:rsidR="00A85061" w:rsidRDefault="00F04891">
      <w:r>
        <w:rPr>
          <w:rFonts w:ascii="宋体" w:eastAsia="宋体" w:hAnsi="宋体" w:cs="宋体"/>
        </w:rPr>
        <w:t xml:space="preserve">Previous Next </w:t>
      </w:r>
    </w:p>
    <w:p w14:paraId="27E08EE2" w14:textId="77777777" w:rsidR="00A85061" w:rsidRDefault="00F0489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7E08F29" wp14:editId="27E08F2A">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E4" w14:textId="77777777">
        <w:trPr>
          <w:tblCellSpacing w:w="15" w:type="dxa"/>
        </w:trPr>
        <w:tc>
          <w:tcPr>
            <w:tcW w:w="0" w:type="auto"/>
            <w:shd w:val="clear" w:color="auto" w:fill="auto"/>
            <w:vAlign w:val="center"/>
          </w:tcPr>
          <w:p w14:paraId="27E08EE3" w14:textId="77777777" w:rsidR="00A85061" w:rsidRDefault="00A85061">
            <w:pPr>
              <w:rPr>
                <w:rFonts w:ascii="宋体"/>
              </w:rPr>
            </w:pPr>
          </w:p>
        </w:tc>
      </w:tr>
    </w:tbl>
    <w:p w14:paraId="27E08EE5"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E7" w14:textId="77777777">
        <w:trPr>
          <w:tblCellSpacing w:w="15" w:type="dxa"/>
        </w:trPr>
        <w:tc>
          <w:tcPr>
            <w:tcW w:w="0" w:type="auto"/>
            <w:shd w:val="clear" w:color="auto" w:fill="auto"/>
            <w:vAlign w:val="center"/>
          </w:tcPr>
          <w:p w14:paraId="27E08EE6" w14:textId="77777777" w:rsidR="00A85061" w:rsidRDefault="00A85061">
            <w:pPr>
              <w:rPr>
                <w:rFonts w:ascii="宋体"/>
              </w:rPr>
            </w:pPr>
          </w:p>
        </w:tc>
      </w:tr>
    </w:tbl>
    <w:p w14:paraId="27E08EE8"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EA" w14:textId="77777777">
        <w:trPr>
          <w:tblCellSpacing w:w="15" w:type="dxa"/>
        </w:trPr>
        <w:tc>
          <w:tcPr>
            <w:tcW w:w="0" w:type="auto"/>
            <w:shd w:val="clear" w:color="auto" w:fill="auto"/>
            <w:vAlign w:val="center"/>
          </w:tcPr>
          <w:p w14:paraId="27E08EE9" w14:textId="77777777" w:rsidR="00A85061" w:rsidRDefault="00A85061">
            <w:pPr>
              <w:rPr>
                <w:rFonts w:ascii="宋体"/>
              </w:rPr>
            </w:pPr>
          </w:p>
        </w:tc>
      </w:tr>
    </w:tbl>
    <w:p w14:paraId="27E08EEB" w14:textId="77777777" w:rsidR="00A85061" w:rsidRDefault="00A8506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5061" w14:paraId="27E08EED" w14:textId="77777777">
        <w:trPr>
          <w:tblCellSpacing w:w="15" w:type="dxa"/>
        </w:trPr>
        <w:tc>
          <w:tcPr>
            <w:tcW w:w="0" w:type="auto"/>
            <w:shd w:val="clear" w:color="auto" w:fill="auto"/>
            <w:vAlign w:val="center"/>
          </w:tcPr>
          <w:p w14:paraId="27E08EEC" w14:textId="77777777" w:rsidR="00A85061" w:rsidRDefault="00A85061">
            <w:pPr>
              <w:rPr>
                <w:rFonts w:ascii="宋体"/>
              </w:rPr>
            </w:pPr>
          </w:p>
        </w:tc>
      </w:tr>
    </w:tbl>
    <w:p w14:paraId="27E08EEE" w14:textId="77777777" w:rsidR="00A85061" w:rsidRDefault="00F04891">
      <w:r>
        <w:rPr>
          <w:rFonts w:ascii="宋体" w:eastAsia="宋体" w:hAnsi="宋体" w:cs="宋体"/>
        </w:rPr>
        <w:t xml:space="preserve">Previous Next </w:t>
      </w:r>
    </w:p>
    <w:p w14:paraId="27E08EEF" w14:textId="77777777" w:rsidR="00A85061" w:rsidRDefault="00A85061"/>
    <w:sectPr w:rsidR="00A8506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7E56" w14:textId="77777777" w:rsidR="00F04891" w:rsidRDefault="00F04891" w:rsidP="00F04891">
      <w:r>
        <w:separator/>
      </w:r>
    </w:p>
  </w:endnote>
  <w:endnote w:type="continuationSeparator" w:id="0">
    <w:p w14:paraId="03268689" w14:textId="77777777" w:rsidR="00F04891" w:rsidRDefault="00F04891" w:rsidP="00F0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A521" w14:textId="77777777" w:rsidR="00F04891" w:rsidRDefault="00F04891" w:rsidP="00F04891">
      <w:r>
        <w:separator/>
      </w:r>
    </w:p>
  </w:footnote>
  <w:footnote w:type="continuationSeparator" w:id="0">
    <w:p w14:paraId="648B0C57" w14:textId="77777777" w:rsidR="00F04891" w:rsidRDefault="00F04891" w:rsidP="00F04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59E417"/>
    <w:rsid w:val="FF59E417"/>
    <w:rsid w:val="00A85061"/>
    <w:rsid w:val="00F04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07307"/>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F048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04891"/>
    <w:rPr>
      <w:rFonts w:asciiTheme="minorEastAsia" w:hAnsiTheme="minorEastAsia" w:cs="Times New Roman"/>
      <w:sz w:val="18"/>
      <w:szCs w:val="18"/>
    </w:rPr>
  </w:style>
  <w:style w:type="paragraph" w:styleId="a8">
    <w:name w:val="footer"/>
    <w:basedOn w:val="a"/>
    <w:link w:val="a9"/>
    <w:rsid w:val="00F04891"/>
    <w:pPr>
      <w:tabs>
        <w:tab w:val="center" w:pos="4153"/>
        <w:tab w:val="right" w:pos="8306"/>
      </w:tabs>
      <w:snapToGrid w:val="0"/>
    </w:pPr>
    <w:rPr>
      <w:sz w:val="18"/>
      <w:szCs w:val="18"/>
    </w:rPr>
  </w:style>
  <w:style w:type="character" w:customStyle="1" w:styleId="a9">
    <w:name w:val="页脚 字符"/>
    <w:basedOn w:val="a0"/>
    <w:link w:val="a8"/>
    <w:rsid w:val="00F0489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1000064/nvda-20210502.htm" TargetMode="External"/><Relationship Id="rId18" Type="http://schemas.openxmlformats.org/officeDocument/2006/relationships/hyperlink" Target="https://www.sec.gov/ix?doc=/Archives/edgar/data/0001045810/000104581021000064/nvda-20210502.htm" TargetMode="External"/><Relationship Id="rId26" Type="http://schemas.openxmlformats.org/officeDocument/2006/relationships/hyperlink" Target="https://www.sec.gov/ix?doc=/Archives/edgar/data/0001045810/000104581021000064/nvda-20210502.htm" TargetMode="External"/><Relationship Id="rId39" Type="http://schemas.openxmlformats.org/officeDocument/2006/relationships/theme" Target="theme/theme1.xml"/><Relationship Id="rId21" Type="http://schemas.openxmlformats.org/officeDocument/2006/relationships/hyperlink" Target="https://www.sec.gov/ix?doc=/Archives/edgar/data/0001045810/000104581021000064/nvda-20210502.htm" TargetMode="External"/><Relationship Id="rId34" Type="http://schemas.openxmlformats.org/officeDocument/2006/relationships/hyperlink" Target="https://www.sec.gov/Archives/edgar/data/0001045810/000104581021000064/nvda2022q1ex311.htm" TargetMode="External"/><Relationship Id="rId7" Type="http://schemas.openxmlformats.org/officeDocument/2006/relationships/hyperlink" Target="https://www.sec.gov/ix?doc=/Archives/edgar/data/0001045810/000104581021000064/nvda-20210502.htm" TargetMode="External"/><Relationship Id="rId12" Type="http://schemas.openxmlformats.org/officeDocument/2006/relationships/hyperlink" Target="https://www.sec.gov/ix?doc=/Archives/edgar/data/0001045810/000104581021000064/nvda-20210502.htm" TargetMode="External"/><Relationship Id="rId17" Type="http://schemas.openxmlformats.org/officeDocument/2006/relationships/hyperlink" Target="https://www.sec.gov/ix?doc=/Archives/edgar/data/0001045810/000104581021000064/nvda-20210502.htm" TargetMode="External"/><Relationship Id="rId25" Type="http://schemas.openxmlformats.org/officeDocument/2006/relationships/hyperlink" Target="https://www.sec.gov/ix?doc=/Archives/edgar/data/0001045810/000104581021000064/nvda-20210502.htm" TargetMode="External"/><Relationship Id="rId33" Type="http://schemas.openxmlformats.org/officeDocument/2006/relationships/hyperlink" Target="https://www.sec.gov/Archives/edgar/data/0001045810/000104581021000064/ex102globalrsuagreement-20.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ix?doc=/Archives/edgar/data/0001045810/000104581021000064/nvda-20210502.htm" TargetMode="External"/><Relationship Id="rId20" Type="http://schemas.openxmlformats.org/officeDocument/2006/relationships/hyperlink" Target="https://www.sec.gov/ix?doc=/Archives/edgar/data/0001045810/000104581021000064/nvda-20210502.htm" TargetMode="External"/><Relationship Id="rId29" Type="http://schemas.openxmlformats.org/officeDocument/2006/relationships/hyperlink" Target="https://www.sec.gov/ix?doc=/Archives/edgar/data/0001045810/000104581021000064/nvda-20210502.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1000064/nvda-20210502.htm" TargetMode="External"/><Relationship Id="rId24" Type="http://schemas.openxmlformats.org/officeDocument/2006/relationships/hyperlink" Target="https://www.sec.gov/ix?doc=/Archives/edgar/data/0001045810/000104581021000064/nvda-20210502.htm" TargetMode="External"/><Relationship Id="rId32" Type="http://schemas.openxmlformats.org/officeDocument/2006/relationships/hyperlink" Target="http://www.sec.gov/Archives/edgar/data/1045810/000104581021000034/exhibit101fy2022variableco.htm" TargetMode="External"/><Relationship Id="rId37" Type="http://schemas.openxmlformats.org/officeDocument/2006/relationships/hyperlink" Target="https://www.sec.gov/Archives/edgar/data/0001045810/000104581021000064/nvda2022q1ex322.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1000064/nvda-20210502.htm" TargetMode="External"/><Relationship Id="rId23" Type="http://schemas.openxmlformats.org/officeDocument/2006/relationships/hyperlink" Target="https://www.sec.gov/ix?doc=/Archives/edgar/data/0001045810/000104581021000064/nvda-20210502.htm" TargetMode="External"/><Relationship Id="rId28" Type="http://schemas.openxmlformats.org/officeDocument/2006/relationships/hyperlink" Target="https://www.sec.gov/ix?doc=/Archives/edgar/data/0001045810/000104581021000064/nvda-20210502.htm" TargetMode="External"/><Relationship Id="rId36" Type="http://schemas.openxmlformats.org/officeDocument/2006/relationships/hyperlink" Target="https://www.sec.gov/Archives/edgar/data/0001045810/000104581021000064/nvda2022q1ex321.htm" TargetMode="External"/><Relationship Id="rId10" Type="http://schemas.openxmlformats.org/officeDocument/2006/relationships/hyperlink" Target="https://www.sec.gov/ix?doc=/Archives/edgar/data/0001045810/000104581021000064/nvda-20210502.htm" TargetMode="External"/><Relationship Id="rId19" Type="http://schemas.openxmlformats.org/officeDocument/2006/relationships/hyperlink" Target="https://www.sec.gov/ix?doc=/Archives/edgar/data/0001045810/000104581021000064/nvda-20210502.htm" TargetMode="External"/><Relationship Id="rId31" Type="http://schemas.openxmlformats.org/officeDocument/2006/relationships/hyperlink" Target="https://www.sec.gov/ix?doc=/Archives/edgar/data/0001045810/000104581021000064/nvda-20210502.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1000064/nvda-20210502.htm" TargetMode="External"/><Relationship Id="rId14" Type="http://schemas.openxmlformats.org/officeDocument/2006/relationships/hyperlink" Target="https://www.sec.gov/ix?doc=/Archives/edgar/data/0001045810/000104581021000064/nvda-20210502.htm" TargetMode="External"/><Relationship Id="rId22" Type="http://schemas.openxmlformats.org/officeDocument/2006/relationships/hyperlink" Target="https://www.sec.gov/ix?doc=/Archives/edgar/data/0001045810/000104581021000064/nvda-20210502.htm" TargetMode="External"/><Relationship Id="rId27" Type="http://schemas.openxmlformats.org/officeDocument/2006/relationships/hyperlink" Target="https://www.sec.gov/ix?doc=/Archives/edgar/data/0001045810/000104581021000064/nvda-20210502.htm" TargetMode="External"/><Relationship Id="rId30" Type="http://schemas.openxmlformats.org/officeDocument/2006/relationships/hyperlink" Target="https://www.sec.gov/ix?doc=/Archives/edgar/data/0001045810/000104581021000064/nvda-20210502.htm" TargetMode="External"/><Relationship Id="rId35" Type="http://schemas.openxmlformats.org/officeDocument/2006/relationships/hyperlink" Target="https://www.sec.gov/Archives/edgar/data/0001045810/000104581021000064/nvda2022q1ex312.htm" TargetMode="External"/><Relationship Id="rId8" Type="http://schemas.openxmlformats.org/officeDocument/2006/relationships/hyperlink" Target="https://www.sec.gov/ix?doc=/Archives/edgar/data/0001045810/000104581021000064/nvda-20210502.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17741</Words>
  <Characters>101126</Characters>
  <Application>Microsoft Office Word</Application>
  <DocSecurity>0</DocSecurity>
  <Lines>842</Lines>
  <Paragraphs>237</Paragraphs>
  <ScaleCrop>false</ScaleCrop>
  <Company/>
  <LinksUpToDate>false</LinksUpToDate>
  <CharactersWithSpaces>118630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2023-02-11T22:18:00Z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A025D9F7831ACB069FA3E763F0C004A5</vt:lpwstr>
  </property>
</Properties>
</file>