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65E6D" w14:textId="63F644A5" w:rsidR="00611BDD" w:rsidRDefault="002E18C7">
      <w:pPr>
        <w:jc w:val="center"/>
      </w:pPr>
      <w:r>
        <w:rPr>
          <w:rFonts w:ascii="sans-serif" w:eastAsia="sans-serif" w:hAnsi="sans-serif" w:cs="sans-serif"/>
          <w:b/>
          <w:bCs/>
          <w:color w:val="000000"/>
          <w:sz w:val="18"/>
          <w:szCs w:val="18"/>
        </w:rPr>
        <w:t xml:space="preserve"> </w:t>
      </w:r>
      <w:r>
        <w:rPr>
          <w:rFonts w:ascii="sans-serif" w:eastAsia="sans-serif" w:hAnsi="sans-serif" w:cs="sans-serif"/>
          <w:b/>
          <w:bCs/>
          <w:color w:val="000000"/>
          <w:sz w:val="18"/>
          <w:szCs w:val="18"/>
        </w:rPr>
        <w:t>UNITED STATES</w:t>
      </w:r>
    </w:p>
    <w:p w14:paraId="54065E6E" w14:textId="77777777" w:rsidR="00611BDD" w:rsidRDefault="002E18C7">
      <w:pPr>
        <w:jc w:val="center"/>
      </w:pPr>
      <w:r>
        <w:rPr>
          <w:rFonts w:ascii="sans-serif" w:eastAsia="sans-serif" w:hAnsi="sans-serif" w:cs="sans-serif"/>
          <w:b/>
          <w:bCs/>
          <w:color w:val="000000"/>
          <w:sz w:val="18"/>
          <w:szCs w:val="18"/>
        </w:rPr>
        <w:t>SECURITIES AND EXCHANGE COMMISSION</w:t>
      </w:r>
    </w:p>
    <w:p w14:paraId="54065E6F" w14:textId="77777777" w:rsidR="00611BDD" w:rsidRDefault="002E18C7">
      <w:pPr>
        <w:jc w:val="center"/>
      </w:pPr>
      <w:r>
        <w:rPr>
          <w:rFonts w:ascii="sans-serif" w:eastAsia="sans-serif" w:hAnsi="sans-serif" w:cs="sans-serif"/>
          <w:b/>
          <w:bCs/>
          <w:color w:val="000000"/>
          <w:sz w:val="18"/>
          <w:szCs w:val="18"/>
        </w:rPr>
        <w:t>Washington, D.C. 20549</w:t>
      </w:r>
    </w:p>
    <w:tbl>
      <w:tblPr>
        <w:tblW w:w="1389" w:type="pct"/>
        <w:jc w:val="center"/>
        <w:tblCellMar>
          <w:top w:w="15" w:type="dxa"/>
          <w:left w:w="15" w:type="dxa"/>
          <w:bottom w:w="15" w:type="dxa"/>
          <w:right w:w="15" w:type="dxa"/>
        </w:tblCellMar>
        <w:tblLook w:val="04A0" w:firstRow="1" w:lastRow="0" w:firstColumn="1" w:lastColumn="0" w:noHBand="0" w:noVBand="1"/>
      </w:tblPr>
      <w:tblGrid>
        <w:gridCol w:w="36"/>
        <w:gridCol w:w="2244"/>
        <w:gridCol w:w="36"/>
      </w:tblGrid>
      <w:tr w:rsidR="00611BDD" w14:paraId="54065E73" w14:textId="77777777">
        <w:trPr>
          <w:jc w:val="center"/>
        </w:trPr>
        <w:tc>
          <w:tcPr>
            <w:tcW w:w="50" w:type="pct"/>
            <w:shd w:val="clear" w:color="auto" w:fill="auto"/>
            <w:vAlign w:val="bottom"/>
          </w:tcPr>
          <w:p w14:paraId="54065E70" w14:textId="77777777" w:rsidR="00611BDD" w:rsidRDefault="00611BDD">
            <w:pPr>
              <w:rPr>
                <w:rFonts w:ascii="宋体"/>
              </w:rPr>
            </w:pPr>
          </w:p>
        </w:tc>
        <w:tc>
          <w:tcPr>
            <w:tcW w:w="4945" w:type="pct"/>
            <w:shd w:val="clear" w:color="auto" w:fill="auto"/>
            <w:vAlign w:val="bottom"/>
          </w:tcPr>
          <w:p w14:paraId="54065E71" w14:textId="77777777" w:rsidR="00611BDD" w:rsidRDefault="00611BDD">
            <w:pPr>
              <w:rPr>
                <w:rFonts w:ascii="宋体"/>
              </w:rPr>
            </w:pPr>
          </w:p>
        </w:tc>
        <w:tc>
          <w:tcPr>
            <w:tcW w:w="5" w:type="pct"/>
            <w:shd w:val="clear" w:color="auto" w:fill="auto"/>
            <w:vAlign w:val="bottom"/>
          </w:tcPr>
          <w:p w14:paraId="54065E72" w14:textId="77777777" w:rsidR="00611BDD" w:rsidRDefault="00611BDD">
            <w:pPr>
              <w:rPr>
                <w:rFonts w:ascii="宋体"/>
              </w:rPr>
            </w:pPr>
          </w:p>
        </w:tc>
      </w:tr>
      <w:tr w:rsidR="00611BDD" w14:paraId="54065E75"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4065E74" w14:textId="77777777" w:rsidR="00611BDD" w:rsidRDefault="00611BDD">
            <w:pPr>
              <w:rPr>
                <w:rFonts w:ascii="宋体"/>
              </w:rPr>
            </w:pPr>
          </w:p>
        </w:tc>
      </w:tr>
    </w:tbl>
    <w:p w14:paraId="54065E76" w14:textId="77777777" w:rsidR="00611BDD" w:rsidRDefault="002E18C7">
      <w:pPr>
        <w:jc w:val="center"/>
      </w:pPr>
      <w:r>
        <w:rPr>
          <w:rFonts w:ascii="sans-serif" w:eastAsia="sans-serif" w:hAnsi="sans-serif" w:cs="sans-serif"/>
          <w:b/>
          <w:bCs/>
          <w:color w:val="000000"/>
          <w:sz w:val="28"/>
          <w:szCs w:val="28"/>
        </w:rPr>
        <w:t xml:space="preserve">FORM 10-Q </w:t>
      </w:r>
    </w:p>
    <w:tbl>
      <w:tblPr>
        <w:tblW w:w="4743" w:type="pct"/>
        <w:jc w:val="center"/>
        <w:tblCellMar>
          <w:top w:w="15" w:type="dxa"/>
          <w:left w:w="15" w:type="dxa"/>
          <w:bottom w:w="15" w:type="dxa"/>
          <w:right w:w="15" w:type="dxa"/>
        </w:tblCellMar>
        <w:tblLook w:val="04A0" w:firstRow="1" w:lastRow="0" w:firstColumn="1" w:lastColumn="0" w:noHBand="0" w:noVBand="1"/>
      </w:tblPr>
      <w:tblGrid>
        <w:gridCol w:w="65"/>
        <w:gridCol w:w="176"/>
        <w:gridCol w:w="36"/>
        <w:gridCol w:w="65"/>
        <w:gridCol w:w="7530"/>
        <w:gridCol w:w="36"/>
      </w:tblGrid>
      <w:tr w:rsidR="00611BDD" w14:paraId="54065E7D" w14:textId="77777777">
        <w:trPr>
          <w:jc w:val="center"/>
        </w:trPr>
        <w:tc>
          <w:tcPr>
            <w:tcW w:w="50" w:type="pct"/>
            <w:shd w:val="clear" w:color="auto" w:fill="auto"/>
            <w:vAlign w:val="bottom"/>
          </w:tcPr>
          <w:p w14:paraId="54065E77" w14:textId="77777777" w:rsidR="00611BDD" w:rsidRDefault="00611BDD">
            <w:pPr>
              <w:rPr>
                <w:rFonts w:ascii="宋体"/>
              </w:rPr>
            </w:pPr>
          </w:p>
        </w:tc>
        <w:tc>
          <w:tcPr>
            <w:tcW w:w="120" w:type="pct"/>
            <w:shd w:val="clear" w:color="auto" w:fill="auto"/>
            <w:vAlign w:val="bottom"/>
          </w:tcPr>
          <w:p w14:paraId="54065E78" w14:textId="77777777" w:rsidR="00611BDD" w:rsidRDefault="00611BDD">
            <w:pPr>
              <w:rPr>
                <w:rFonts w:ascii="宋体"/>
              </w:rPr>
            </w:pPr>
          </w:p>
        </w:tc>
        <w:tc>
          <w:tcPr>
            <w:tcW w:w="5" w:type="pct"/>
            <w:shd w:val="clear" w:color="auto" w:fill="auto"/>
            <w:vAlign w:val="bottom"/>
          </w:tcPr>
          <w:p w14:paraId="54065E79" w14:textId="77777777" w:rsidR="00611BDD" w:rsidRDefault="00611BDD">
            <w:pPr>
              <w:rPr>
                <w:rFonts w:ascii="宋体"/>
              </w:rPr>
            </w:pPr>
          </w:p>
        </w:tc>
        <w:tc>
          <w:tcPr>
            <w:tcW w:w="50" w:type="pct"/>
            <w:shd w:val="clear" w:color="auto" w:fill="auto"/>
            <w:vAlign w:val="bottom"/>
          </w:tcPr>
          <w:p w14:paraId="54065E7A" w14:textId="77777777" w:rsidR="00611BDD" w:rsidRDefault="00611BDD">
            <w:pPr>
              <w:rPr>
                <w:rFonts w:ascii="宋体"/>
              </w:rPr>
            </w:pPr>
          </w:p>
        </w:tc>
        <w:tc>
          <w:tcPr>
            <w:tcW w:w="4769" w:type="pct"/>
            <w:shd w:val="clear" w:color="auto" w:fill="auto"/>
            <w:vAlign w:val="bottom"/>
          </w:tcPr>
          <w:p w14:paraId="54065E7B" w14:textId="77777777" w:rsidR="00611BDD" w:rsidRDefault="00611BDD">
            <w:pPr>
              <w:rPr>
                <w:rFonts w:ascii="宋体"/>
              </w:rPr>
            </w:pPr>
          </w:p>
        </w:tc>
        <w:tc>
          <w:tcPr>
            <w:tcW w:w="5" w:type="pct"/>
            <w:shd w:val="clear" w:color="auto" w:fill="auto"/>
            <w:vAlign w:val="bottom"/>
          </w:tcPr>
          <w:p w14:paraId="54065E7C" w14:textId="77777777" w:rsidR="00611BDD" w:rsidRDefault="00611BDD">
            <w:pPr>
              <w:rPr>
                <w:rFonts w:ascii="宋体"/>
              </w:rPr>
            </w:pPr>
          </w:p>
        </w:tc>
      </w:tr>
      <w:tr w:rsidR="00611BDD" w14:paraId="54065E80" w14:textId="77777777">
        <w:trPr>
          <w:jc w:val="center"/>
        </w:trPr>
        <w:tc>
          <w:tcPr>
            <w:tcW w:w="0" w:type="auto"/>
            <w:gridSpan w:val="3"/>
            <w:shd w:val="clear" w:color="auto" w:fill="auto"/>
            <w:tcMar>
              <w:top w:w="40" w:type="dxa"/>
              <w:left w:w="20" w:type="dxa"/>
              <w:bottom w:w="40" w:type="dxa"/>
              <w:right w:w="20" w:type="dxa"/>
            </w:tcMar>
          </w:tcPr>
          <w:p w14:paraId="54065E7E" w14:textId="77777777" w:rsidR="00611BDD" w:rsidRDefault="002E18C7">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54065E7F" w14:textId="77777777" w:rsidR="00611BDD" w:rsidRDefault="002E18C7">
            <w:pPr>
              <w:textAlignment w:val="top"/>
            </w:pPr>
            <w:r>
              <w:rPr>
                <w:rFonts w:ascii="sans-serif" w:eastAsia="sans-serif" w:hAnsi="sans-serif" w:cs="sans-serif"/>
                <w:b/>
                <w:bCs/>
                <w:color w:val="000000"/>
                <w:sz w:val="18"/>
                <w:szCs w:val="18"/>
              </w:rPr>
              <w:t>QUARTERLY REPORT PURSUANT TO SECTION 13 OR 15(d) OF THE SECURITIES EXCHANGE ACT OF 1934</w:t>
            </w:r>
          </w:p>
        </w:tc>
      </w:tr>
    </w:tbl>
    <w:p w14:paraId="54065E81" w14:textId="77777777" w:rsidR="00611BDD" w:rsidRDefault="002E18C7">
      <w:pPr>
        <w:ind w:firstLine="450"/>
        <w:jc w:val="both"/>
      </w:pPr>
      <w:r>
        <w:rPr>
          <w:rFonts w:ascii="sans-serif" w:eastAsia="sans-serif" w:hAnsi="sans-serif" w:cs="sans-serif"/>
          <w:b/>
          <w:bCs/>
          <w:color w:val="000000"/>
          <w:sz w:val="18"/>
          <w:szCs w:val="18"/>
        </w:rPr>
        <w:t>For the quarterly period ended August 1, 2021</w:t>
      </w:r>
    </w:p>
    <w:p w14:paraId="54065E82" w14:textId="77777777" w:rsidR="00611BDD" w:rsidRDefault="002E18C7">
      <w:pPr>
        <w:jc w:val="center"/>
      </w:pPr>
      <w:r>
        <w:rPr>
          <w:rFonts w:ascii="sans-serif" w:eastAsia="sans-serif" w:hAnsi="sans-serif" w:cs="sans-serif"/>
          <w:b/>
          <w:bCs/>
          <w:color w:val="000000"/>
          <w:sz w:val="18"/>
          <w:szCs w:val="18"/>
        </w:rPr>
        <w:t>OR</w:t>
      </w:r>
    </w:p>
    <w:tbl>
      <w:tblPr>
        <w:tblW w:w="4743" w:type="pct"/>
        <w:jc w:val="center"/>
        <w:tblCellMar>
          <w:top w:w="15" w:type="dxa"/>
          <w:left w:w="15" w:type="dxa"/>
          <w:bottom w:w="15" w:type="dxa"/>
          <w:right w:w="15" w:type="dxa"/>
        </w:tblCellMar>
        <w:tblLook w:val="04A0" w:firstRow="1" w:lastRow="0" w:firstColumn="1" w:lastColumn="0" w:noHBand="0" w:noVBand="1"/>
      </w:tblPr>
      <w:tblGrid>
        <w:gridCol w:w="65"/>
        <w:gridCol w:w="176"/>
        <w:gridCol w:w="36"/>
        <w:gridCol w:w="65"/>
        <w:gridCol w:w="7530"/>
        <w:gridCol w:w="36"/>
      </w:tblGrid>
      <w:tr w:rsidR="00611BDD" w14:paraId="54065E89" w14:textId="77777777">
        <w:trPr>
          <w:jc w:val="center"/>
        </w:trPr>
        <w:tc>
          <w:tcPr>
            <w:tcW w:w="50" w:type="pct"/>
            <w:shd w:val="clear" w:color="auto" w:fill="auto"/>
            <w:vAlign w:val="bottom"/>
          </w:tcPr>
          <w:p w14:paraId="54065E83" w14:textId="77777777" w:rsidR="00611BDD" w:rsidRDefault="00611BDD">
            <w:pPr>
              <w:rPr>
                <w:rFonts w:ascii="宋体"/>
              </w:rPr>
            </w:pPr>
          </w:p>
        </w:tc>
        <w:tc>
          <w:tcPr>
            <w:tcW w:w="120" w:type="pct"/>
            <w:shd w:val="clear" w:color="auto" w:fill="auto"/>
            <w:vAlign w:val="bottom"/>
          </w:tcPr>
          <w:p w14:paraId="54065E84" w14:textId="77777777" w:rsidR="00611BDD" w:rsidRDefault="00611BDD">
            <w:pPr>
              <w:rPr>
                <w:rFonts w:ascii="宋体"/>
              </w:rPr>
            </w:pPr>
          </w:p>
        </w:tc>
        <w:tc>
          <w:tcPr>
            <w:tcW w:w="5" w:type="pct"/>
            <w:shd w:val="clear" w:color="auto" w:fill="auto"/>
            <w:vAlign w:val="bottom"/>
          </w:tcPr>
          <w:p w14:paraId="54065E85" w14:textId="77777777" w:rsidR="00611BDD" w:rsidRDefault="00611BDD">
            <w:pPr>
              <w:rPr>
                <w:rFonts w:ascii="宋体"/>
              </w:rPr>
            </w:pPr>
          </w:p>
        </w:tc>
        <w:tc>
          <w:tcPr>
            <w:tcW w:w="50" w:type="pct"/>
            <w:shd w:val="clear" w:color="auto" w:fill="auto"/>
            <w:vAlign w:val="bottom"/>
          </w:tcPr>
          <w:p w14:paraId="54065E86" w14:textId="77777777" w:rsidR="00611BDD" w:rsidRDefault="00611BDD">
            <w:pPr>
              <w:rPr>
                <w:rFonts w:ascii="宋体"/>
              </w:rPr>
            </w:pPr>
          </w:p>
        </w:tc>
        <w:tc>
          <w:tcPr>
            <w:tcW w:w="4769" w:type="pct"/>
            <w:shd w:val="clear" w:color="auto" w:fill="auto"/>
            <w:vAlign w:val="bottom"/>
          </w:tcPr>
          <w:p w14:paraId="54065E87" w14:textId="77777777" w:rsidR="00611BDD" w:rsidRDefault="00611BDD">
            <w:pPr>
              <w:rPr>
                <w:rFonts w:ascii="宋体"/>
              </w:rPr>
            </w:pPr>
          </w:p>
        </w:tc>
        <w:tc>
          <w:tcPr>
            <w:tcW w:w="5" w:type="pct"/>
            <w:shd w:val="clear" w:color="auto" w:fill="auto"/>
            <w:vAlign w:val="bottom"/>
          </w:tcPr>
          <w:p w14:paraId="54065E88" w14:textId="77777777" w:rsidR="00611BDD" w:rsidRDefault="00611BDD">
            <w:pPr>
              <w:rPr>
                <w:rFonts w:ascii="宋体"/>
              </w:rPr>
            </w:pPr>
          </w:p>
        </w:tc>
      </w:tr>
      <w:tr w:rsidR="00611BDD" w14:paraId="54065E8C" w14:textId="77777777">
        <w:trPr>
          <w:jc w:val="center"/>
        </w:trPr>
        <w:tc>
          <w:tcPr>
            <w:tcW w:w="0" w:type="auto"/>
            <w:gridSpan w:val="3"/>
            <w:shd w:val="clear" w:color="auto" w:fill="auto"/>
            <w:tcMar>
              <w:top w:w="40" w:type="dxa"/>
              <w:left w:w="20" w:type="dxa"/>
              <w:bottom w:w="40" w:type="dxa"/>
              <w:right w:w="20" w:type="dxa"/>
            </w:tcMar>
          </w:tcPr>
          <w:p w14:paraId="54065E8A" w14:textId="77777777" w:rsidR="00611BDD" w:rsidRDefault="002E18C7">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54065E8B" w14:textId="77777777" w:rsidR="00611BDD" w:rsidRDefault="002E18C7">
            <w:pPr>
              <w:textAlignment w:val="top"/>
            </w:pPr>
            <w:r>
              <w:rPr>
                <w:rFonts w:ascii="sans-serif" w:eastAsia="sans-serif" w:hAnsi="sans-serif" w:cs="sans-serif"/>
                <w:b/>
                <w:bCs/>
                <w:color w:val="000000"/>
                <w:sz w:val="18"/>
                <w:szCs w:val="18"/>
              </w:rPr>
              <w:t>TRANSITION REPORT PURSUANT TO SECTION 13 OR 15(d) OF THE SECURITIES EXCHANGE ACT OF 1934</w:t>
            </w:r>
          </w:p>
        </w:tc>
      </w:tr>
    </w:tbl>
    <w:p w14:paraId="54065E8D" w14:textId="77777777" w:rsidR="00611BDD" w:rsidRDefault="002E18C7">
      <w:pPr>
        <w:jc w:val="center"/>
      </w:pPr>
      <w:r>
        <w:rPr>
          <w:rFonts w:ascii="sans-serif" w:eastAsia="sans-serif" w:hAnsi="sans-serif" w:cs="sans-serif"/>
          <w:b/>
          <w:bCs/>
          <w:color w:val="000000"/>
          <w:sz w:val="16"/>
          <w:szCs w:val="16"/>
        </w:rPr>
        <w:t xml:space="preserve">Commission file number: 0-23985 </w:t>
      </w:r>
    </w:p>
    <w:p w14:paraId="54065E8E" w14:textId="77777777" w:rsidR="00611BDD" w:rsidRDefault="002E18C7">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/NVIDIA /./Inline XBRL Viewer5_files/nvda-20210801_g1.jpg" \* MERGEF</w:instrText>
      </w:r>
      <w:r>
        <w:rPr>
          <w:rFonts w:ascii="宋体" w:eastAsia="宋体" w:hAnsi="宋体" w:cs="宋体"/>
        </w:rPr>
        <w:instrText xml:space="preserve">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4067C23" wp14:editId="54067C24">
            <wp:extent cx="304800" cy="304800"/>
            <wp:effectExtent l="0" t="0" r="0" b="0"/>
            <wp:docPr id="78" name="图片 1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2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4065E8F" w14:textId="77777777" w:rsidR="00611BDD" w:rsidRDefault="00611BDD">
      <w:pPr>
        <w:jc w:val="center"/>
      </w:pPr>
    </w:p>
    <w:p w14:paraId="54065E90" w14:textId="77777777" w:rsidR="00611BDD" w:rsidRDefault="002E18C7">
      <w:pPr>
        <w:jc w:val="center"/>
      </w:pPr>
      <w:r>
        <w:rPr>
          <w:rFonts w:ascii="sans-serif" w:eastAsia="sans-serif" w:hAnsi="sans-serif" w:cs="sans-serif"/>
          <w:b/>
          <w:bCs/>
          <w:color w:val="000000"/>
          <w:sz w:val="28"/>
          <w:szCs w:val="28"/>
        </w:rPr>
        <w:t>NVIDIA CORPORATION</w:t>
      </w:r>
    </w:p>
    <w:p w14:paraId="54065E91" w14:textId="77777777" w:rsidR="00611BDD" w:rsidRDefault="002E18C7">
      <w:pPr>
        <w:jc w:val="center"/>
      </w:pPr>
      <w:r>
        <w:rPr>
          <w:rFonts w:ascii="sans-serif" w:eastAsia="sans-serif" w:hAnsi="sans-serif" w:cs="sans-serif"/>
          <w:b/>
          <w:bCs/>
          <w:color w:val="000000"/>
          <w:sz w:val="16"/>
          <w:szCs w:val="16"/>
        </w:rPr>
        <w:t xml:space="preserve">(Exact name of registrant as specified in its charter) </w:t>
      </w:r>
    </w:p>
    <w:tbl>
      <w:tblPr>
        <w:tblW w:w="4736" w:type="pct"/>
        <w:jc w:val="center"/>
        <w:tblCellMar>
          <w:top w:w="15" w:type="dxa"/>
          <w:left w:w="15" w:type="dxa"/>
          <w:bottom w:w="15" w:type="dxa"/>
          <w:right w:w="15" w:type="dxa"/>
        </w:tblCellMar>
        <w:tblLook w:val="04A0" w:firstRow="1" w:lastRow="0" w:firstColumn="1" w:lastColumn="0" w:noHBand="0" w:noVBand="1"/>
      </w:tblPr>
      <w:tblGrid>
        <w:gridCol w:w="64"/>
        <w:gridCol w:w="3846"/>
        <w:gridCol w:w="37"/>
        <w:gridCol w:w="65"/>
        <w:gridCol w:w="3847"/>
        <w:gridCol w:w="37"/>
      </w:tblGrid>
      <w:tr w:rsidR="00611BDD" w14:paraId="54065E98" w14:textId="77777777">
        <w:trPr>
          <w:jc w:val="center"/>
        </w:trPr>
        <w:tc>
          <w:tcPr>
            <w:tcW w:w="50" w:type="pct"/>
            <w:shd w:val="clear" w:color="auto" w:fill="auto"/>
            <w:vAlign w:val="bottom"/>
          </w:tcPr>
          <w:p w14:paraId="54065E92" w14:textId="77777777" w:rsidR="00611BDD" w:rsidRDefault="00611BDD">
            <w:pPr>
              <w:rPr>
                <w:rFonts w:ascii="宋体"/>
              </w:rPr>
            </w:pPr>
          </w:p>
        </w:tc>
        <w:tc>
          <w:tcPr>
            <w:tcW w:w="2445" w:type="pct"/>
            <w:shd w:val="clear" w:color="auto" w:fill="auto"/>
            <w:vAlign w:val="bottom"/>
          </w:tcPr>
          <w:p w14:paraId="54065E93" w14:textId="77777777" w:rsidR="00611BDD" w:rsidRDefault="00611BDD">
            <w:pPr>
              <w:rPr>
                <w:rFonts w:ascii="宋体"/>
              </w:rPr>
            </w:pPr>
          </w:p>
        </w:tc>
        <w:tc>
          <w:tcPr>
            <w:tcW w:w="5" w:type="pct"/>
            <w:shd w:val="clear" w:color="auto" w:fill="auto"/>
            <w:vAlign w:val="bottom"/>
          </w:tcPr>
          <w:p w14:paraId="54065E94" w14:textId="77777777" w:rsidR="00611BDD" w:rsidRDefault="00611BDD">
            <w:pPr>
              <w:rPr>
                <w:rFonts w:ascii="宋体"/>
              </w:rPr>
            </w:pPr>
          </w:p>
        </w:tc>
        <w:tc>
          <w:tcPr>
            <w:tcW w:w="50" w:type="pct"/>
            <w:shd w:val="clear" w:color="auto" w:fill="auto"/>
            <w:vAlign w:val="bottom"/>
          </w:tcPr>
          <w:p w14:paraId="54065E95" w14:textId="77777777" w:rsidR="00611BDD" w:rsidRDefault="00611BDD">
            <w:pPr>
              <w:rPr>
                <w:rFonts w:ascii="宋体"/>
              </w:rPr>
            </w:pPr>
          </w:p>
        </w:tc>
        <w:tc>
          <w:tcPr>
            <w:tcW w:w="2445" w:type="pct"/>
            <w:shd w:val="clear" w:color="auto" w:fill="auto"/>
            <w:vAlign w:val="bottom"/>
          </w:tcPr>
          <w:p w14:paraId="54065E96" w14:textId="77777777" w:rsidR="00611BDD" w:rsidRDefault="00611BDD">
            <w:pPr>
              <w:rPr>
                <w:rFonts w:ascii="宋体"/>
              </w:rPr>
            </w:pPr>
          </w:p>
        </w:tc>
        <w:tc>
          <w:tcPr>
            <w:tcW w:w="5" w:type="pct"/>
            <w:shd w:val="clear" w:color="auto" w:fill="auto"/>
            <w:vAlign w:val="bottom"/>
          </w:tcPr>
          <w:p w14:paraId="54065E97" w14:textId="77777777" w:rsidR="00611BDD" w:rsidRDefault="00611BDD">
            <w:pPr>
              <w:rPr>
                <w:rFonts w:ascii="宋体"/>
              </w:rPr>
            </w:pPr>
          </w:p>
        </w:tc>
      </w:tr>
      <w:tr w:rsidR="00611BDD" w14:paraId="54065E9B" w14:textId="77777777">
        <w:trPr>
          <w:jc w:val="center"/>
        </w:trPr>
        <w:tc>
          <w:tcPr>
            <w:tcW w:w="0" w:type="auto"/>
            <w:gridSpan w:val="3"/>
            <w:shd w:val="clear" w:color="auto" w:fill="auto"/>
            <w:tcMar>
              <w:top w:w="40" w:type="dxa"/>
              <w:left w:w="20" w:type="dxa"/>
              <w:bottom w:w="40" w:type="dxa"/>
              <w:right w:w="20" w:type="dxa"/>
            </w:tcMar>
          </w:tcPr>
          <w:p w14:paraId="54065E99" w14:textId="77777777" w:rsidR="00611BDD" w:rsidRDefault="002E18C7">
            <w:pPr>
              <w:jc w:val="center"/>
              <w:textAlignment w:val="top"/>
            </w:pPr>
            <w:r>
              <w:rPr>
                <w:rFonts w:ascii="sans-serif" w:eastAsia="sans-serif" w:hAnsi="sans-serif" w:cs="sans-serif"/>
                <w:b/>
                <w:bCs/>
                <w:color w:val="000000"/>
                <w:sz w:val="18"/>
                <w:szCs w:val="18"/>
              </w:rPr>
              <w:t>Delaware</w:t>
            </w:r>
          </w:p>
        </w:tc>
        <w:tc>
          <w:tcPr>
            <w:tcW w:w="0" w:type="auto"/>
            <w:gridSpan w:val="3"/>
            <w:shd w:val="clear" w:color="auto" w:fill="auto"/>
            <w:tcMar>
              <w:top w:w="40" w:type="dxa"/>
              <w:left w:w="20" w:type="dxa"/>
              <w:bottom w:w="40" w:type="dxa"/>
              <w:right w:w="20" w:type="dxa"/>
            </w:tcMar>
          </w:tcPr>
          <w:p w14:paraId="54065E9A" w14:textId="77777777" w:rsidR="00611BDD" w:rsidRDefault="002E18C7">
            <w:pPr>
              <w:jc w:val="center"/>
              <w:textAlignment w:val="top"/>
            </w:pPr>
            <w:r>
              <w:rPr>
                <w:rFonts w:ascii="sans-serif" w:eastAsia="sans-serif" w:hAnsi="sans-serif" w:cs="sans-serif"/>
                <w:b/>
                <w:bCs/>
                <w:color w:val="000000"/>
                <w:sz w:val="18"/>
                <w:szCs w:val="18"/>
              </w:rPr>
              <w:t>94-3177549</w:t>
            </w:r>
          </w:p>
        </w:tc>
      </w:tr>
      <w:tr w:rsidR="00611BDD" w14:paraId="54065E9E" w14:textId="77777777">
        <w:trPr>
          <w:jc w:val="center"/>
        </w:trPr>
        <w:tc>
          <w:tcPr>
            <w:tcW w:w="0" w:type="auto"/>
            <w:gridSpan w:val="3"/>
            <w:shd w:val="clear" w:color="auto" w:fill="auto"/>
            <w:tcMar>
              <w:top w:w="40" w:type="dxa"/>
              <w:left w:w="20" w:type="dxa"/>
              <w:bottom w:w="40" w:type="dxa"/>
              <w:right w:w="20" w:type="dxa"/>
            </w:tcMar>
          </w:tcPr>
          <w:p w14:paraId="54065E9C" w14:textId="77777777" w:rsidR="00611BDD" w:rsidRDefault="002E18C7">
            <w:pPr>
              <w:jc w:val="center"/>
              <w:textAlignment w:val="top"/>
            </w:pPr>
            <w:r>
              <w:rPr>
                <w:rFonts w:ascii="sans-serif" w:eastAsia="sans-serif" w:hAnsi="sans-serif" w:cs="sans-serif"/>
                <w:b/>
                <w:bCs/>
                <w:color w:val="000000"/>
                <w:sz w:val="18"/>
                <w:szCs w:val="18"/>
              </w:rPr>
              <w:t>(State or Other Jurisdiction of</w:t>
            </w:r>
          </w:p>
        </w:tc>
        <w:tc>
          <w:tcPr>
            <w:tcW w:w="0" w:type="auto"/>
            <w:gridSpan w:val="3"/>
            <w:shd w:val="clear" w:color="auto" w:fill="auto"/>
            <w:tcMar>
              <w:top w:w="40" w:type="dxa"/>
              <w:left w:w="20" w:type="dxa"/>
              <w:bottom w:w="40" w:type="dxa"/>
              <w:right w:w="20" w:type="dxa"/>
            </w:tcMar>
          </w:tcPr>
          <w:p w14:paraId="54065E9D" w14:textId="77777777" w:rsidR="00611BDD" w:rsidRDefault="002E18C7">
            <w:pPr>
              <w:jc w:val="center"/>
              <w:textAlignment w:val="top"/>
            </w:pPr>
            <w:r>
              <w:rPr>
                <w:rFonts w:ascii="sans-serif" w:eastAsia="sans-serif" w:hAnsi="sans-serif" w:cs="sans-serif"/>
                <w:b/>
                <w:bCs/>
                <w:color w:val="000000"/>
                <w:sz w:val="18"/>
                <w:szCs w:val="18"/>
              </w:rPr>
              <w:t>(I.R.S. Employer</w:t>
            </w:r>
          </w:p>
        </w:tc>
      </w:tr>
      <w:tr w:rsidR="00611BDD" w14:paraId="54065EA1" w14:textId="77777777">
        <w:trPr>
          <w:jc w:val="center"/>
        </w:trPr>
        <w:tc>
          <w:tcPr>
            <w:tcW w:w="0" w:type="auto"/>
            <w:gridSpan w:val="3"/>
            <w:shd w:val="clear" w:color="auto" w:fill="auto"/>
            <w:tcMar>
              <w:top w:w="40" w:type="dxa"/>
              <w:left w:w="20" w:type="dxa"/>
              <w:bottom w:w="40" w:type="dxa"/>
              <w:right w:w="20" w:type="dxa"/>
            </w:tcMar>
          </w:tcPr>
          <w:p w14:paraId="54065E9F" w14:textId="77777777" w:rsidR="00611BDD" w:rsidRDefault="002E18C7">
            <w:pPr>
              <w:jc w:val="center"/>
              <w:textAlignment w:val="top"/>
            </w:pPr>
            <w:r>
              <w:rPr>
                <w:rFonts w:ascii="sans-serif" w:eastAsia="sans-serif" w:hAnsi="sans-serif" w:cs="sans-serif"/>
                <w:b/>
                <w:bCs/>
                <w:color w:val="000000"/>
                <w:sz w:val="18"/>
                <w:szCs w:val="18"/>
              </w:rPr>
              <w:t>Incorporation or Organization)</w:t>
            </w:r>
          </w:p>
        </w:tc>
        <w:tc>
          <w:tcPr>
            <w:tcW w:w="0" w:type="auto"/>
            <w:gridSpan w:val="3"/>
            <w:shd w:val="clear" w:color="auto" w:fill="auto"/>
            <w:tcMar>
              <w:top w:w="40" w:type="dxa"/>
              <w:left w:w="20" w:type="dxa"/>
              <w:bottom w:w="40" w:type="dxa"/>
              <w:right w:w="20" w:type="dxa"/>
            </w:tcMar>
          </w:tcPr>
          <w:p w14:paraId="54065EA0" w14:textId="77777777" w:rsidR="00611BDD" w:rsidRDefault="002E18C7">
            <w:pPr>
              <w:jc w:val="center"/>
              <w:textAlignment w:val="top"/>
            </w:pPr>
            <w:r>
              <w:rPr>
                <w:rFonts w:ascii="sans-serif" w:eastAsia="sans-serif" w:hAnsi="sans-serif" w:cs="sans-serif"/>
                <w:b/>
                <w:bCs/>
                <w:color w:val="000000"/>
                <w:sz w:val="18"/>
                <w:szCs w:val="18"/>
              </w:rPr>
              <w:t>Identification No.)</w:t>
            </w:r>
          </w:p>
        </w:tc>
      </w:tr>
    </w:tbl>
    <w:p w14:paraId="54065EA2" w14:textId="77777777" w:rsidR="00611BDD" w:rsidRDefault="002E18C7">
      <w:pPr>
        <w:jc w:val="center"/>
      </w:pPr>
      <w:r>
        <w:rPr>
          <w:rFonts w:ascii="sans-serif" w:eastAsia="sans-serif" w:hAnsi="sans-serif" w:cs="sans-serif"/>
          <w:b/>
          <w:bCs/>
          <w:color w:val="000000"/>
          <w:sz w:val="18"/>
          <w:szCs w:val="18"/>
        </w:rPr>
        <w:t xml:space="preserve">2788 San Tomas Expressway </w:t>
      </w:r>
    </w:p>
    <w:p w14:paraId="54065EA3" w14:textId="77777777" w:rsidR="00611BDD" w:rsidRDefault="002E18C7">
      <w:pPr>
        <w:jc w:val="center"/>
      </w:pPr>
      <w:r>
        <w:rPr>
          <w:rFonts w:ascii="sans-serif" w:eastAsia="sans-serif" w:hAnsi="sans-serif" w:cs="sans-serif"/>
          <w:b/>
          <w:bCs/>
          <w:color w:val="000000"/>
          <w:sz w:val="18"/>
          <w:szCs w:val="18"/>
        </w:rPr>
        <w:t xml:space="preserve">Santa Clara, California 95051 </w:t>
      </w:r>
    </w:p>
    <w:p w14:paraId="54065EA4" w14:textId="77777777" w:rsidR="00611BDD" w:rsidRDefault="002E18C7">
      <w:pPr>
        <w:jc w:val="center"/>
      </w:pPr>
      <w:r>
        <w:rPr>
          <w:rFonts w:ascii="sans-serif" w:eastAsia="sans-serif" w:hAnsi="sans-serif" w:cs="sans-serif"/>
          <w:b/>
          <w:bCs/>
          <w:color w:val="000000"/>
          <w:sz w:val="18"/>
          <w:szCs w:val="18"/>
        </w:rPr>
        <w:t xml:space="preserve">(408) 486-2000 </w:t>
      </w:r>
    </w:p>
    <w:p w14:paraId="54065EA5" w14:textId="77777777" w:rsidR="00611BDD" w:rsidRDefault="002E18C7">
      <w:pPr>
        <w:jc w:val="center"/>
      </w:pPr>
      <w:r>
        <w:rPr>
          <w:rFonts w:ascii="sans-serif" w:eastAsia="sans-serif" w:hAnsi="sans-serif" w:cs="sans-serif"/>
          <w:b/>
          <w:bCs/>
          <w:color w:val="000000"/>
          <w:sz w:val="16"/>
          <w:szCs w:val="16"/>
        </w:rPr>
        <w:t>(Address, including zip code, and telephone number,</w:t>
      </w:r>
    </w:p>
    <w:p w14:paraId="54065EA6" w14:textId="77777777" w:rsidR="00611BDD" w:rsidRDefault="002E18C7">
      <w:pPr>
        <w:spacing w:after="180"/>
        <w:jc w:val="center"/>
      </w:pPr>
      <w:r>
        <w:rPr>
          <w:rFonts w:ascii="sans-serif" w:eastAsia="sans-serif" w:hAnsi="sans-serif" w:cs="sans-serif"/>
          <w:b/>
          <w:bCs/>
          <w:color w:val="000000"/>
          <w:sz w:val="16"/>
          <w:szCs w:val="16"/>
        </w:rPr>
        <w:t>including area code, of principal executive offices)</w:t>
      </w:r>
    </w:p>
    <w:p w14:paraId="54065EA7" w14:textId="77777777" w:rsidR="00611BDD" w:rsidRDefault="002E18C7">
      <w:pPr>
        <w:jc w:val="center"/>
      </w:pPr>
      <w:r>
        <w:rPr>
          <w:rFonts w:ascii="sans-serif" w:eastAsia="sans-serif" w:hAnsi="sans-serif" w:cs="sans-serif"/>
          <w:b/>
          <w:bCs/>
          <w:color w:val="000000"/>
          <w:sz w:val="16"/>
          <w:szCs w:val="16"/>
        </w:rPr>
        <w:t>N/A</w:t>
      </w:r>
    </w:p>
    <w:p w14:paraId="54065EA8" w14:textId="77777777" w:rsidR="00611BDD" w:rsidRDefault="002E18C7">
      <w:pPr>
        <w:spacing w:after="180"/>
        <w:jc w:val="center"/>
      </w:pPr>
      <w:r>
        <w:rPr>
          <w:rFonts w:ascii="sans-serif" w:eastAsia="sans-serif" w:hAnsi="sans-serif" w:cs="sans-serif"/>
          <w:b/>
          <w:bCs/>
          <w:color w:val="000000"/>
          <w:sz w:val="16"/>
          <w:szCs w:val="16"/>
        </w:rPr>
        <w:t>(Former name, former address and former fiscal year if changed since last</w:t>
      </w:r>
      <w:r>
        <w:rPr>
          <w:rFonts w:ascii="sans-serif" w:eastAsia="sans-serif" w:hAnsi="sans-serif" w:cs="sans-serif"/>
          <w:b/>
          <w:bCs/>
          <w:color w:val="000000"/>
          <w:sz w:val="16"/>
          <w:szCs w:val="16"/>
        </w:rPr>
        <w:t xml:space="preserve"> report)</w:t>
      </w:r>
    </w:p>
    <w:p w14:paraId="54065EA9" w14:textId="77777777" w:rsidR="00611BDD" w:rsidRDefault="002E18C7">
      <w:pPr>
        <w:spacing w:after="180"/>
        <w:jc w:val="center"/>
      </w:pPr>
      <w:r>
        <w:rPr>
          <w:rFonts w:ascii="sans-serif" w:eastAsia="sans-serif" w:hAnsi="sans-serif" w:cs="sans-serif"/>
          <w:b/>
          <w:bCs/>
          <w:color w:val="000000"/>
          <w:sz w:val="18"/>
          <w:szCs w:val="18"/>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672"/>
        <w:gridCol w:w="37"/>
        <w:gridCol w:w="69"/>
        <w:gridCol w:w="2546"/>
        <w:gridCol w:w="36"/>
        <w:gridCol w:w="70"/>
        <w:gridCol w:w="2801"/>
        <w:gridCol w:w="36"/>
      </w:tblGrid>
      <w:tr w:rsidR="00611BDD" w14:paraId="54065EB3" w14:textId="77777777">
        <w:trPr>
          <w:jc w:val="center"/>
        </w:trPr>
        <w:tc>
          <w:tcPr>
            <w:tcW w:w="50" w:type="pct"/>
            <w:shd w:val="clear" w:color="auto" w:fill="auto"/>
            <w:vAlign w:val="bottom"/>
          </w:tcPr>
          <w:p w14:paraId="54065EAA" w14:textId="77777777" w:rsidR="00611BDD" w:rsidRDefault="00611BDD">
            <w:pPr>
              <w:rPr>
                <w:rFonts w:ascii="宋体"/>
              </w:rPr>
            </w:pPr>
          </w:p>
        </w:tc>
        <w:tc>
          <w:tcPr>
            <w:tcW w:w="1611" w:type="pct"/>
            <w:shd w:val="clear" w:color="auto" w:fill="auto"/>
            <w:vAlign w:val="bottom"/>
          </w:tcPr>
          <w:p w14:paraId="54065EAB" w14:textId="77777777" w:rsidR="00611BDD" w:rsidRDefault="00611BDD">
            <w:pPr>
              <w:rPr>
                <w:rFonts w:ascii="宋体"/>
              </w:rPr>
            </w:pPr>
          </w:p>
        </w:tc>
        <w:tc>
          <w:tcPr>
            <w:tcW w:w="5" w:type="pct"/>
            <w:shd w:val="clear" w:color="auto" w:fill="auto"/>
            <w:vAlign w:val="bottom"/>
          </w:tcPr>
          <w:p w14:paraId="54065EAC" w14:textId="77777777" w:rsidR="00611BDD" w:rsidRDefault="00611BDD">
            <w:pPr>
              <w:rPr>
                <w:rFonts w:ascii="宋体"/>
              </w:rPr>
            </w:pPr>
          </w:p>
        </w:tc>
        <w:tc>
          <w:tcPr>
            <w:tcW w:w="50" w:type="pct"/>
            <w:shd w:val="clear" w:color="auto" w:fill="auto"/>
            <w:vAlign w:val="bottom"/>
          </w:tcPr>
          <w:p w14:paraId="54065EAD" w14:textId="77777777" w:rsidR="00611BDD" w:rsidRDefault="00611BDD">
            <w:pPr>
              <w:rPr>
                <w:rFonts w:ascii="宋体"/>
              </w:rPr>
            </w:pPr>
          </w:p>
        </w:tc>
        <w:tc>
          <w:tcPr>
            <w:tcW w:w="1535" w:type="pct"/>
            <w:shd w:val="clear" w:color="auto" w:fill="auto"/>
            <w:vAlign w:val="bottom"/>
          </w:tcPr>
          <w:p w14:paraId="54065EAE" w14:textId="77777777" w:rsidR="00611BDD" w:rsidRDefault="00611BDD">
            <w:pPr>
              <w:rPr>
                <w:rFonts w:ascii="宋体"/>
              </w:rPr>
            </w:pPr>
          </w:p>
        </w:tc>
        <w:tc>
          <w:tcPr>
            <w:tcW w:w="5" w:type="pct"/>
            <w:shd w:val="clear" w:color="auto" w:fill="auto"/>
            <w:vAlign w:val="bottom"/>
          </w:tcPr>
          <w:p w14:paraId="54065EAF" w14:textId="77777777" w:rsidR="00611BDD" w:rsidRDefault="00611BDD">
            <w:pPr>
              <w:rPr>
                <w:rFonts w:ascii="宋体"/>
              </w:rPr>
            </w:pPr>
          </w:p>
        </w:tc>
        <w:tc>
          <w:tcPr>
            <w:tcW w:w="50" w:type="pct"/>
            <w:shd w:val="clear" w:color="auto" w:fill="auto"/>
            <w:vAlign w:val="bottom"/>
          </w:tcPr>
          <w:p w14:paraId="54065EB0" w14:textId="77777777" w:rsidR="00611BDD" w:rsidRDefault="00611BDD">
            <w:pPr>
              <w:rPr>
                <w:rFonts w:ascii="宋体"/>
              </w:rPr>
            </w:pPr>
          </w:p>
        </w:tc>
        <w:tc>
          <w:tcPr>
            <w:tcW w:w="1688" w:type="pct"/>
            <w:shd w:val="clear" w:color="auto" w:fill="auto"/>
            <w:vAlign w:val="bottom"/>
          </w:tcPr>
          <w:p w14:paraId="54065EB1" w14:textId="77777777" w:rsidR="00611BDD" w:rsidRDefault="00611BDD">
            <w:pPr>
              <w:rPr>
                <w:rFonts w:ascii="宋体"/>
              </w:rPr>
            </w:pPr>
          </w:p>
        </w:tc>
        <w:tc>
          <w:tcPr>
            <w:tcW w:w="5" w:type="pct"/>
            <w:shd w:val="clear" w:color="auto" w:fill="auto"/>
            <w:vAlign w:val="bottom"/>
          </w:tcPr>
          <w:p w14:paraId="54065EB2" w14:textId="77777777" w:rsidR="00611BDD" w:rsidRDefault="00611BDD">
            <w:pPr>
              <w:rPr>
                <w:rFonts w:ascii="宋体"/>
              </w:rPr>
            </w:pPr>
          </w:p>
        </w:tc>
      </w:tr>
      <w:tr w:rsidR="00611BDD" w14:paraId="54065EB7" w14:textId="77777777">
        <w:trPr>
          <w:jc w:val="center"/>
        </w:trPr>
        <w:tc>
          <w:tcPr>
            <w:tcW w:w="0" w:type="auto"/>
            <w:gridSpan w:val="3"/>
            <w:shd w:val="clear" w:color="auto" w:fill="auto"/>
            <w:tcMar>
              <w:top w:w="40" w:type="dxa"/>
              <w:left w:w="20" w:type="dxa"/>
              <w:bottom w:w="40" w:type="dxa"/>
              <w:right w:w="20" w:type="dxa"/>
            </w:tcMar>
            <w:vAlign w:val="bottom"/>
          </w:tcPr>
          <w:p w14:paraId="54065EB4" w14:textId="77777777" w:rsidR="00611BDD" w:rsidRDefault="002E18C7">
            <w:pPr>
              <w:jc w:val="center"/>
              <w:textAlignment w:val="bottom"/>
            </w:pPr>
            <w:r>
              <w:rPr>
                <w:rFonts w:ascii="sans-serif" w:eastAsia="sans-serif" w:hAnsi="sans-serif" w:cs="sans-serif"/>
                <w:b/>
                <w:bCs/>
                <w:color w:val="000000"/>
                <w:sz w:val="18"/>
                <w:szCs w:val="18"/>
              </w:rPr>
              <w:t>Title of each class</w:t>
            </w:r>
          </w:p>
        </w:tc>
        <w:tc>
          <w:tcPr>
            <w:tcW w:w="0" w:type="auto"/>
            <w:gridSpan w:val="3"/>
            <w:shd w:val="clear" w:color="auto" w:fill="auto"/>
            <w:tcMar>
              <w:top w:w="40" w:type="dxa"/>
              <w:left w:w="20" w:type="dxa"/>
              <w:bottom w:w="40" w:type="dxa"/>
              <w:right w:w="20" w:type="dxa"/>
            </w:tcMar>
            <w:vAlign w:val="bottom"/>
          </w:tcPr>
          <w:p w14:paraId="54065EB5" w14:textId="77777777" w:rsidR="00611BDD" w:rsidRDefault="002E18C7">
            <w:pPr>
              <w:jc w:val="center"/>
              <w:textAlignment w:val="bottom"/>
            </w:pPr>
            <w:r>
              <w:rPr>
                <w:rFonts w:ascii="sans-serif" w:eastAsia="sans-serif" w:hAnsi="sans-serif" w:cs="sans-serif"/>
                <w:b/>
                <w:bCs/>
                <w:color w:val="000000"/>
                <w:sz w:val="18"/>
                <w:szCs w:val="18"/>
              </w:rPr>
              <w:t>Trading Symbol(s)</w:t>
            </w:r>
          </w:p>
        </w:tc>
        <w:tc>
          <w:tcPr>
            <w:tcW w:w="0" w:type="auto"/>
            <w:gridSpan w:val="3"/>
            <w:shd w:val="clear" w:color="auto" w:fill="auto"/>
            <w:tcMar>
              <w:top w:w="40" w:type="dxa"/>
              <w:left w:w="20" w:type="dxa"/>
              <w:bottom w:w="40" w:type="dxa"/>
              <w:right w:w="20" w:type="dxa"/>
            </w:tcMar>
            <w:vAlign w:val="bottom"/>
          </w:tcPr>
          <w:p w14:paraId="54065EB6" w14:textId="77777777" w:rsidR="00611BDD" w:rsidRDefault="002E18C7">
            <w:pPr>
              <w:jc w:val="center"/>
              <w:textAlignment w:val="bottom"/>
            </w:pPr>
            <w:r>
              <w:rPr>
                <w:rFonts w:ascii="sans-serif" w:eastAsia="sans-serif" w:hAnsi="sans-serif" w:cs="sans-serif"/>
                <w:b/>
                <w:bCs/>
                <w:color w:val="000000"/>
                <w:sz w:val="18"/>
                <w:szCs w:val="18"/>
              </w:rPr>
              <w:t>Name of each exchange on which registered</w:t>
            </w:r>
          </w:p>
        </w:tc>
      </w:tr>
      <w:tr w:rsidR="00611BDD" w14:paraId="54065EBB" w14:textId="77777777">
        <w:trPr>
          <w:jc w:val="center"/>
        </w:trPr>
        <w:tc>
          <w:tcPr>
            <w:tcW w:w="0" w:type="auto"/>
            <w:gridSpan w:val="3"/>
            <w:shd w:val="clear" w:color="auto" w:fill="auto"/>
            <w:tcMar>
              <w:top w:w="40" w:type="dxa"/>
              <w:left w:w="20" w:type="dxa"/>
              <w:bottom w:w="40" w:type="dxa"/>
              <w:right w:w="20" w:type="dxa"/>
            </w:tcMar>
            <w:vAlign w:val="bottom"/>
          </w:tcPr>
          <w:p w14:paraId="54065EB8" w14:textId="77777777" w:rsidR="00611BDD" w:rsidRDefault="002E18C7">
            <w:pPr>
              <w:jc w:val="center"/>
              <w:textAlignment w:val="bottom"/>
            </w:pPr>
            <w:r>
              <w:rPr>
                <w:rFonts w:ascii="sans-serif" w:eastAsia="sans-serif" w:hAnsi="sans-serif" w:cs="sans-serif"/>
                <w:color w:val="000000"/>
                <w:sz w:val="18"/>
                <w:szCs w:val="18"/>
              </w:rPr>
              <w:t>Common Stock, $0.001 par value per share</w:t>
            </w:r>
          </w:p>
        </w:tc>
        <w:tc>
          <w:tcPr>
            <w:tcW w:w="0" w:type="auto"/>
            <w:gridSpan w:val="3"/>
            <w:shd w:val="clear" w:color="auto" w:fill="auto"/>
            <w:tcMar>
              <w:top w:w="40" w:type="dxa"/>
              <w:left w:w="20" w:type="dxa"/>
              <w:bottom w:w="40" w:type="dxa"/>
              <w:right w:w="20" w:type="dxa"/>
            </w:tcMar>
            <w:vAlign w:val="bottom"/>
          </w:tcPr>
          <w:p w14:paraId="54065EB9" w14:textId="77777777" w:rsidR="00611BDD" w:rsidRDefault="002E18C7">
            <w:pPr>
              <w:jc w:val="center"/>
              <w:textAlignment w:val="bottom"/>
            </w:pPr>
            <w:r>
              <w:rPr>
                <w:rFonts w:ascii="sans-serif" w:eastAsia="sans-serif" w:hAnsi="sans-serif" w:cs="sans-serif"/>
                <w:color w:val="000000"/>
                <w:sz w:val="18"/>
                <w:szCs w:val="18"/>
              </w:rPr>
              <w:t>NVDA</w:t>
            </w:r>
          </w:p>
        </w:tc>
        <w:tc>
          <w:tcPr>
            <w:tcW w:w="0" w:type="auto"/>
            <w:gridSpan w:val="3"/>
            <w:shd w:val="clear" w:color="auto" w:fill="auto"/>
            <w:tcMar>
              <w:top w:w="40" w:type="dxa"/>
              <w:left w:w="20" w:type="dxa"/>
              <w:bottom w:w="40" w:type="dxa"/>
              <w:right w:w="20" w:type="dxa"/>
            </w:tcMar>
            <w:vAlign w:val="bottom"/>
          </w:tcPr>
          <w:p w14:paraId="54065EBA" w14:textId="77777777" w:rsidR="00611BDD" w:rsidRDefault="002E18C7">
            <w:pPr>
              <w:jc w:val="center"/>
              <w:textAlignment w:val="bottom"/>
            </w:pPr>
            <w:r>
              <w:rPr>
                <w:rFonts w:ascii="sans-serif" w:eastAsia="sans-serif" w:hAnsi="sans-serif" w:cs="sans-serif"/>
                <w:color w:val="000000"/>
                <w:sz w:val="18"/>
                <w:szCs w:val="18"/>
              </w:rPr>
              <w:t>The Nasdaq Global Select Market</w:t>
            </w:r>
          </w:p>
        </w:tc>
      </w:tr>
    </w:tbl>
    <w:p w14:paraId="54065EBC" w14:textId="77777777" w:rsidR="00611BDD" w:rsidRDefault="002E18C7">
      <w:pPr>
        <w:spacing w:after="180"/>
      </w:pPr>
      <w:r>
        <w:rPr>
          <w:rFonts w:ascii="sans-serif" w:eastAsia="sans-serif" w:hAnsi="sans-serif" w:cs="sans-serif"/>
          <w:color w:val="00000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sans-serif" w:eastAsia="sans-serif" w:hAnsi="sans-serif" w:cs="sans-serif"/>
          <w:color w:val="000000"/>
          <w:sz w:val="18"/>
          <w:szCs w:val="18"/>
        </w:rPr>
        <w:t xml:space="preserve">uch reports), and (2) has been subject to such filing requirements for the past 90 days. Yes </w:t>
      </w:r>
      <w:r>
        <w:rPr>
          <w:rFonts w:ascii="Times New Roman" w:eastAsia="宋体" w:hAnsi="Times New Roman"/>
          <w:color w:val="000000"/>
          <w:sz w:val="20"/>
          <w:szCs w:val="20"/>
        </w:rPr>
        <w:t>☒</w:t>
      </w:r>
      <w:r>
        <w:rPr>
          <w:rFonts w:ascii="sans-serif" w:eastAsia="sans-serif" w:hAnsi="sans-serif" w:cs="sans-serif"/>
          <w:color w:val="000000"/>
          <w:sz w:val="18"/>
          <w:szCs w:val="18"/>
        </w:rPr>
        <w:t xml:space="preserve"> No </w:t>
      </w:r>
      <w:r>
        <w:rPr>
          <w:rFonts w:ascii="Times New Roman" w:eastAsia="宋体" w:hAnsi="Times New Roman"/>
          <w:color w:val="000000"/>
          <w:sz w:val="20"/>
          <w:szCs w:val="20"/>
        </w:rPr>
        <w:t>☐</w:t>
      </w:r>
    </w:p>
    <w:p w14:paraId="54065EBD" w14:textId="77777777" w:rsidR="00611BDD" w:rsidRDefault="002E18C7">
      <w:pPr>
        <w:spacing w:after="180"/>
        <w:jc w:val="both"/>
      </w:pPr>
      <w:r>
        <w:rPr>
          <w:rFonts w:ascii="sans-serif" w:eastAsia="sans-serif" w:hAnsi="sans-serif" w:cs="sans-serif"/>
          <w:color w:val="000000"/>
          <w:sz w:val="18"/>
          <w:szCs w:val="18"/>
        </w:rPr>
        <w:t>Indicate by check mark whether the registrant has submitted electronically every Interactive Data File required to be submitted pursuant to Rule 405 of Regu</w:t>
      </w:r>
      <w:r>
        <w:rPr>
          <w:rFonts w:ascii="sans-serif" w:eastAsia="sans-serif" w:hAnsi="sans-serif" w:cs="sans-serif"/>
          <w:color w:val="000000"/>
          <w:sz w:val="18"/>
          <w:szCs w:val="18"/>
        </w:rPr>
        <w:t xml:space="preserve">lation S-T (§232.405 of this chapter) during the preceding 12 months (or for such shorter period that the registrant was required to submit such files). Yes </w:t>
      </w:r>
      <w:r>
        <w:rPr>
          <w:rFonts w:ascii="Times New Roman" w:eastAsia="宋体" w:hAnsi="Times New Roman"/>
          <w:color w:val="000000"/>
          <w:sz w:val="20"/>
          <w:szCs w:val="20"/>
        </w:rPr>
        <w:t>☒</w:t>
      </w:r>
      <w:r>
        <w:rPr>
          <w:rFonts w:ascii="sans-serif" w:eastAsia="sans-serif" w:hAnsi="sans-serif" w:cs="sans-serif"/>
          <w:color w:val="000000"/>
          <w:sz w:val="18"/>
          <w:szCs w:val="18"/>
        </w:rPr>
        <w:t xml:space="preserve"> No </w:t>
      </w:r>
      <w:r>
        <w:rPr>
          <w:rFonts w:ascii="Times New Roman" w:eastAsia="宋体" w:hAnsi="Times New Roman"/>
          <w:color w:val="000000"/>
          <w:sz w:val="20"/>
          <w:szCs w:val="20"/>
        </w:rPr>
        <w:t>☐</w:t>
      </w:r>
    </w:p>
    <w:p w14:paraId="54065EBE" w14:textId="77777777" w:rsidR="00611BDD" w:rsidRDefault="002E18C7">
      <w:pPr>
        <w:jc w:val="both"/>
      </w:pPr>
      <w:r>
        <w:rPr>
          <w:rFonts w:ascii="sans-serif" w:eastAsia="sans-serif" w:hAnsi="sans-serif" w:cs="sans-serif"/>
          <w:color w:val="000000"/>
          <w:sz w:val="18"/>
          <w:szCs w:val="18"/>
        </w:rPr>
        <w:lastRenderedPageBreak/>
        <w:t>Indicate by check mark whether the registrant is a large accelerated filer, an accelerated f</w:t>
      </w:r>
      <w:r>
        <w:rPr>
          <w:rFonts w:ascii="sans-serif" w:eastAsia="sans-serif" w:hAnsi="sans-serif" w:cs="sans-serif"/>
          <w:color w:val="000000"/>
          <w:sz w:val="18"/>
          <w:szCs w:val="18"/>
        </w:rPr>
        <w:t>iler, a non-accelerated filer, a smaller reporting company, or an emerging growth company. See definitions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51"/>
        <w:gridCol w:w="1265"/>
        <w:gridCol w:w="36"/>
        <w:gridCol w:w="37"/>
        <w:gridCol w:w="196"/>
        <w:gridCol w:w="36"/>
        <w:gridCol w:w="49"/>
        <w:gridCol w:w="1249"/>
        <w:gridCol w:w="36"/>
        <w:gridCol w:w="37"/>
        <w:gridCol w:w="196"/>
        <w:gridCol w:w="36"/>
        <w:gridCol w:w="68"/>
        <w:gridCol w:w="1231"/>
        <w:gridCol w:w="36"/>
        <w:gridCol w:w="37"/>
        <w:gridCol w:w="196"/>
        <w:gridCol w:w="36"/>
        <w:gridCol w:w="37"/>
        <w:gridCol w:w="1412"/>
        <w:gridCol w:w="36"/>
        <w:gridCol w:w="37"/>
        <w:gridCol w:w="196"/>
        <w:gridCol w:w="36"/>
        <w:gridCol w:w="37"/>
        <w:gridCol w:w="1412"/>
        <w:gridCol w:w="36"/>
        <w:gridCol w:w="37"/>
        <w:gridCol w:w="196"/>
        <w:gridCol w:w="36"/>
      </w:tblGrid>
      <w:tr w:rsidR="00611BDD" w14:paraId="54065EDD" w14:textId="77777777">
        <w:tc>
          <w:tcPr>
            <w:tcW w:w="50" w:type="pct"/>
            <w:shd w:val="clear" w:color="auto" w:fill="auto"/>
            <w:vAlign w:val="bottom"/>
          </w:tcPr>
          <w:p w14:paraId="54065EBF" w14:textId="77777777" w:rsidR="00611BDD" w:rsidRDefault="00611BDD">
            <w:pPr>
              <w:rPr>
                <w:rFonts w:ascii="宋体"/>
              </w:rPr>
            </w:pPr>
          </w:p>
        </w:tc>
        <w:tc>
          <w:tcPr>
            <w:tcW w:w="777" w:type="pct"/>
            <w:shd w:val="clear" w:color="auto" w:fill="auto"/>
            <w:vAlign w:val="bottom"/>
          </w:tcPr>
          <w:p w14:paraId="54065EC0" w14:textId="77777777" w:rsidR="00611BDD" w:rsidRDefault="00611BDD">
            <w:pPr>
              <w:rPr>
                <w:rFonts w:ascii="宋体"/>
              </w:rPr>
            </w:pPr>
          </w:p>
        </w:tc>
        <w:tc>
          <w:tcPr>
            <w:tcW w:w="5" w:type="pct"/>
            <w:shd w:val="clear" w:color="auto" w:fill="auto"/>
            <w:vAlign w:val="bottom"/>
          </w:tcPr>
          <w:p w14:paraId="54065EC1" w14:textId="77777777" w:rsidR="00611BDD" w:rsidRDefault="00611BDD">
            <w:pPr>
              <w:rPr>
                <w:rFonts w:ascii="宋体"/>
              </w:rPr>
            </w:pPr>
          </w:p>
        </w:tc>
        <w:tc>
          <w:tcPr>
            <w:tcW w:w="5" w:type="pct"/>
            <w:shd w:val="clear" w:color="auto" w:fill="auto"/>
            <w:vAlign w:val="bottom"/>
          </w:tcPr>
          <w:p w14:paraId="54065EC2" w14:textId="77777777" w:rsidR="00611BDD" w:rsidRDefault="00611BDD">
            <w:pPr>
              <w:rPr>
                <w:rFonts w:ascii="宋体"/>
              </w:rPr>
            </w:pPr>
          </w:p>
        </w:tc>
        <w:tc>
          <w:tcPr>
            <w:tcW w:w="121" w:type="pct"/>
            <w:shd w:val="clear" w:color="auto" w:fill="auto"/>
            <w:vAlign w:val="bottom"/>
          </w:tcPr>
          <w:p w14:paraId="54065EC3" w14:textId="77777777" w:rsidR="00611BDD" w:rsidRDefault="00611BDD">
            <w:pPr>
              <w:rPr>
                <w:rFonts w:ascii="宋体"/>
              </w:rPr>
            </w:pPr>
          </w:p>
        </w:tc>
        <w:tc>
          <w:tcPr>
            <w:tcW w:w="5" w:type="pct"/>
            <w:shd w:val="clear" w:color="auto" w:fill="auto"/>
            <w:vAlign w:val="bottom"/>
          </w:tcPr>
          <w:p w14:paraId="54065EC4" w14:textId="77777777" w:rsidR="00611BDD" w:rsidRDefault="00611BDD">
            <w:pPr>
              <w:rPr>
                <w:rFonts w:ascii="宋体"/>
              </w:rPr>
            </w:pPr>
          </w:p>
        </w:tc>
        <w:tc>
          <w:tcPr>
            <w:tcW w:w="50" w:type="pct"/>
            <w:shd w:val="clear" w:color="auto" w:fill="auto"/>
            <w:vAlign w:val="bottom"/>
          </w:tcPr>
          <w:p w14:paraId="54065EC5" w14:textId="77777777" w:rsidR="00611BDD" w:rsidRDefault="00611BDD">
            <w:pPr>
              <w:rPr>
                <w:rFonts w:ascii="宋体"/>
              </w:rPr>
            </w:pPr>
          </w:p>
        </w:tc>
        <w:tc>
          <w:tcPr>
            <w:tcW w:w="777" w:type="pct"/>
            <w:shd w:val="clear" w:color="auto" w:fill="auto"/>
            <w:vAlign w:val="bottom"/>
          </w:tcPr>
          <w:p w14:paraId="54065EC6" w14:textId="77777777" w:rsidR="00611BDD" w:rsidRDefault="00611BDD">
            <w:pPr>
              <w:rPr>
                <w:rFonts w:ascii="宋体"/>
              </w:rPr>
            </w:pPr>
          </w:p>
        </w:tc>
        <w:tc>
          <w:tcPr>
            <w:tcW w:w="5" w:type="pct"/>
            <w:shd w:val="clear" w:color="auto" w:fill="auto"/>
            <w:vAlign w:val="bottom"/>
          </w:tcPr>
          <w:p w14:paraId="54065EC7" w14:textId="77777777" w:rsidR="00611BDD" w:rsidRDefault="00611BDD">
            <w:pPr>
              <w:rPr>
                <w:rFonts w:ascii="宋体"/>
              </w:rPr>
            </w:pPr>
          </w:p>
        </w:tc>
        <w:tc>
          <w:tcPr>
            <w:tcW w:w="5" w:type="pct"/>
            <w:shd w:val="clear" w:color="auto" w:fill="auto"/>
            <w:vAlign w:val="bottom"/>
          </w:tcPr>
          <w:p w14:paraId="54065EC8" w14:textId="77777777" w:rsidR="00611BDD" w:rsidRDefault="00611BDD">
            <w:pPr>
              <w:rPr>
                <w:rFonts w:ascii="宋体"/>
              </w:rPr>
            </w:pPr>
          </w:p>
        </w:tc>
        <w:tc>
          <w:tcPr>
            <w:tcW w:w="121" w:type="pct"/>
            <w:shd w:val="clear" w:color="auto" w:fill="auto"/>
            <w:vAlign w:val="bottom"/>
          </w:tcPr>
          <w:p w14:paraId="54065EC9" w14:textId="77777777" w:rsidR="00611BDD" w:rsidRDefault="00611BDD">
            <w:pPr>
              <w:rPr>
                <w:rFonts w:ascii="宋体"/>
              </w:rPr>
            </w:pPr>
          </w:p>
        </w:tc>
        <w:tc>
          <w:tcPr>
            <w:tcW w:w="5" w:type="pct"/>
            <w:shd w:val="clear" w:color="auto" w:fill="auto"/>
            <w:vAlign w:val="bottom"/>
          </w:tcPr>
          <w:p w14:paraId="54065ECA" w14:textId="77777777" w:rsidR="00611BDD" w:rsidRDefault="00611BDD">
            <w:pPr>
              <w:rPr>
                <w:rFonts w:ascii="宋体"/>
              </w:rPr>
            </w:pPr>
          </w:p>
        </w:tc>
        <w:tc>
          <w:tcPr>
            <w:tcW w:w="50" w:type="pct"/>
            <w:shd w:val="clear" w:color="auto" w:fill="auto"/>
            <w:vAlign w:val="bottom"/>
          </w:tcPr>
          <w:p w14:paraId="54065ECB" w14:textId="77777777" w:rsidR="00611BDD" w:rsidRDefault="00611BDD">
            <w:pPr>
              <w:rPr>
                <w:rFonts w:ascii="宋体"/>
              </w:rPr>
            </w:pPr>
          </w:p>
        </w:tc>
        <w:tc>
          <w:tcPr>
            <w:tcW w:w="777" w:type="pct"/>
            <w:shd w:val="clear" w:color="auto" w:fill="auto"/>
            <w:vAlign w:val="bottom"/>
          </w:tcPr>
          <w:p w14:paraId="54065ECC" w14:textId="77777777" w:rsidR="00611BDD" w:rsidRDefault="00611BDD">
            <w:pPr>
              <w:rPr>
                <w:rFonts w:ascii="宋体"/>
              </w:rPr>
            </w:pPr>
          </w:p>
        </w:tc>
        <w:tc>
          <w:tcPr>
            <w:tcW w:w="5" w:type="pct"/>
            <w:shd w:val="clear" w:color="auto" w:fill="auto"/>
            <w:vAlign w:val="bottom"/>
          </w:tcPr>
          <w:p w14:paraId="54065ECD" w14:textId="77777777" w:rsidR="00611BDD" w:rsidRDefault="00611BDD">
            <w:pPr>
              <w:rPr>
                <w:rFonts w:ascii="宋体"/>
              </w:rPr>
            </w:pPr>
          </w:p>
        </w:tc>
        <w:tc>
          <w:tcPr>
            <w:tcW w:w="5" w:type="pct"/>
            <w:shd w:val="clear" w:color="auto" w:fill="auto"/>
            <w:vAlign w:val="bottom"/>
          </w:tcPr>
          <w:p w14:paraId="54065ECE" w14:textId="77777777" w:rsidR="00611BDD" w:rsidRDefault="00611BDD">
            <w:pPr>
              <w:rPr>
                <w:rFonts w:ascii="宋体"/>
              </w:rPr>
            </w:pPr>
          </w:p>
        </w:tc>
        <w:tc>
          <w:tcPr>
            <w:tcW w:w="121" w:type="pct"/>
            <w:shd w:val="clear" w:color="auto" w:fill="auto"/>
            <w:vAlign w:val="bottom"/>
          </w:tcPr>
          <w:p w14:paraId="54065ECF" w14:textId="77777777" w:rsidR="00611BDD" w:rsidRDefault="00611BDD">
            <w:pPr>
              <w:rPr>
                <w:rFonts w:ascii="宋体"/>
              </w:rPr>
            </w:pPr>
          </w:p>
        </w:tc>
        <w:tc>
          <w:tcPr>
            <w:tcW w:w="5" w:type="pct"/>
            <w:shd w:val="clear" w:color="auto" w:fill="auto"/>
            <w:vAlign w:val="bottom"/>
          </w:tcPr>
          <w:p w14:paraId="54065ED0" w14:textId="77777777" w:rsidR="00611BDD" w:rsidRDefault="00611BDD">
            <w:pPr>
              <w:rPr>
                <w:rFonts w:ascii="宋体"/>
              </w:rPr>
            </w:pPr>
          </w:p>
        </w:tc>
        <w:tc>
          <w:tcPr>
            <w:tcW w:w="50" w:type="pct"/>
            <w:shd w:val="clear" w:color="auto" w:fill="auto"/>
            <w:vAlign w:val="bottom"/>
          </w:tcPr>
          <w:p w14:paraId="54065ED1" w14:textId="77777777" w:rsidR="00611BDD" w:rsidRDefault="00611BDD">
            <w:pPr>
              <w:rPr>
                <w:rFonts w:ascii="宋体"/>
              </w:rPr>
            </w:pPr>
          </w:p>
        </w:tc>
        <w:tc>
          <w:tcPr>
            <w:tcW w:w="867" w:type="pct"/>
            <w:shd w:val="clear" w:color="auto" w:fill="auto"/>
            <w:vAlign w:val="bottom"/>
          </w:tcPr>
          <w:p w14:paraId="54065ED2" w14:textId="77777777" w:rsidR="00611BDD" w:rsidRDefault="00611BDD">
            <w:pPr>
              <w:rPr>
                <w:rFonts w:ascii="宋体"/>
              </w:rPr>
            </w:pPr>
          </w:p>
        </w:tc>
        <w:tc>
          <w:tcPr>
            <w:tcW w:w="5" w:type="pct"/>
            <w:shd w:val="clear" w:color="auto" w:fill="auto"/>
            <w:vAlign w:val="bottom"/>
          </w:tcPr>
          <w:p w14:paraId="54065ED3" w14:textId="77777777" w:rsidR="00611BDD" w:rsidRDefault="00611BDD">
            <w:pPr>
              <w:rPr>
                <w:rFonts w:ascii="宋体"/>
              </w:rPr>
            </w:pPr>
          </w:p>
        </w:tc>
        <w:tc>
          <w:tcPr>
            <w:tcW w:w="5" w:type="pct"/>
            <w:shd w:val="clear" w:color="auto" w:fill="auto"/>
            <w:vAlign w:val="bottom"/>
          </w:tcPr>
          <w:p w14:paraId="54065ED4" w14:textId="77777777" w:rsidR="00611BDD" w:rsidRDefault="00611BDD">
            <w:pPr>
              <w:rPr>
                <w:rFonts w:ascii="宋体"/>
              </w:rPr>
            </w:pPr>
          </w:p>
        </w:tc>
        <w:tc>
          <w:tcPr>
            <w:tcW w:w="121" w:type="pct"/>
            <w:shd w:val="clear" w:color="auto" w:fill="auto"/>
            <w:vAlign w:val="bottom"/>
          </w:tcPr>
          <w:p w14:paraId="54065ED5" w14:textId="77777777" w:rsidR="00611BDD" w:rsidRDefault="00611BDD">
            <w:pPr>
              <w:rPr>
                <w:rFonts w:ascii="宋体"/>
              </w:rPr>
            </w:pPr>
          </w:p>
        </w:tc>
        <w:tc>
          <w:tcPr>
            <w:tcW w:w="5" w:type="pct"/>
            <w:shd w:val="clear" w:color="auto" w:fill="auto"/>
            <w:vAlign w:val="bottom"/>
          </w:tcPr>
          <w:p w14:paraId="54065ED6" w14:textId="77777777" w:rsidR="00611BDD" w:rsidRDefault="00611BDD">
            <w:pPr>
              <w:rPr>
                <w:rFonts w:ascii="宋体"/>
              </w:rPr>
            </w:pPr>
          </w:p>
        </w:tc>
        <w:tc>
          <w:tcPr>
            <w:tcW w:w="50" w:type="pct"/>
            <w:shd w:val="clear" w:color="auto" w:fill="auto"/>
            <w:vAlign w:val="bottom"/>
          </w:tcPr>
          <w:p w14:paraId="54065ED7" w14:textId="77777777" w:rsidR="00611BDD" w:rsidRDefault="00611BDD">
            <w:pPr>
              <w:rPr>
                <w:rFonts w:ascii="宋体"/>
              </w:rPr>
            </w:pPr>
          </w:p>
        </w:tc>
        <w:tc>
          <w:tcPr>
            <w:tcW w:w="867" w:type="pct"/>
            <w:shd w:val="clear" w:color="auto" w:fill="auto"/>
            <w:vAlign w:val="bottom"/>
          </w:tcPr>
          <w:p w14:paraId="54065ED8" w14:textId="77777777" w:rsidR="00611BDD" w:rsidRDefault="00611BDD">
            <w:pPr>
              <w:rPr>
                <w:rFonts w:ascii="宋体"/>
              </w:rPr>
            </w:pPr>
          </w:p>
        </w:tc>
        <w:tc>
          <w:tcPr>
            <w:tcW w:w="5" w:type="pct"/>
            <w:shd w:val="clear" w:color="auto" w:fill="auto"/>
            <w:vAlign w:val="bottom"/>
          </w:tcPr>
          <w:p w14:paraId="54065ED9" w14:textId="77777777" w:rsidR="00611BDD" w:rsidRDefault="00611BDD">
            <w:pPr>
              <w:rPr>
                <w:rFonts w:ascii="宋体"/>
              </w:rPr>
            </w:pPr>
          </w:p>
        </w:tc>
        <w:tc>
          <w:tcPr>
            <w:tcW w:w="5" w:type="pct"/>
            <w:shd w:val="clear" w:color="auto" w:fill="auto"/>
            <w:vAlign w:val="bottom"/>
          </w:tcPr>
          <w:p w14:paraId="54065EDA" w14:textId="77777777" w:rsidR="00611BDD" w:rsidRDefault="00611BDD">
            <w:pPr>
              <w:rPr>
                <w:rFonts w:ascii="宋体"/>
              </w:rPr>
            </w:pPr>
          </w:p>
        </w:tc>
        <w:tc>
          <w:tcPr>
            <w:tcW w:w="121" w:type="pct"/>
            <w:shd w:val="clear" w:color="auto" w:fill="auto"/>
            <w:vAlign w:val="bottom"/>
          </w:tcPr>
          <w:p w14:paraId="54065EDB" w14:textId="77777777" w:rsidR="00611BDD" w:rsidRDefault="00611BDD">
            <w:pPr>
              <w:rPr>
                <w:rFonts w:ascii="宋体"/>
              </w:rPr>
            </w:pPr>
          </w:p>
        </w:tc>
        <w:tc>
          <w:tcPr>
            <w:tcW w:w="5" w:type="pct"/>
            <w:shd w:val="clear" w:color="auto" w:fill="auto"/>
            <w:vAlign w:val="bottom"/>
          </w:tcPr>
          <w:p w14:paraId="54065EDC" w14:textId="77777777" w:rsidR="00611BDD" w:rsidRDefault="00611BDD">
            <w:pPr>
              <w:rPr>
                <w:rFonts w:ascii="宋体"/>
              </w:rPr>
            </w:pPr>
          </w:p>
        </w:tc>
      </w:tr>
      <w:tr w:rsidR="00611BDD" w14:paraId="54065EE8" w14:textId="77777777">
        <w:tc>
          <w:tcPr>
            <w:tcW w:w="0" w:type="auto"/>
            <w:gridSpan w:val="3"/>
            <w:shd w:val="clear" w:color="auto" w:fill="auto"/>
            <w:tcMar>
              <w:top w:w="40" w:type="dxa"/>
              <w:left w:w="20" w:type="dxa"/>
              <w:bottom w:w="40" w:type="dxa"/>
              <w:right w:w="20" w:type="dxa"/>
            </w:tcMar>
            <w:vAlign w:val="bottom"/>
          </w:tcPr>
          <w:p w14:paraId="54065EDE" w14:textId="77777777" w:rsidR="00611BDD" w:rsidRDefault="002E18C7">
            <w:pPr>
              <w:jc w:val="center"/>
              <w:textAlignment w:val="bottom"/>
            </w:pPr>
            <w:r>
              <w:rPr>
                <w:rFonts w:ascii="sans-serif" w:eastAsia="sans-serif" w:hAnsi="sans-serif" w:cs="sans-serif"/>
                <w:color w:val="000000"/>
                <w:sz w:val="16"/>
                <w:szCs w:val="16"/>
              </w:rPr>
              <w:t>Large accelerated filer</w:t>
            </w:r>
          </w:p>
        </w:tc>
        <w:tc>
          <w:tcPr>
            <w:tcW w:w="0" w:type="auto"/>
            <w:gridSpan w:val="3"/>
            <w:shd w:val="clear" w:color="auto" w:fill="auto"/>
            <w:tcMar>
              <w:top w:w="40" w:type="dxa"/>
              <w:left w:w="20" w:type="dxa"/>
              <w:bottom w:w="40" w:type="dxa"/>
              <w:right w:w="20" w:type="dxa"/>
            </w:tcMar>
            <w:vAlign w:val="bottom"/>
          </w:tcPr>
          <w:p w14:paraId="54065EDF" w14:textId="77777777" w:rsidR="00611BDD" w:rsidRDefault="002E18C7">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54065EE0" w14:textId="77777777" w:rsidR="00611BDD" w:rsidRDefault="002E18C7">
            <w:pPr>
              <w:jc w:val="center"/>
              <w:textAlignment w:val="bottom"/>
            </w:pPr>
            <w:r>
              <w:rPr>
                <w:rFonts w:ascii="sans-serif" w:eastAsia="sans-serif" w:hAnsi="sans-serif" w:cs="sans-serif"/>
                <w:color w:val="000000"/>
                <w:sz w:val="16"/>
                <w:szCs w:val="16"/>
              </w:rPr>
              <w:t>Accelerated filer</w:t>
            </w:r>
          </w:p>
        </w:tc>
        <w:tc>
          <w:tcPr>
            <w:tcW w:w="0" w:type="auto"/>
            <w:gridSpan w:val="3"/>
            <w:shd w:val="clear" w:color="auto" w:fill="auto"/>
            <w:tcMar>
              <w:top w:w="40" w:type="dxa"/>
              <w:left w:w="20" w:type="dxa"/>
              <w:bottom w:w="40" w:type="dxa"/>
              <w:right w:w="20" w:type="dxa"/>
            </w:tcMar>
            <w:vAlign w:val="bottom"/>
          </w:tcPr>
          <w:p w14:paraId="54065EE1" w14:textId="77777777" w:rsidR="00611BDD" w:rsidRDefault="002E18C7">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54065EE2" w14:textId="77777777" w:rsidR="00611BDD" w:rsidRDefault="002E18C7">
            <w:pPr>
              <w:jc w:val="center"/>
              <w:textAlignment w:val="bottom"/>
            </w:pPr>
            <w:r>
              <w:rPr>
                <w:rFonts w:ascii="sans-serif" w:eastAsia="sans-serif" w:hAnsi="sans-serif" w:cs="sans-serif"/>
                <w:color w:val="000000"/>
                <w:sz w:val="16"/>
                <w:szCs w:val="16"/>
              </w:rPr>
              <w:t>Non-accelerated filer</w:t>
            </w:r>
          </w:p>
        </w:tc>
        <w:tc>
          <w:tcPr>
            <w:tcW w:w="0" w:type="auto"/>
            <w:gridSpan w:val="3"/>
            <w:shd w:val="clear" w:color="auto" w:fill="auto"/>
            <w:tcMar>
              <w:top w:w="40" w:type="dxa"/>
              <w:left w:w="20" w:type="dxa"/>
              <w:bottom w:w="40" w:type="dxa"/>
              <w:right w:w="20" w:type="dxa"/>
            </w:tcMar>
            <w:vAlign w:val="bottom"/>
          </w:tcPr>
          <w:p w14:paraId="54065EE3" w14:textId="77777777" w:rsidR="00611BDD" w:rsidRDefault="002E18C7">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54065EE4" w14:textId="77777777" w:rsidR="00611BDD" w:rsidRDefault="002E18C7">
            <w:pPr>
              <w:jc w:val="center"/>
              <w:textAlignment w:val="bottom"/>
            </w:pPr>
            <w:r>
              <w:rPr>
                <w:rFonts w:ascii="sans-serif" w:eastAsia="sans-serif" w:hAnsi="sans-serif" w:cs="sans-serif"/>
                <w:color w:val="000000"/>
                <w:sz w:val="16"/>
                <w:szCs w:val="16"/>
              </w:rPr>
              <w:t>Smaller reporting company</w:t>
            </w:r>
          </w:p>
        </w:tc>
        <w:tc>
          <w:tcPr>
            <w:tcW w:w="0" w:type="auto"/>
            <w:gridSpan w:val="3"/>
            <w:shd w:val="clear" w:color="auto" w:fill="auto"/>
            <w:tcMar>
              <w:top w:w="40" w:type="dxa"/>
              <w:left w:w="20" w:type="dxa"/>
              <w:bottom w:w="40" w:type="dxa"/>
              <w:right w:w="20" w:type="dxa"/>
            </w:tcMar>
            <w:vAlign w:val="bottom"/>
          </w:tcPr>
          <w:p w14:paraId="54065EE5" w14:textId="77777777" w:rsidR="00611BDD" w:rsidRDefault="002E18C7">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54065EE6" w14:textId="77777777" w:rsidR="00611BDD" w:rsidRDefault="002E18C7">
            <w:pPr>
              <w:jc w:val="center"/>
              <w:textAlignment w:val="bottom"/>
            </w:pPr>
            <w:r>
              <w:rPr>
                <w:rFonts w:ascii="sans-serif" w:eastAsia="sans-serif" w:hAnsi="sans-serif" w:cs="sans-serif"/>
                <w:color w:val="000000"/>
                <w:sz w:val="16"/>
                <w:szCs w:val="16"/>
              </w:rPr>
              <w:t>Emerging growth company</w:t>
            </w:r>
          </w:p>
        </w:tc>
        <w:tc>
          <w:tcPr>
            <w:tcW w:w="0" w:type="auto"/>
            <w:gridSpan w:val="3"/>
            <w:shd w:val="clear" w:color="auto" w:fill="auto"/>
            <w:tcMar>
              <w:top w:w="40" w:type="dxa"/>
              <w:left w:w="20" w:type="dxa"/>
              <w:bottom w:w="40" w:type="dxa"/>
              <w:right w:w="20" w:type="dxa"/>
            </w:tcMar>
            <w:vAlign w:val="bottom"/>
          </w:tcPr>
          <w:p w14:paraId="54065EE7" w14:textId="77777777" w:rsidR="00611BDD" w:rsidRDefault="002E18C7">
            <w:pPr>
              <w:jc w:val="center"/>
              <w:textAlignment w:val="bottom"/>
            </w:pPr>
            <w:r>
              <w:rPr>
                <w:rFonts w:ascii="Times New Roman" w:eastAsia="宋体" w:hAnsi="Times New Roman"/>
                <w:color w:val="000000"/>
                <w:sz w:val="20"/>
                <w:szCs w:val="20"/>
              </w:rPr>
              <w:t>☐</w:t>
            </w:r>
          </w:p>
        </w:tc>
      </w:tr>
    </w:tbl>
    <w:p w14:paraId="54065EE9" w14:textId="77777777" w:rsidR="00611BDD" w:rsidRDefault="002E18C7">
      <w:pPr>
        <w:spacing w:after="180"/>
        <w:jc w:val="both"/>
      </w:pPr>
      <w:r>
        <w:rPr>
          <w:rFonts w:ascii="sans-serif" w:eastAsia="sans-serif" w:hAnsi="sans-serif" w:cs="sans-serif"/>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Times New Roman" w:eastAsia="宋体" w:hAnsi="Times New Roman"/>
          <w:color w:val="000000"/>
          <w:sz w:val="20"/>
          <w:szCs w:val="20"/>
        </w:rPr>
        <w:t>☐</w:t>
      </w:r>
    </w:p>
    <w:p w14:paraId="54065EEA" w14:textId="77777777" w:rsidR="00611BDD" w:rsidRDefault="002E18C7">
      <w:pPr>
        <w:spacing w:after="180"/>
        <w:jc w:val="both"/>
      </w:pPr>
      <w:r>
        <w:rPr>
          <w:rFonts w:ascii="sans-serif" w:eastAsia="sans-serif" w:hAnsi="sans-serif" w:cs="sans-serif"/>
          <w:color w:val="000000"/>
          <w:sz w:val="18"/>
          <w:szCs w:val="18"/>
        </w:rPr>
        <w:t>Ind</w:t>
      </w:r>
      <w:r>
        <w:rPr>
          <w:rFonts w:ascii="sans-serif" w:eastAsia="sans-serif" w:hAnsi="sans-serif" w:cs="sans-serif"/>
          <w:color w:val="000000"/>
          <w:sz w:val="18"/>
          <w:szCs w:val="18"/>
        </w:rPr>
        <w:t xml:space="preserve">icate by check mark whether the registrant is a shell company (as defined in Rule 12b-2 of the Exchange Act). Yes </w:t>
      </w:r>
      <w:r>
        <w:rPr>
          <w:rFonts w:ascii="Times New Roman" w:eastAsia="宋体" w:hAnsi="Times New Roman"/>
          <w:color w:val="000000"/>
          <w:sz w:val="20"/>
          <w:szCs w:val="20"/>
        </w:rPr>
        <w:t>☐</w:t>
      </w:r>
      <w:r>
        <w:rPr>
          <w:rFonts w:ascii="sans-serif" w:eastAsia="sans-serif" w:hAnsi="sans-serif" w:cs="sans-serif"/>
          <w:color w:val="000000"/>
          <w:sz w:val="18"/>
          <w:szCs w:val="18"/>
        </w:rPr>
        <w:t xml:space="preserve"> No </w:t>
      </w:r>
      <w:r>
        <w:rPr>
          <w:rFonts w:ascii="Times New Roman" w:eastAsia="宋体" w:hAnsi="Times New Roman"/>
          <w:color w:val="000000"/>
          <w:sz w:val="20"/>
          <w:szCs w:val="20"/>
        </w:rPr>
        <w:t>☒</w:t>
      </w:r>
    </w:p>
    <w:p w14:paraId="54065EEB" w14:textId="77777777" w:rsidR="00611BDD" w:rsidRDefault="002E18C7">
      <w:pPr>
        <w:jc w:val="both"/>
      </w:pPr>
      <w:r>
        <w:rPr>
          <w:rFonts w:ascii="sans-serif" w:eastAsia="sans-serif" w:hAnsi="sans-serif" w:cs="sans-serif"/>
          <w:color w:val="000000"/>
          <w:sz w:val="18"/>
          <w:szCs w:val="18"/>
        </w:rPr>
        <w:t>The number of shares of common stock, $0.001 par value, outstanding as of August 13, 2021, was 2.50 billion.</w:t>
      </w:r>
    </w:p>
    <w:p w14:paraId="54065EEC" w14:textId="77777777" w:rsidR="00611BDD" w:rsidRDefault="00611BDD">
      <w:pPr>
        <w:spacing w:after="180"/>
        <w:jc w:val="both"/>
      </w:pPr>
    </w:p>
    <w:p w14:paraId="54065EED" w14:textId="77777777" w:rsidR="00611BDD" w:rsidRDefault="002E18C7">
      <w:r>
        <w:pict w14:anchorId="54067C25">
          <v:rect id="_x0000_i1025" style="width:415.3pt;height:1.5pt" o:hralign="center" o:hrstd="t" o:hr="t" fillcolor="#a0a0a0" stroked="f"/>
        </w:pict>
      </w:r>
    </w:p>
    <w:p w14:paraId="54065EEE" w14:textId="77777777" w:rsidR="00611BDD" w:rsidRDefault="00611BDD">
      <w:pPr>
        <w:spacing w:after="180"/>
        <w:jc w:val="both"/>
      </w:pPr>
    </w:p>
    <w:p w14:paraId="54065EEF" w14:textId="77777777" w:rsidR="00611BDD" w:rsidRDefault="002E18C7">
      <w:pPr>
        <w:jc w:val="center"/>
      </w:pPr>
      <w:r>
        <w:rPr>
          <w:rFonts w:ascii="sans-serif" w:eastAsia="sans-serif" w:hAnsi="sans-serif" w:cs="sans-serif"/>
          <w:b/>
          <w:bCs/>
          <w:color w:val="000000"/>
          <w:sz w:val="20"/>
          <w:szCs w:val="20"/>
        </w:rPr>
        <w:t xml:space="preserve">NVIDIA </w:t>
      </w:r>
      <w:r>
        <w:rPr>
          <w:rFonts w:ascii="sans-serif" w:eastAsia="sans-serif" w:hAnsi="sans-serif" w:cs="sans-serif"/>
          <w:b/>
          <w:bCs/>
          <w:color w:val="000000"/>
          <w:sz w:val="20"/>
          <w:szCs w:val="20"/>
        </w:rPr>
        <w:t>CORPORATION</w:t>
      </w:r>
    </w:p>
    <w:p w14:paraId="54065EF0" w14:textId="77777777" w:rsidR="00611BDD" w:rsidRDefault="002E18C7">
      <w:pPr>
        <w:jc w:val="center"/>
      </w:pPr>
      <w:r>
        <w:rPr>
          <w:rFonts w:ascii="sans-serif" w:eastAsia="sans-serif" w:hAnsi="sans-serif" w:cs="sans-serif"/>
          <w:b/>
          <w:bCs/>
          <w:color w:val="000000"/>
          <w:sz w:val="20"/>
          <w:szCs w:val="20"/>
        </w:rPr>
        <w:t>FORM 10-Q</w:t>
      </w:r>
    </w:p>
    <w:p w14:paraId="54065EF1" w14:textId="77777777" w:rsidR="00611BDD" w:rsidRDefault="002E18C7">
      <w:pPr>
        <w:spacing w:after="180"/>
        <w:jc w:val="center"/>
      </w:pPr>
      <w:r>
        <w:rPr>
          <w:rFonts w:ascii="sans-serif" w:eastAsia="sans-serif" w:hAnsi="sans-serif" w:cs="sans-serif"/>
          <w:b/>
          <w:bCs/>
          <w:color w:val="000000"/>
          <w:sz w:val="20"/>
          <w:szCs w:val="20"/>
        </w:rPr>
        <w:t xml:space="preserve">FOR THE QUARTER ENDED August 1, 2021 </w:t>
      </w:r>
    </w:p>
    <w:p w14:paraId="54065EF2" w14:textId="77777777" w:rsidR="00611BDD" w:rsidRDefault="002E18C7">
      <w:pPr>
        <w:jc w:val="center"/>
      </w:pPr>
      <w:r>
        <w:rPr>
          <w:rFonts w:ascii="sans-serif" w:eastAsia="sans-serif" w:hAnsi="sans-serif" w:cs="sans-serif"/>
          <w:b/>
          <w:bCs/>
          <w:color w:val="000000"/>
          <w:sz w:val="20"/>
          <w:szCs w:val="20"/>
        </w:rPr>
        <w:t>TABLE OF CONTENTS</w:t>
      </w:r>
    </w:p>
    <w:tbl>
      <w:tblPr>
        <w:tblW w:w="4920" w:type="pct"/>
        <w:jc w:val="center"/>
        <w:tblCellMar>
          <w:top w:w="15" w:type="dxa"/>
          <w:left w:w="15" w:type="dxa"/>
          <w:bottom w:w="15" w:type="dxa"/>
          <w:right w:w="15" w:type="dxa"/>
        </w:tblCellMar>
        <w:tblLook w:val="04A0" w:firstRow="1" w:lastRow="0" w:firstColumn="1" w:lastColumn="0" w:noHBand="0" w:noVBand="1"/>
      </w:tblPr>
      <w:tblGrid>
        <w:gridCol w:w="82"/>
        <w:gridCol w:w="725"/>
        <w:gridCol w:w="36"/>
        <w:gridCol w:w="61"/>
        <w:gridCol w:w="6632"/>
        <w:gridCol w:w="36"/>
        <w:gridCol w:w="61"/>
        <w:gridCol w:w="534"/>
        <w:gridCol w:w="36"/>
      </w:tblGrid>
      <w:tr w:rsidR="00611BDD" w14:paraId="54065EFC" w14:textId="77777777">
        <w:trPr>
          <w:jc w:val="center"/>
        </w:trPr>
        <w:tc>
          <w:tcPr>
            <w:tcW w:w="50" w:type="pct"/>
            <w:shd w:val="clear" w:color="auto" w:fill="auto"/>
            <w:vAlign w:val="bottom"/>
          </w:tcPr>
          <w:p w14:paraId="54065EF3" w14:textId="77777777" w:rsidR="00611BDD" w:rsidRDefault="00611BDD">
            <w:pPr>
              <w:rPr>
                <w:rFonts w:ascii="宋体"/>
              </w:rPr>
            </w:pPr>
          </w:p>
        </w:tc>
        <w:tc>
          <w:tcPr>
            <w:tcW w:w="442" w:type="pct"/>
            <w:shd w:val="clear" w:color="auto" w:fill="auto"/>
            <w:vAlign w:val="bottom"/>
          </w:tcPr>
          <w:p w14:paraId="54065EF4" w14:textId="77777777" w:rsidR="00611BDD" w:rsidRDefault="00611BDD">
            <w:pPr>
              <w:rPr>
                <w:rFonts w:ascii="宋体"/>
              </w:rPr>
            </w:pPr>
          </w:p>
        </w:tc>
        <w:tc>
          <w:tcPr>
            <w:tcW w:w="5" w:type="pct"/>
            <w:shd w:val="clear" w:color="auto" w:fill="auto"/>
            <w:vAlign w:val="bottom"/>
          </w:tcPr>
          <w:p w14:paraId="54065EF5" w14:textId="77777777" w:rsidR="00611BDD" w:rsidRDefault="00611BDD">
            <w:pPr>
              <w:rPr>
                <w:rFonts w:ascii="宋体"/>
              </w:rPr>
            </w:pPr>
          </w:p>
        </w:tc>
        <w:tc>
          <w:tcPr>
            <w:tcW w:w="50" w:type="pct"/>
            <w:shd w:val="clear" w:color="auto" w:fill="auto"/>
            <w:vAlign w:val="bottom"/>
          </w:tcPr>
          <w:p w14:paraId="54065EF6" w14:textId="77777777" w:rsidR="00611BDD" w:rsidRDefault="00611BDD">
            <w:pPr>
              <w:rPr>
                <w:rFonts w:ascii="宋体"/>
              </w:rPr>
            </w:pPr>
          </w:p>
        </w:tc>
        <w:tc>
          <w:tcPr>
            <w:tcW w:w="4053" w:type="pct"/>
            <w:shd w:val="clear" w:color="auto" w:fill="auto"/>
            <w:vAlign w:val="bottom"/>
          </w:tcPr>
          <w:p w14:paraId="54065EF7" w14:textId="77777777" w:rsidR="00611BDD" w:rsidRDefault="00611BDD">
            <w:pPr>
              <w:rPr>
                <w:rFonts w:ascii="宋体"/>
              </w:rPr>
            </w:pPr>
          </w:p>
        </w:tc>
        <w:tc>
          <w:tcPr>
            <w:tcW w:w="5" w:type="pct"/>
            <w:shd w:val="clear" w:color="auto" w:fill="auto"/>
            <w:vAlign w:val="bottom"/>
          </w:tcPr>
          <w:p w14:paraId="54065EF8" w14:textId="77777777" w:rsidR="00611BDD" w:rsidRDefault="00611BDD">
            <w:pPr>
              <w:rPr>
                <w:rFonts w:ascii="宋体"/>
              </w:rPr>
            </w:pPr>
          </w:p>
        </w:tc>
        <w:tc>
          <w:tcPr>
            <w:tcW w:w="50" w:type="pct"/>
            <w:shd w:val="clear" w:color="auto" w:fill="auto"/>
            <w:vAlign w:val="bottom"/>
          </w:tcPr>
          <w:p w14:paraId="54065EF9" w14:textId="77777777" w:rsidR="00611BDD" w:rsidRDefault="00611BDD">
            <w:pPr>
              <w:rPr>
                <w:rFonts w:ascii="宋体"/>
              </w:rPr>
            </w:pPr>
          </w:p>
        </w:tc>
        <w:tc>
          <w:tcPr>
            <w:tcW w:w="338" w:type="pct"/>
            <w:shd w:val="clear" w:color="auto" w:fill="auto"/>
            <w:vAlign w:val="bottom"/>
          </w:tcPr>
          <w:p w14:paraId="54065EFA" w14:textId="77777777" w:rsidR="00611BDD" w:rsidRDefault="00611BDD">
            <w:pPr>
              <w:rPr>
                <w:rFonts w:ascii="宋体"/>
              </w:rPr>
            </w:pPr>
          </w:p>
        </w:tc>
        <w:tc>
          <w:tcPr>
            <w:tcW w:w="5" w:type="pct"/>
            <w:shd w:val="clear" w:color="auto" w:fill="auto"/>
            <w:vAlign w:val="bottom"/>
          </w:tcPr>
          <w:p w14:paraId="54065EFB" w14:textId="77777777" w:rsidR="00611BDD" w:rsidRDefault="00611BDD">
            <w:pPr>
              <w:rPr>
                <w:rFonts w:ascii="宋体"/>
              </w:rPr>
            </w:pPr>
          </w:p>
        </w:tc>
      </w:tr>
      <w:tr w:rsidR="00611BDD" w14:paraId="54065F00" w14:textId="77777777">
        <w:trPr>
          <w:jc w:val="center"/>
        </w:trPr>
        <w:tc>
          <w:tcPr>
            <w:tcW w:w="0" w:type="auto"/>
            <w:gridSpan w:val="3"/>
            <w:shd w:val="clear" w:color="auto" w:fill="auto"/>
            <w:tcMar>
              <w:top w:w="40" w:type="dxa"/>
              <w:left w:w="20" w:type="dxa"/>
              <w:bottom w:w="40" w:type="dxa"/>
              <w:right w:w="20" w:type="dxa"/>
            </w:tcMar>
            <w:vAlign w:val="bottom"/>
          </w:tcPr>
          <w:p w14:paraId="54065EFD"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4065EFE"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4065EFF" w14:textId="77777777" w:rsidR="00611BDD" w:rsidRDefault="002E18C7">
            <w:pPr>
              <w:jc w:val="right"/>
              <w:textAlignment w:val="bottom"/>
            </w:pPr>
            <w:r>
              <w:rPr>
                <w:rFonts w:ascii="sans-serif" w:eastAsia="sans-serif" w:hAnsi="sans-serif" w:cs="sans-serif"/>
                <w:b/>
                <w:bCs/>
                <w:color w:val="000000"/>
                <w:sz w:val="20"/>
                <w:szCs w:val="20"/>
              </w:rPr>
              <w:t>Page</w:t>
            </w:r>
          </w:p>
        </w:tc>
      </w:tr>
      <w:tr w:rsidR="00611BDD" w14:paraId="54065F04" w14:textId="77777777">
        <w:trPr>
          <w:jc w:val="center"/>
        </w:trPr>
        <w:tc>
          <w:tcPr>
            <w:tcW w:w="0" w:type="auto"/>
            <w:gridSpan w:val="3"/>
            <w:shd w:val="clear" w:color="auto" w:fill="auto"/>
            <w:tcMar>
              <w:top w:w="40" w:type="dxa"/>
              <w:left w:w="20" w:type="dxa"/>
              <w:bottom w:w="40" w:type="dxa"/>
              <w:right w:w="20" w:type="dxa"/>
            </w:tcMar>
            <w:vAlign w:val="bottom"/>
          </w:tcPr>
          <w:p w14:paraId="54065F01"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4065F02" w14:textId="77777777" w:rsidR="00611BDD" w:rsidRDefault="002E18C7">
            <w:pPr>
              <w:pBdr>
                <w:top w:val="none" w:sz="0" w:space="0" w:color="auto"/>
                <w:left w:val="none" w:sz="0" w:space="0" w:color="auto"/>
                <w:bottom w:val="none" w:sz="0" w:space="0" w:color="auto"/>
                <w:right w:val="none" w:sz="0" w:space="0" w:color="auto"/>
              </w:pBdr>
              <w:jc w:val="center"/>
              <w:textAlignment w:val="bottom"/>
            </w:pPr>
            <w:hyperlink r:id="rId7" w:anchor="i01d81586a7294980b1aa319409ab21d7_10" w:history="1">
              <w:r>
                <w:rPr>
                  <w:rStyle w:val="a5"/>
                  <w:rFonts w:ascii="sans-serif" w:eastAsia="sans-serif" w:hAnsi="sans-serif" w:cs="sans-serif"/>
                  <w:b/>
                  <w:bCs/>
                  <w:sz w:val="20"/>
                  <w:szCs w:val="20"/>
                </w:rPr>
                <w:t>PART I : FINANCIAL INFORMATION</w:t>
              </w:r>
            </w:hyperlink>
          </w:p>
        </w:tc>
        <w:tc>
          <w:tcPr>
            <w:tcW w:w="0" w:type="auto"/>
            <w:gridSpan w:val="3"/>
            <w:shd w:val="clear" w:color="auto" w:fill="auto"/>
            <w:tcMar>
              <w:top w:w="40" w:type="dxa"/>
              <w:left w:w="20" w:type="dxa"/>
              <w:bottom w:w="40" w:type="dxa"/>
              <w:right w:w="20" w:type="dxa"/>
            </w:tcMar>
            <w:vAlign w:val="bottom"/>
          </w:tcPr>
          <w:p w14:paraId="54065F03" w14:textId="77777777" w:rsidR="00611BDD" w:rsidRDefault="002E18C7">
            <w:pPr>
              <w:jc w:val="right"/>
              <w:textAlignment w:val="bottom"/>
            </w:pPr>
            <w:r>
              <w:rPr>
                <w:rFonts w:ascii="sans-serif" w:eastAsia="sans-serif" w:hAnsi="sans-serif" w:cs="sans-serif"/>
                <w:color w:val="000000"/>
                <w:sz w:val="20"/>
                <w:szCs w:val="20"/>
              </w:rPr>
              <w:t> </w:t>
            </w:r>
          </w:p>
        </w:tc>
      </w:tr>
      <w:tr w:rsidR="00611BDD" w14:paraId="54065F08" w14:textId="77777777">
        <w:trPr>
          <w:trHeight w:val="60"/>
          <w:jc w:val="center"/>
        </w:trPr>
        <w:tc>
          <w:tcPr>
            <w:tcW w:w="0" w:type="auto"/>
            <w:gridSpan w:val="3"/>
            <w:shd w:val="clear" w:color="auto" w:fill="auto"/>
            <w:tcMar>
              <w:top w:w="0" w:type="dxa"/>
              <w:left w:w="20" w:type="dxa"/>
              <w:bottom w:w="0" w:type="dxa"/>
              <w:right w:w="20" w:type="dxa"/>
            </w:tcMar>
            <w:vAlign w:val="bottom"/>
          </w:tcPr>
          <w:p w14:paraId="54065F05"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5F06"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5F07" w14:textId="77777777" w:rsidR="00611BDD" w:rsidRDefault="00611BDD">
            <w:pPr>
              <w:rPr>
                <w:rFonts w:ascii="宋体"/>
              </w:rPr>
            </w:pPr>
          </w:p>
        </w:tc>
      </w:tr>
      <w:tr w:rsidR="00611BDD" w14:paraId="54065F0C" w14:textId="77777777">
        <w:trPr>
          <w:jc w:val="center"/>
        </w:trPr>
        <w:tc>
          <w:tcPr>
            <w:tcW w:w="0" w:type="auto"/>
            <w:gridSpan w:val="3"/>
            <w:shd w:val="clear" w:color="auto" w:fill="auto"/>
            <w:tcMar>
              <w:top w:w="40" w:type="dxa"/>
              <w:left w:w="20" w:type="dxa"/>
              <w:bottom w:w="40" w:type="dxa"/>
              <w:right w:w="20" w:type="dxa"/>
            </w:tcMar>
            <w:vAlign w:val="bottom"/>
          </w:tcPr>
          <w:p w14:paraId="54065F09" w14:textId="77777777" w:rsidR="00611BDD" w:rsidRDefault="002E18C7">
            <w:pPr>
              <w:pBdr>
                <w:top w:val="none" w:sz="0" w:space="0" w:color="auto"/>
                <w:left w:val="none" w:sz="0" w:space="0" w:color="auto"/>
                <w:bottom w:val="none" w:sz="0" w:space="0" w:color="auto"/>
                <w:right w:val="none" w:sz="0" w:space="0" w:color="auto"/>
              </w:pBdr>
              <w:textAlignment w:val="bottom"/>
            </w:pPr>
            <w:hyperlink r:id="rId8" w:anchor="i01d81586a7294980b1aa319409ab21d7_13" w:history="1">
              <w:r>
                <w:rPr>
                  <w:rStyle w:val="a5"/>
                  <w:rFonts w:ascii="sans-serif" w:eastAsia="sans-serif" w:hAnsi="sans-serif" w:cs="sans-serif"/>
                  <w:sz w:val="20"/>
                  <w:szCs w:val="20"/>
                </w:rPr>
                <w:t>Item 1.</w:t>
              </w:r>
            </w:hyperlink>
          </w:p>
        </w:tc>
        <w:tc>
          <w:tcPr>
            <w:tcW w:w="0" w:type="auto"/>
            <w:gridSpan w:val="3"/>
            <w:shd w:val="clear" w:color="auto" w:fill="auto"/>
            <w:tcMar>
              <w:top w:w="40" w:type="dxa"/>
              <w:left w:w="20" w:type="dxa"/>
              <w:bottom w:w="40" w:type="dxa"/>
              <w:right w:w="20" w:type="dxa"/>
            </w:tcMar>
            <w:vAlign w:val="bottom"/>
          </w:tcPr>
          <w:p w14:paraId="54065F0A" w14:textId="77777777" w:rsidR="00611BDD" w:rsidRDefault="002E18C7">
            <w:pPr>
              <w:jc w:val="both"/>
              <w:textAlignment w:val="bottom"/>
            </w:pPr>
            <w:r>
              <w:rPr>
                <w:rFonts w:ascii="sans-serif" w:eastAsia="sans-serif" w:hAnsi="sans-serif" w:cs="sans-serif"/>
                <w:color w:val="000000"/>
                <w:sz w:val="20"/>
                <w:szCs w:val="20"/>
              </w:rPr>
              <w:t>Financial Statements (Unaudited)</w:t>
            </w:r>
          </w:p>
        </w:tc>
        <w:tc>
          <w:tcPr>
            <w:tcW w:w="0" w:type="auto"/>
            <w:gridSpan w:val="3"/>
            <w:shd w:val="clear" w:color="auto" w:fill="auto"/>
            <w:tcMar>
              <w:top w:w="40" w:type="dxa"/>
              <w:left w:w="20" w:type="dxa"/>
              <w:bottom w:w="40" w:type="dxa"/>
              <w:right w:w="20" w:type="dxa"/>
            </w:tcMar>
            <w:vAlign w:val="bottom"/>
          </w:tcPr>
          <w:p w14:paraId="54065F0B" w14:textId="77777777" w:rsidR="00611BDD" w:rsidRDefault="002E18C7">
            <w:pPr>
              <w:textAlignment w:val="bottom"/>
            </w:pPr>
            <w:r>
              <w:rPr>
                <w:rFonts w:ascii="sans-serif" w:eastAsia="sans-serif" w:hAnsi="sans-serif" w:cs="sans-serif"/>
                <w:color w:val="000000"/>
                <w:sz w:val="20"/>
                <w:szCs w:val="20"/>
              </w:rPr>
              <w:t> </w:t>
            </w:r>
          </w:p>
        </w:tc>
      </w:tr>
      <w:tr w:rsidR="00611BDD" w14:paraId="54065F10" w14:textId="77777777">
        <w:trPr>
          <w:trHeight w:val="60"/>
          <w:jc w:val="center"/>
        </w:trPr>
        <w:tc>
          <w:tcPr>
            <w:tcW w:w="0" w:type="auto"/>
            <w:gridSpan w:val="3"/>
            <w:shd w:val="clear" w:color="auto" w:fill="auto"/>
            <w:tcMar>
              <w:top w:w="0" w:type="dxa"/>
              <w:left w:w="20" w:type="dxa"/>
              <w:bottom w:w="0" w:type="dxa"/>
              <w:right w:w="20" w:type="dxa"/>
            </w:tcMar>
            <w:vAlign w:val="bottom"/>
          </w:tcPr>
          <w:p w14:paraId="54065F0D"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5F0E"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5F0F" w14:textId="77777777" w:rsidR="00611BDD" w:rsidRDefault="00611BDD">
            <w:pPr>
              <w:rPr>
                <w:rFonts w:ascii="宋体"/>
              </w:rPr>
            </w:pPr>
          </w:p>
        </w:tc>
      </w:tr>
      <w:tr w:rsidR="00611BDD" w14:paraId="54065F14" w14:textId="77777777">
        <w:trPr>
          <w:jc w:val="center"/>
        </w:trPr>
        <w:tc>
          <w:tcPr>
            <w:tcW w:w="0" w:type="auto"/>
            <w:gridSpan w:val="3"/>
            <w:shd w:val="clear" w:color="auto" w:fill="auto"/>
            <w:tcMar>
              <w:top w:w="40" w:type="dxa"/>
              <w:left w:w="20" w:type="dxa"/>
              <w:bottom w:w="40" w:type="dxa"/>
              <w:right w:w="20" w:type="dxa"/>
            </w:tcMar>
            <w:vAlign w:val="bottom"/>
          </w:tcPr>
          <w:p w14:paraId="54065F11"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4065F12" w14:textId="77777777" w:rsidR="00611BDD" w:rsidRDefault="002E18C7">
            <w:pPr>
              <w:textAlignment w:val="bottom"/>
            </w:pPr>
            <w:r>
              <w:rPr>
                <w:rFonts w:ascii="sans-serif" w:eastAsia="sans-serif" w:hAnsi="sans-serif" w:cs="sans-serif"/>
                <w:color w:val="000000"/>
                <w:sz w:val="20"/>
                <w:szCs w:val="20"/>
              </w:rPr>
              <w:t xml:space="preserve">a) Condensed Consolidated Statements of Income </w:t>
            </w:r>
            <w:r>
              <w:rPr>
                <w:rFonts w:ascii="sans-serif" w:eastAsia="sans-serif" w:hAnsi="sans-serif" w:cs="sans-serif"/>
                <w:color w:val="000000"/>
                <w:sz w:val="20"/>
                <w:szCs w:val="20"/>
              </w:rPr>
              <w:t>for the three and six months ended August 1, 2021 and July 26, 2020</w:t>
            </w:r>
          </w:p>
        </w:tc>
        <w:tc>
          <w:tcPr>
            <w:tcW w:w="0" w:type="auto"/>
            <w:gridSpan w:val="3"/>
            <w:shd w:val="clear" w:color="auto" w:fill="auto"/>
            <w:tcMar>
              <w:top w:w="40" w:type="dxa"/>
              <w:left w:w="20" w:type="dxa"/>
              <w:bottom w:w="40" w:type="dxa"/>
              <w:right w:w="20" w:type="dxa"/>
            </w:tcMar>
            <w:vAlign w:val="bottom"/>
          </w:tcPr>
          <w:p w14:paraId="54065F13" w14:textId="77777777" w:rsidR="00611BDD" w:rsidRDefault="002E18C7">
            <w:pPr>
              <w:pBdr>
                <w:top w:val="none" w:sz="0" w:space="0" w:color="auto"/>
                <w:left w:val="none" w:sz="0" w:space="0" w:color="auto"/>
                <w:bottom w:val="none" w:sz="0" w:space="0" w:color="auto"/>
                <w:right w:val="none" w:sz="0" w:space="0" w:color="auto"/>
              </w:pBdr>
              <w:jc w:val="right"/>
              <w:textAlignment w:val="bottom"/>
            </w:pPr>
            <w:hyperlink r:id="rId9" w:anchor="i01d81586a7294980b1aa319409ab21d7_16" w:history="1">
              <w:r>
                <w:rPr>
                  <w:rStyle w:val="a5"/>
                  <w:rFonts w:ascii="sans-serif" w:eastAsia="sans-serif" w:hAnsi="sans-serif" w:cs="sans-serif"/>
                  <w:sz w:val="20"/>
                  <w:szCs w:val="20"/>
                </w:rPr>
                <w:t>3</w:t>
              </w:r>
            </w:hyperlink>
          </w:p>
        </w:tc>
      </w:tr>
      <w:tr w:rsidR="00611BDD" w14:paraId="54065F18" w14:textId="77777777">
        <w:trPr>
          <w:jc w:val="center"/>
          <w:hidden/>
        </w:trPr>
        <w:tc>
          <w:tcPr>
            <w:tcW w:w="0" w:type="auto"/>
            <w:gridSpan w:val="3"/>
            <w:shd w:val="clear" w:color="auto" w:fill="auto"/>
            <w:vAlign w:val="bottom"/>
          </w:tcPr>
          <w:p w14:paraId="54065F15" w14:textId="77777777" w:rsidR="00611BDD" w:rsidRDefault="00611BDD">
            <w:pPr>
              <w:rPr>
                <w:rFonts w:ascii="宋体"/>
                <w:vanish/>
              </w:rPr>
            </w:pPr>
          </w:p>
        </w:tc>
        <w:tc>
          <w:tcPr>
            <w:tcW w:w="0" w:type="auto"/>
            <w:gridSpan w:val="3"/>
            <w:shd w:val="clear" w:color="auto" w:fill="auto"/>
            <w:vAlign w:val="bottom"/>
          </w:tcPr>
          <w:p w14:paraId="54065F16" w14:textId="77777777" w:rsidR="00611BDD" w:rsidRDefault="00611BDD">
            <w:pPr>
              <w:rPr>
                <w:rFonts w:ascii="宋体"/>
                <w:vanish/>
              </w:rPr>
            </w:pPr>
          </w:p>
        </w:tc>
        <w:tc>
          <w:tcPr>
            <w:tcW w:w="0" w:type="auto"/>
            <w:gridSpan w:val="3"/>
            <w:shd w:val="clear" w:color="auto" w:fill="auto"/>
            <w:vAlign w:val="bottom"/>
          </w:tcPr>
          <w:p w14:paraId="54065F17" w14:textId="77777777" w:rsidR="00611BDD" w:rsidRDefault="00611BDD">
            <w:pPr>
              <w:rPr>
                <w:rFonts w:ascii="宋体"/>
                <w:vanish/>
              </w:rPr>
            </w:pPr>
          </w:p>
        </w:tc>
      </w:tr>
      <w:tr w:rsidR="00611BDD" w14:paraId="54065F1C" w14:textId="77777777">
        <w:trPr>
          <w:jc w:val="center"/>
        </w:trPr>
        <w:tc>
          <w:tcPr>
            <w:tcW w:w="0" w:type="auto"/>
            <w:gridSpan w:val="3"/>
            <w:shd w:val="clear" w:color="auto" w:fill="auto"/>
            <w:tcMar>
              <w:top w:w="0" w:type="dxa"/>
              <w:left w:w="20" w:type="dxa"/>
              <w:bottom w:w="0" w:type="dxa"/>
              <w:right w:w="20" w:type="dxa"/>
            </w:tcMar>
            <w:vAlign w:val="bottom"/>
          </w:tcPr>
          <w:p w14:paraId="54065F19"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5F1A" w14:textId="77777777" w:rsidR="00611BDD" w:rsidRDefault="002E18C7">
            <w:pPr>
              <w:textAlignment w:val="bottom"/>
            </w:pPr>
            <w:r>
              <w:rPr>
                <w:rFonts w:ascii="sans-serif" w:eastAsia="sans-serif" w:hAnsi="sans-serif" w:cs="sans-serif"/>
                <w:color w:val="000000"/>
                <w:sz w:val="20"/>
                <w:szCs w:val="20"/>
              </w:rPr>
              <w:t xml:space="preserve">b) Condensed Consolidated Statements of Comprehensive Income for the three and six </w:t>
            </w:r>
            <w:r>
              <w:rPr>
                <w:rFonts w:ascii="sans-serif" w:eastAsia="sans-serif" w:hAnsi="sans-serif" w:cs="sans-serif"/>
                <w:color w:val="000000"/>
                <w:sz w:val="20"/>
                <w:szCs w:val="20"/>
              </w:rPr>
              <w:t>months ended August 1, 2021 and July 26, 2020</w:t>
            </w:r>
          </w:p>
        </w:tc>
        <w:tc>
          <w:tcPr>
            <w:tcW w:w="0" w:type="auto"/>
            <w:gridSpan w:val="3"/>
            <w:shd w:val="clear" w:color="auto" w:fill="auto"/>
            <w:tcMar>
              <w:top w:w="40" w:type="dxa"/>
              <w:left w:w="20" w:type="dxa"/>
              <w:bottom w:w="40" w:type="dxa"/>
              <w:right w:w="20" w:type="dxa"/>
            </w:tcMar>
            <w:vAlign w:val="bottom"/>
          </w:tcPr>
          <w:p w14:paraId="54065F1B" w14:textId="77777777" w:rsidR="00611BDD" w:rsidRDefault="002E18C7">
            <w:pPr>
              <w:pBdr>
                <w:top w:val="none" w:sz="0" w:space="0" w:color="auto"/>
                <w:left w:val="none" w:sz="0" w:space="0" w:color="auto"/>
                <w:bottom w:val="none" w:sz="0" w:space="0" w:color="auto"/>
                <w:right w:val="none" w:sz="0" w:space="0" w:color="auto"/>
              </w:pBdr>
              <w:jc w:val="right"/>
              <w:textAlignment w:val="bottom"/>
            </w:pPr>
            <w:hyperlink r:id="rId10" w:anchor="i01d81586a7294980b1aa319409ab21d7_19" w:history="1">
              <w:r>
                <w:rPr>
                  <w:rStyle w:val="a5"/>
                  <w:rFonts w:ascii="sans-serif" w:eastAsia="sans-serif" w:hAnsi="sans-serif" w:cs="sans-serif"/>
                  <w:sz w:val="20"/>
                  <w:szCs w:val="20"/>
                </w:rPr>
                <w:t>4</w:t>
              </w:r>
            </w:hyperlink>
          </w:p>
        </w:tc>
      </w:tr>
      <w:tr w:rsidR="00611BDD" w14:paraId="54065F20" w14:textId="77777777">
        <w:trPr>
          <w:jc w:val="center"/>
          <w:hidden/>
        </w:trPr>
        <w:tc>
          <w:tcPr>
            <w:tcW w:w="0" w:type="auto"/>
            <w:gridSpan w:val="3"/>
            <w:shd w:val="clear" w:color="auto" w:fill="auto"/>
            <w:vAlign w:val="bottom"/>
          </w:tcPr>
          <w:p w14:paraId="54065F1D" w14:textId="77777777" w:rsidR="00611BDD" w:rsidRDefault="00611BDD">
            <w:pPr>
              <w:rPr>
                <w:rFonts w:ascii="宋体"/>
                <w:vanish/>
              </w:rPr>
            </w:pPr>
          </w:p>
        </w:tc>
        <w:tc>
          <w:tcPr>
            <w:tcW w:w="0" w:type="auto"/>
            <w:gridSpan w:val="3"/>
            <w:shd w:val="clear" w:color="auto" w:fill="auto"/>
            <w:vAlign w:val="bottom"/>
          </w:tcPr>
          <w:p w14:paraId="54065F1E" w14:textId="77777777" w:rsidR="00611BDD" w:rsidRDefault="00611BDD">
            <w:pPr>
              <w:rPr>
                <w:rFonts w:ascii="宋体"/>
                <w:vanish/>
              </w:rPr>
            </w:pPr>
          </w:p>
        </w:tc>
        <w:tc>
          <w:tcPr>
            <w:tcW w:w="0" w:type="auto"/>
            <w:gridSpan w:val="3"/>
            <w:shd w:val="clear" w:color="auto" w:fill="auto"/>
            <w:vAlign w:val="bottom"/>
          </w:tcPr>
          <w:p w14:paraId="54065F1F" w14:textId="77777777" w:rsidR="00611BDD" w:rsidRDefault="00611BDD">
            <w:pPr>
              <w:rPr>
                <w:rFonts w:ascii="宋体"/>
                <w:vanish/>
              </w:rPr>
            </w:pPr>
          </w:p>
        </w:tc>
      </w:tr>
      <w:tr w:rsidR="00611BDD" w14:paraId="54065F24" w14:textId="77777777">
        <w:trPr>
          <w:jc w:val="center"/>
        </w:trPr>
        <w:tc>
          <w:tcPr>
            <w:tcW w:w="0" w:type="auto"/>
            <w:gridSpan w:val="3"/>
            <w:shd w:val="clear" w:color="auto" w:fill="auto"/>
            <w:tcMar>
              <w:top w:w="40" w:type="dxa"/>
              <w:left w:w="20" w:type="dxa"/>
              <w:bottom w:w="40" w:type="dxa"/>
              <w:right w:w="20" w:type="dxa"/>
            </w:tcMar>
            <w:vAlign w:val="bottom"/>
          </w:tcPr>
          <w:p w14:paraId="54065F21"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4065F22" w14:textId="77777777" w:rsidR="00611BDD" w:rsidRDefault="002E18C7">
            <w:pPr>
              <w:jc w:val="both"/>
              <w:textAlignment w:val="bottom"/>
            </w:pPr>
            <w:r>
              <w:rPr>
                <w:rFonts w:ascii="sans-serif" w:eastAsia="sans-serif" w:hAnsi="sans-serif" w:cs="sans-serif"/>
                <w:color w:val="000000"/>
                <w:sz w:val="20"/>
                <w:szCs w:val="20"/>
              </w:rPr>
              <w:t xml:space="preserve">c) Condensed Consolidated Balance Sheets as </w:t>
            </w:r>
            <w:r>
              <w:rPr>
                <w:rFonts w:ascii="sans-serif" w:eastAsia="sans-serif" w:hAnsi="sans-serif" w:cs="sans-serif"/>
                <w:color w:val="000000"/>
                <w:sz w:val="20"/>
                <w:szCs w:val="20"/>
              </w:rPr>
              <w:t>of August 1, 2021 and January 31, 2021</w:t>
            </w:r>
          </w:p>
        </w:tc>
        <w:tc>
          <w:tcPr>
            <w:tcW w:w="0" w:type="auto"/>
            <w:gridSpan w:val="3"/>
            <w:shd w:val="clear" w:color="auto" w:fill="auto"/>
            <w:tcMar>
              <w:top w:w="40" w:type="dxa"/>
              <w:left w:w="20" w:type="dxa"/>
              <w:bottom w:w="40" w:type="dxa"/>
              <w:right w:w="20" w:type="dxa"/>
            </w:tcMar>
            <w:vAlign w:val="bottom"/>
          </w:tcPr>
          <w:p w14:paraId="54065F23" w14:textId="77777777" w:rsidR="00611BDD" w:rsidRDefault="002E18C7">
            <w:pPr>
              <w:pBdr>
                <w:top w:val="none" w:sz="0" w:space="0" w:color="auto"/>
                <w:left w:val="none" w:sz="0" w:space="0" w:color="auto"/>
                <w:bottom w:val="none" w:sz="0" w:space="0" w:color="auto"/>
                <w:right w:val="none" w:sz="0" w:space="0" w:color="auto"/>
              </w:pBdr>
              <w:jc w:val="right"/>
              <w:textAlignment w:val="bottom"/>
            </w:pPr>
            <w:hyperlink r:id="rId11" w:anchor="i01d81586a7294980b1aa319409ab21d7_22" w:history="1">
              <w:r>
                <w:rPr>
                  <w:rStyle w:val="a5"/>
                  <w:rFonts w:ascii="sans-serif" w:eastAsia="sans-serif" w:hAnsi="sans-serif" w:cs="sans-serif"/>
                  <w:sz w:val="20"/>
                  <w:szCs w:val="20"/>
                </w:rPr>
                <w:t>5</w:t>
              </w:r>
            </w:hyperlink>
          </w:p>
        </w:tc>
      </w:tr>
      <w:tr w:rsidR="00611BDD" w14:paraId="54065F28" w14:textId="77777777">
        <w:trPr>
          <w:jc w:val="center"/>
          <w:hidden/>
        </w:trPr>
        <w:tc>
          <w:tcPr>
            <w:tcW w:w="0" w:type="auto"/>
            <w:gridSpan w:val="3"/>
            <w:shd w:val="clear" w:color="auto" w:fill="auto"/>
            <w:vAlign w:val="bottom"/>
          </w:tcPr>
          <w:p w14:paraId="54065F25" w14:textId="77777777" w:rsidR="00611BDD" w:rsidRDefault="00611BDD">
            <w:pPr>
              <w:rPr>
                <w:rFonts w:ascii="宋体"/>
                <w:vanish/>
              </w:rPr>
            </w:pPr>
          </w:p>
        </w:tc>
        <w:tc>
          <w:tcPr>
            <w:tcW w:w="0" w:type="auto"/>
            <w:gridSpan w:val="3"/>
            <w:shd w:val="clear" w:color="auto" w:fill="auto"/>
            <w:vAlign w:val="bottom"/>
          </w:tcPr>
          <w:p w14:paraId="54065F26" w14:textId="77777777" w:rsidR="00611BDD" w:rsidRDefault="00611BDD">
            <w:pPr>
              <w:rPr>
                <w:rFonts w:ascii="宋体"/>
                <w:vanish/>
              </w:rPr>
            </w:pPr>
          </w:p>
        </w:tc>
        <w:tc>
          <w:tcPr>
            <w:tcW w:w="0" w:type="auto"/>
            <w:gridSpan w:val="3"/>
            <w:shd w:val="clear" w:color="auto" w:fill="auto"/>
            <w:vAlign w:val="bottom"/>
          </w:tcPr>
          <w:p w14:paraId="54065F27" w14:textId="77777777" w:rsidR="00611BDD" w:rsidRDefault="00611BDD">
            <w:pPr>
              <w:rPr>
                <w:rFonts w:ascii="宋体"/>
                <w:vanish/>
              </w:rPr>
            </w:pPr>
          </w:p>
        </w:tc>
      </w:tr>
      <w:tr w:rsidR="00611BDD" w14:paraId="54065F2C" w14:textId="77777777">
        <w:trPr>
          <w:jc w:val="center"/>
        </w:trPr>
        <w:tc>
          <w:tcPr>
            <w:tcW w:w="0" w:type="auto"/>
            <w:gridSpan w:val="3"/>
            <w:shd w:val="clear" w:color="auto" w:fill="auto"/>
            <w:tcMar>
              <w:top w:w="0" w:type="dxa"/>
              <w:left w:w="20" w:type="dxa"/>
              <w:bottom w:w="0" w:type="dxa"/>
              <w:right w:w="20" w:type="dxa"/>
            </w:tcMar>
            <w:vAlign w:val="bottom"/>
          </w:tcPr>
          <w:p w14:paraId="54065F29"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5F2A" w14:textId="77777777" w:rsidR="00611BDD" w:rsidRDefault="002E18C7">
            <w:pPr>
              <w:textAlignment w:val="bottom"/>
            </w:pPr>
            <w:r>
              <w:rPr>
                <w:rFonts w:ascii="sans-serif" w:eastAsia="sans-serif" w:hAnsi="sans-serif" w:cs="sans-serif"/>
                <w:color w:val="000000"/>
                <w:sz w:val="20"/>
                <w:szCs w:val="20"/>
              </w:rPr>
              <w:t xml:space="preserve">d) Condensed Consolidated Statements of </w:t>
            </w:r>
            <w:r>
              <w:rPr>
                <w:rFonts w:ascii="sans-serif" w:eastAsia="sans-serif" w:hAnsi="sans-serif" w:cs="sans-serif"/>
                <w:color w:val="000000"/>
                <w:sz w:val="20"/>
                <w:szCs w:val="20"/>
              </w:rPr>
              <w:t>Shareholders' Equity for the three and six months ended August 1, 2021 and July 26, 2020</w:t>
            </w:r>
          </w:p>
        </w:tc>
        <w:tc>
          <w:tcPr>
            <w:tcW w:w="0" w:type="auto"/>
            <w:gridSpan w:val="3"/>
            <w:shd w:val="clear" w:color="auto" w:fill="auto"/>
            <w:tcMar>
              <w:top w:w="40" w:type="dxa"/>
              <w:left w:w="20" w:type="dxa"/>
              <w:bottom w:w="40" w:type="dxa"/>
              <w:right w:w="20" w:type="dxa"/>
            </w:tcMar>
            <w:vAlign w:val="bottom"/>
          </w:tcPr>
          <w:p w14:paraId="54065F2B" w14:textId="77777777" w:rsidR="00611BDD" w:rsidRDefault="002E18C7">
            <w:pPr>
              <w:pBdr>
                <w:top w:val="none" w:sz="0" w:space="0" w:color="auto"/>
                <w:left w:val="none" w:sz="0" w:space="0" w:color="auto"/>
                <w:bottom w:val="none" w:sz="0" w:space="0" w:color="auto"/>
                <w:right w:val="none" w:sz="0" w:space="0" w:color="auto"/>
              </w:pBdr>
              <w:jc w:val="right"/>
              <w:textAlignment w:val="bottom"/>
            </w:pPr>
            <w:hyperlink r:id="rId12" w:anchor="i01d81586a7294980b1aa319409ab21d7_25" w:history="1">
              <w:r>
                <w:rPr>
                  <w:rStyle w:val="a5"/>
                  <w:rFonts w:ascii="sans-serif" w:eastAsia="sans-serif" w:hAnsi="sans-serif" w:cs="sans-serif"/>
                  <w:sz w:val="20"/>
                  <w:szCs w:val="20"/>
                </w:rPr>
                <w:t>6</w:t>
              </w:r>
            </w:hyperlink>
          </w:p>
        </w:tc>
      </w:tr>
      <w:tr w:rsidR="00611BDD" w14:paraId="54065F30" w14:textId="77777777">
        <w:trPr>
          <w:jc w:val="center"/>
          <w:hidden/>
        </w:trPr>
        <w:tc>
          <w:tcPr>
            <w:tcW w:w="0" w:type="auto"/>
            <w:gridSpan w:val="3"/>
            <w:shd w:val="clear" w:color="auto" w:fill="auto"/>
            <w:vAlign w:val="bottom"/>
          </w:tcPr>
          <w:p w14:paraId="54065F2D" w14:textId="77777777" w:rsidR="00611BDD" w:rsidRDefault="00611BDD">
            <w:pPr>
              <w:rPr>
                <w:rFonts w:ascii="宋体"/>
                <w:vanish/>
              </w:rPr>
            </w:pPr>
          </w:p>
        </w:tc>
        <w:tc>
          <w:tcPr>
            <w:tcW w:w="0" w:type="auto"/>
            <w:gridSpan w:val="3"/>
            <w:shd w:val="clear" w:color="auto" w:fill="auto"/>
            <w:vAlign w:val="bottom"/>
          </w:tcPr>
          <w:p w14:paraId="54065F2E" w14:textId="77777777" w:rsidR="00611BDD" w:rsidRDefault="00611BDD">
            <w:pPr>
              <w:rPr>
                <w:rFonts w:ascii="宋体"/>
                <w:vanish/>
              </w:rPr>
            </w:pPr>
          </w:p>
        </w:tc>
        <w:tc>
          <w:tcPr>
            <w:tcW w:w="0" w:type="auto"/>
            <w:gridSpan w:val="3"/>
            <w:shd w:val="clear" w:color="auto" w:fill="auto"/>
            <w:vAlign w:val="bottom"/>
          </w:tcPr>
          <w:p w14:paraId="54065F2F" w14:textId="77777777" w:rsidR="00611BDD" w:rsidRDefault="00611BDD">
            <w:pPr>
              <w:rPr>
                <w:rFonts w:ascii="宋体"/>
                <w:vanish/>
              </w:rPr>
            </w:pPr>
          </w:p>
        </w:tc>
      </w:tr>
      <w:tr w:rsidR="00611BDD" w14:paraId="54065F34" w14:textId="77777777">
        <w:trPr>
          <w:jc w:val="center"/>
        </w:trPr>
        <w:tc>
          <w:tcPr>
            <w:tcW w:w="0" w:type="auto"/>
            <w:gridSpan w:val="3"/>
            <w:shd w:val="clear" w:color="auto" w:fill="auto"/>
            <w:tcMar>
              <w:top w:w="40" w:type="dxa"/>
              <w:left w:w="20" w:type="dxa"/>
              <w:bottom w:w="40" w:type="dxa"/>
              <w:right w:w="20" w:type="dxa"/>
            </w:tcMar>
            <w:vAlign w:val="bottom"/>
          </w:tcPr>
          <w:p w14:paraId="54065F31"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4065F32" w14:textId="77777777" w:rsidR="00611BDD" w:rsidRDefault="002E18C7">
            <w:pPr>
              <w:textAlignment w:val="bottom"/>
            </w:pPr>
            <w:r>
              <w:rPr>
                <w:rFonts w:ascii="sans-serif" w:eastAsia="sans-serif" w:hAnsi="sans-serif" w:cs="sans-serif"/>
                <w:color w:val="000000"/>
                <w:sz w:val="20"/>
                <w:szCs w:val="20"/>
              </w:rPr>
              <w:t xml:space="preserve">e) Condensed Consolidated Statements of Cash Flows for the six months ended August 1, </w:t>
            </w:r>
            <w:r>
              <w:rPr>
                <w:rFonts w:ascii="sans-serif" w:eastAsia="sans-serif" w:hAnsi="sans-serif" w:cs="sans-serif"/>
                <w:color w:val="000000"/>
                <w:sz w:val="20"/>
                <w:szCs w:val="20"/>
              </w:rPr>
              <w:t>2021 and July 26, 2020</w:t>
            </w:r>
          </w:p>
        </w:tc>
        <w:tc>
          <w:tcPr>
            <w:tcW w:w="0" w:type="auto"/>
            <w:gridSpan w:val="3"/>
            <w:shd w:val="clear" w:color="auto" w:fill="auto"/>
            <w:tcMar>
              <w:top w:w="40" w:type="dxa"/>
              <w:left w:w="20" w:type="dxa"/>
              <w:bottom w:w="40" w:type="dxa"/>
              <w:right w:w="20" w:type="dxa"/>
            </w:tcMar>
            <w:vAlign w:val="bottom"/>
          </w:tcPr>
          <w:p w14:paraId="54065F33" w14:textId="77777777" w:rsidR="00611BDD" w:rsidRDefault="002E18C7">
            <w:pPr>
              <w:pBdr>
                <w:top w:val="none" w:sz="0" w:space="0" w:color="auto"/>
                <w:left w:val="none" w:sz="0" w:space="0" w:color="auto"/>
                <w:bottom w:val="none" w:sz="0" w:space="0" w:color="auto"/>
                <w:right w:val="none" w:sz="0" w:space="0" w:color="auto"/>
              </w:pBdr>
              <w:jc w:val="right"/>
              <w:textAlignment w:val="bottom"/>
            </w:pPr>
            <w:hyperlink r:id="rId13" w:anchor="i01d81586a7294980b1aa319409ab21d7_34" w:history="1">
              <w:r>
                <w:rPr>
                  <w:rStyle w:val="a5"/>
                  <w:rFonts w:ascii="sans-serif" w:eastAsia="sans-serif" w:hAnsi="sans-serif" w:cs="sans-serif"/>
                  <w:sz w:val="20"/>
                  <w:szCs w:val="20"/>
                </w:rPr>
                <w:t>8</w:t>
              </w:r>
            </w:hyperlink>
          </w:p>
        </w:tc>
      </w:tr>
      <w:tr w:rsidR="00611BDD" w14:paraId="54065F38" w14:textId="77777777">
        <w:trPr>
          <w:jc w:val="center"/>
          <w:hidden/>
        </w:trPr>
        <w:tc>
          <w:tcPr>
            <w:tcW w:w="0" w:type="auto"/>
            <w:gridSpan w:val="3"/>
            <w:shd w:val="clear" w:color="auto" w:fill="auto"/>
            <w:vAlign w:val="bottom"/>
          </w:tcPr>
          <w:p w14:paraId="54065F35" w14:textId="77777777" w:rsidR="00611BDD" w:rsidRDefault="00611BDD">
            <w:pPr>
              <w:rPr>
                <w:rFonts w:ascii="宋体"/>
                <w:vanish/>
              </w:rPr>
            </w:pPr>
          </w:p>
        </w:tc>
        <w:tc>
          <w:tcPr>
            <w:tcW w:w="0" w:type="auto"/>
            <w:gridSpan w:val="3"/>
            <w:shd w:val="clear" w:color="auto" w:fill="auto"/>
            <w:vAlign w:val="bottom"/>
          </w:tcPr>
          <w:p w14:paraId="54065F36" w14:textId="77777777" w:rsidR="00611BDD" w:rsidRDefault="00611BDD">
            <w:pPr>
              <w:rPr>
                <w:rFonts w:ascii="宋体"/>
                <w:vanish/>
              </w:rPr>
            </w:pPr>
          </w:p>
        </w:tc>
        <w:tc>
          <w:tcPr>
            <w:tcW w:w="0" w:type="auto"/>
            <w:gridSpan w:val="3"/>
            <w:shd w:val="clear" w:color="auto" w:fill="auto"/>
            <w:vAlign w:val="bottom"/>
          </w:tcPr>
          <w:p w14:paraId="54065F37" w14:textId="77777777" w:rsidR="00611BDD" w:rsidRDefault="00611BDD">
            <w:pPr>
              <w:rPr>
                <w:rFonts w:ascii="宋体"/>
                <w:vanish/>
              </w:rPr>
            </w:pPr>
          </w:p>
        </w:tc>
      </w:tr>
      <w:tr w:rsidR="00611BDD" w14:paraId="54065F3C" w14:textId="77777777">
        <w:trPr>
          <w:jc w:val="center"/>
        </w:trPr>
        <w:tc>
          <w:tcPr>
            <w:tcW w:w="0" w:type="auto"/>
            <w:gridSpan w:val="3"/>
            <w:shd w:val="clear" w:color="auto" w:fill="auto"/>
            <w:tcMar>
              <w:top w:w="40" w:type="dxa"/>
              <w:left w:w="20" w:type="dxa"/>
              <w:bottom w:w="40" w:type="dxa"/>
              <w:right w:w="20" w:type="dxa"/>
            </w:tcMar>
            <w:vAlign w:val="bottom"/>
          </w:tcPr>
          <w:p w14:paraId="54065F39"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4065F3A" w14:textId="77777777" w:rsidR="00611BDD" w:rsidRDefault="002E18C7">
            <w:pPr>
              <w:jc w:val="both"/>
              <w:textAlignment w:val="bottom"/>
            </w:pPr>
            <w:r>
              <w:rPr>
                <w:rFonts w:ascii="sans-serif" w:eastAsia="sans-serif" w:hAnsi="sans-serif" w:cs="sans-serif"/>
                <w:color w:val="000000"/>
                <w:sz w:val="20"/>
                <w:szCs w:val="20"/>
              </w:rPr>
              <w:t>f) Notes to Condensed Consolidated Financial Statements</w:t>
            </w:r>
          </w:p>
        </w:tc>
        <w:tc>
          <w:tcPr>
            <w:tcW w:w="0" w:type="auto"/>
            <w:gridSpan w:val="3"/>
            <w:shd w:val="clear" w:color="auto" w:fill="auto"/>
            <w:tcMar>
              <w:top w:w="40" w:type="dxa"/>
              <w:left w:w="20" w:type="dxa"/>
              <w:bottom w:w="40" w:type="dxa"/>
              <w:right w:w="20" w:type="dxa"/>
            </w:tcMar>
            <w:vAlign w:val="bottom"/>
          </w:tcPr>
          <w:p w14:paraId="54065F3B" w14:textId="77777777" w:rsidR="00611BDD" w:rsidRDefault="002E18C7">
            <w:pPr>
              <w:pBdr>
                <w:top w:val="none" w:sz="0" w:space="0" w:color="auto"/>
                <w:left w:val="none" w:sz="0" w:space="0" w:color="auto"/>
                <w:bottom w:val="none" w:sz="0" w:space="0" w:color="auto"/>
                <w:right w:val="none" w:sz="0" w:space="0" w:color="auto"/>
              </w:pBdr>
              <w:jc w:val="right"/>
              <w:textAlignment w:val="bottom"/>
            </w:pPr>
            <w:hyperlink r:id="rId14" w:anchor="i01d81586a7294980b1aa319409ab21d7_37" w:history="1">
              <w:r>
                <w:rPr>
                  <w:rStyle w:val="a5"/>
                  <w:rFonts w:ascii="sans-serif" w:eastAsia="sans-serif" w:hAnsi="sans-serif" w:cs="sans-serif"/>
                  <w:sz w:val="20"/>
                  <w:szCs w:val="20"/>
                </w:rPr>
                <w:t>9</w:t>
              </w:r>
            </w:hyperlink>
          </w:p>
        </w:tc>
      </w:tr>
      <w:tr w:rsidR="00611BDD" w14:paraId="54065F40" w14:textId="77777777">
        <w:trPr>
          <w:trHeight w:val="60"/>
          <w:jc w:val="center"/>
        </w:trPr>
        <w:tc>
          <w:tcPr>
            <w:tcW w:w="0" w:type="auto"/>
            <w:gridSpan w:val="3"/>
            <w:shd w:val="clear" w:color="auto" w:fill="auto"/>
            <w:tcMar>
              <w:top w:w="0" w:type="dxa"/>
              <w:left w:w="20" w:type="dxa"/>
              <w:bottom w:w="0" w:type="dxa"/>
              <w:right w:w="20" w:type="dxa"/>
            </w:tcMar>
            <w:vAlign w:val="bottom"/>
          </w:tcPr>
          <w:p w14:paraId="54065F3D"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5F3E"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5F3F" w14:textId="77777777" w:rsidR="00611BDD" w:rsidRDefault="00611BDD">
            <w:pPr>
              <w:rPr>
                <w:rFonts w:ascii="宋体"/>
              </w:rPr>
            </w:pPr>
          </w:p>
        </w:tc>
      </w:tr>
      <w:tr w:rsidR="00611BDD" w14:paraId="54065F44" w14:textId="77777777">
        <w:trPr>
          <w:jc w:val="center"/>
        </w:trPr>
        <w:tc>
          <w:tcPr>
            <w:tcW w:w="0" w:type="auto"/>
            <w:gridSpan w:val="3"/>
            <w:shd w:val="clear" w:color="auto" w:fill="auto"/>
            <w:tcMar>
              <w:top w:w="40" w:type="dxa"/>
              <w:left w:w="20" w:type="dxa"/>
              <w:bottom w:w="40" w:type="dxa"/>
              <w:right w:w="20" w:type="dxa"/>
            </w:tcMar>
            <w:vAlign w:val="bottom"/>
          </w:tcPr>
          <w:p w14:paraId="54065F41" w14:textId="77777777" w:rsidR="00611BDD" w:rsidRDefault="002E18C7">
            <w:pPr>
              <w:pBdr>
                <w:top w:val="none" w:sz="0" w:space="0" w:color="auto"/>
                <w:left w:val="none" w:sz="0" w:space="0" w:color="auto"/>
                <w:bottom w:val="none" w:sz="0" w:space="0" w:color="auto"/>
                <w:right w:val="none" w:sz="0" w:space="0" w:color="auto"/>
              </w:pBdr>
              <w:textAlignment w:val="bottom"/>
            </w:pPr>
            <w:hyperlink r:id="rId15" w:anchor="i01d81586a7294980b1aa319409ab21d7_91" w:history="1">
              <w:r>
                <w:rPr>
                  <w:rStyle w:val="a5"/>
                  <w:rFonts w:ascii="sans-serif" w:eastAsia="sans-serif" w:hAnsi="sans-serif" w:cs="sans-serif"/>
                  <w:sz w:val="20"/>
                  <w:szCs w:val="20"/>
                </w:rPr>
                <w:t>Item 2.</w:t>
              </w:r>
            </w:hyperlink>
          </w:p>
        </w:tc>
        <w:tc>
          <w:tcPr>
            <w:tcW w:w="0" w:type="auto"/>
            <w:gridSpan w:val="3"/>
            <w:shd w:val="clear" w:color="auto" w:fill="auto"/>
            <w:tcMar>
              <w:top w:w="40" w:type="dxa"/>
              <w:left w:w="20" w:type="dxa"/>
              <w:bottom w:w="40" w:type="dxa"/>
              <w:right w:w="20" w:type="dxa"/>
            </w:tcMar>
            <w:vAlign w:val="bottom"/>
          </w:tcPr>
          <w:p w14:paraId="54065F42" w14:textId="77777777" w:rsidR="00611BDD" w:rsidRDefault="002E18C7">
            <w:pPr>
              <w:textAlignment w:val="bottom"/>
            </w:pPr>
            <w:r>
              <w:rPr>
                <w:rFonts w:ascii="sans-serif" w:eastAsia="sans-serif" w:hAnsi="sans-serif" w:cs="sans-serif"/>
                <w:color w:val="000000"/>
                <w:sz w:val="20"/>
                <w:szCs w:val="20"/>
              </w:rPr>
              <w:t>Management’s Discussion and Analysis of Financial Condition and Results of Operations</w:t>
            </w:r>
          </w:p>
        </w:tc>
        <w:tc>
          <w:tcPr>
            <w:tcW w:w="0" w:type="auto"/>
            <w:gridSpan w:val="3"/>
            <w:shd w:val="clear" w:color="auto" w:fill="auto"/>
            <w:tcMar>
              <w:top w:w="40" w:type="dxa"/>
              <w:left w:w="20" w:type="dxa"/>
              <w:bottom w:w="40" w:type="dxa"/>
              <w:right w:w="20" w:type="dxa"/>
            </w:tcMar>
            <w:vAlign w:val="bottom"/>
          </w:tcPr>
          <w:p w14:paraId="54065F43" w14:textId="77777777" w:rsidR="00611BDD" w:rsidRDefault="002E18C7">
            <w:pPr>
              <w:pBdr>
                <w:top w:val="none" w:sz="0" w:space="0" w:color="auto"/>
                <w:left w:val="none" w:sz="0" w:space="0" w:color="auto"/>
                <w:bottom w:val="none" w:sz="0" w:space="0" w:color="auto"/>
                <w:right w:val="none" w:sz="0" w:space="0" w:color="auto"/>
              </w:pBdr>
              <w:jc w:val="right"/>
              <w:textAlignment w:val="bottom"/>
            </w:pPr>
            <w:hyperlink r:id="rId16" w:anchor="i01d81586a7294980b1aa319409ab21d7_91" w:history="1">
              <w:r>
                <w:rPr>
                  <w:rStyle w:val="a5"/>
                  <w:rFonts w:ascii="sans-serif" w:eastAsia="sans-serif" w:hAnsi="sans-serif" w:cs="sans-serif"/>
                  <w:sz w:val="20"/>
                  <w:szCs w:val="20"/>
                </w:rPr>
                <w:t>24</w:t>
              </w:r>
            </w:hyperlink>
          </w:p>
        </w:tc>
      </w:tr>
      <w:tr w:rsidR="00611BDD" w14:paraId="54065F48" w14:textId="77777777">
        <w:trPr>
          <w:trHeight w:val="60"/>
          <w:jc w:val="center"/>
        </w:trPr>
        <w:tc>
          <w:tcPr>
            <w:tcW w:w="0" w:type="auto"/>
            <w:gridSpan w:val="3"/>
            <w:shd w:val="clear" w:color="auto" w:fill="auto"/>
            <w:tcMar>
              <w:top w:w="0" w:type="dxa"/>
              <w:left w:w="20" w:type="dxa"/>
              <w:bottom w:w="0" w:type="dxa"/>
              <w:right w:w="20" w:type="dxa"/>
            </w:tcMar>
            <w:vAlign w:val="bottom"/>
          </w:tcPr>
          <w:p w14:paraId="54065F45"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5F46"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5F47" w14:textId="77777777" w:rsidR="00611BDD" w:rsidRDefault="00611BDD">
            <w:pPr>
              <w:rPr>
                <w:rFonts w:ascii="宋体"/>
              </w:rPr>
            </w:pPr>
          </w:p>
        </w:tc>
      </w:tr>
      <w:tr w:rsidR="00611BDD" w14:paraId="54065F4C" w14:textId="77777777">
        <w:trPr>
          <w:jc w:val="center"/>
        </w:trPr>
        <w:tc>
          <w:tcPr>
            <w:tcW w:w="0" w:type="auto"/>
            <w:gridSpan w:val="3"/>
            <w:shd w:val="clear" w:color="auto" w:fill="auto"/>
            <w:tcMar>
              <w:top w:w="40" w:type="dxa"/>
              <w:left w:w="20" w:type="dxa"/>
              <w:bottom w:w="40" w:type="dxa"/>
              <w:right w:w="20" w:type="dxa"/>
            </w:tcMar>
            <w:vAlign w:val="bottom"/>
          </w:tcPr>
          <w:p w14:paraId="54065F49" w14:textId="77777777" w:rsidR="00611BDD" w:rsidRDefault="002E18C7">
            <w:pPr>
              <w:pBdr>
                <w:top w:val="none" w:sz="0" w:space="0" w:color="auto"/>
                <w:left w:val="none" w:sz="0" w:space="0" w:color="auto"/>
                <w:bottom w:val="none" w:sz="0" w:space="0" w:color="auto"/>
                <w:right w:val="none" w:sz="0" w:space="0" w:color="auto"/>
              </w:pBdr>
              <w:textAlignment w:val="bottom"/>
            </w:pPr>
            <w:hyperlink r:id="rId17" w:anchor="i01d81586a7294980b1aa319409ab21d7_106" w:history="1">
              <w:r>
                <w:rPr>
                  <w:rStyle w:val="a5"/>
                  <w:rFonts w:ascii="sans-serif" w:eastAsia="sans-serif" w:hAnsi="sans-serif" w:cs="sans-serif"/>
                  <w:sz w:val="20"/>
                  <w:szCs w:val="20"/>
                </w:rPr>
                <w:t>Item 3.</w:t>
              </w:r>
            </w:hyperlink>
          </w:p>
        </w:tc>
        <w:tc>
          <w:tcPr>
            <w:tcW w:w="0" w:type="auto"/>
            <w:gridSpan w:val="3"/>
            <w:shd w:val="clear" w:color="auto" w:fill="auto"/>
            <w:tcMar>
              <w:top w:w="40" w:type="dxa"/>
              <w:left w:w="20" w:type="dxa"/>
              <w:bottom w:w="40" w:type="dxa"/>
              <w:right w:w="20" w:type="dxa"/>
            </w:tcMar>
            <w:vAlign w:val="bottom"/>
          </w:tcPr>
          <w:p w14:paraId="54065F4A" w14:textId="77777777" w:rsidR="00611BDD" w:rsidRDefault="002E18C7">
            <w:pPr>
              <w:textAlignment w:val="bottom"/>
            </w:pPr>
            <w:r>
              <w:rPr>
                <w:rFonts w:ascii="sans-serif" w:eastAsia="sans-serif" w:hAnsi="sans-serif" w:cs="sans-serif"/>
                <w:color w:val="000000"/>
                <w:sz w:val="20"/>
                <w:szCs w:val="20"/>
              </w:rPr>
              <w:t>Quantitative and Qualitative Disclosures About Market Risk</w:t>
            </w:r>
          </w:p>
        </w:tc>
        <w:tc>
          <w:tcPr>
            <w:tcW w:w="0" w:type="auto"/>
            <w:gridSpan w:val="3"/>
            <w:shd w:val="clear" w:color="auto" w:fill="auto"/>
            <w:tcMar>
              <w:top w:w="40" w:type="dxa"/>
              <w:left w:w="20" w:type="dxa"/>
              <w:bottom w:w="40" w:type="dxa"/>
              <w:right w:w="20" w:type="dxa"/>
            </w:tcMar>
            <w:vAlign w:val="bottom"/>
          </w:tcPr>
          <w:p w14:paraId="54065F4B" w14:textId="77777777" w:rsidR="00611BDD" w:rsidRDefault="002E18C7">
            <w:pPr>
              <w:pBdr>
                <w:top w:val="none" w:sz="0" w:space="0" w:color="auto"/>
                <w:left w:val="none" w:sz="0" w:space="0" w:color="auto"/>
                <w:bottom w:val="none" w:sz="0" w:space="0" w:color="auto"/>
                <w:right w:val="none" w:sz="0" w:space="0" w:color="auto"/>
              </w:pBdr>
              <w:jc w:val="right"/>
              <w:textAlignment w:val="bottom"/>
            </w:pPr>
            <w:hyperlink r:id="rId18" w:anchor="i01d81586a7294980b1aa319409ab21d7_106" w:history="1">
              <w:r>
                <w:rPr>
                  <w:rStyle w:val="a5"/>
                  <w:rFonts w:ascii="sans-serif" w:eastAsia="sans-serif" w:hAnsi="sans-serif" w:cs="sans-serif"/>
                  <w:sz w:val="20"/>
                  <w:szCs w:val="20"/>
                </w:rPr>
                <w:t>32</w:t>
              </w:r>
            </w:hyperlink>
          </w:p>
        </w:tc>
      </w:tr>
      <w:tr w:rsidR="00611BDD" w14:paraId="54065F50" w14:textId="77777777">
        <w:trPr>
          <w:trHeight w:val="60"/>
          <w:jc w:val="center"/>
        </w:trPr>
        <w:tc>
          <w:tcPr>
            <w:tcW w:w="0" w:type="auto"/>
            <w:gridSpan w:val="3"/>
            <w:shd w:val="clear" w:color="auto" w:fill="auto"/>
            <w:tcMar>
              <w:top w:w="0" w:type="dxa"/>
              <w:left w:w="20" w:type="dxa"/>
              <w:bottom w:w="0" w:type="dxa"/>
              <w:right w:w="20" w:type="dxa"/>
            </w:tcMar>
            <w:vAlign w:val="bottom"/>
          </w:tcPr>
          <w:p w14:paraId="54065F4D"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5F4E"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5F4F" w14:textId="77777777" w:rsidR="00611BDD" w:rsidRDefault="00611BDD">
            <w:pPr>
              <w:rPr>
                <w:rFonts w:ascii="宋体"/>
              </w:rPr>
            </w:pPr>
          </w:p>
        </w:tc>
      </w:tr>
      <w:tr w:rsidR="00611BDD" w14:paraId="54065F54" w14:textId="77777777">
        <w:trPr>
          <w:jc w:val="center"/>
        </w:trPr>
        <w:tc>
          <w:tcPr>
            <w:tcW w:w="0" w:type="auto"/>
            <w:gridSpan w:val="3"/>
            <w:shd w:val="clear" w:color="auto" w:fill="auto"/>
            <w:tcMar>
              <w:top w:w="40" w:type="dxa"/>
              <w:left w:w="20" w:type="dxa"/>
              <w:bottom w:w="40" w:type="dxa"/>
              <w:right w:w="20" w:type="dxa"/>
            </w:tcMar>
            <w:vAlign w:val="bottom"/>
          </w:tcPr>
          <w:p w14:paraId="54065F51" w14:textId="77777777" w:rsidR="00611BDD" w:rsidRDefault="002E18C7">
            <w:pPr>
              <w:pBdr>
                <w:top w:val="none" w:sz="0" w:space="0" w:color="auto"/>
                <w:left w:val="none" w:sz="0" w:space="0" w:color="auto"/>
                <w:bottom w:val="none" w:sz="0" w:space="0" w:color="auto"/>
                <w:right w:val="none" w:sz="0" w:space="0" w:color="auto"/>
              </w:pBdr>
              <w:textAlignment w:val="bottom"/>
            </w:pPr>
            <w:hyperlink r:id="rId19" w:anchor="i01d81586a7294980b1aa319409ab21d7_109" w:history="1">
              <w:r>
                <w:rPr>
                  <w:rStyle w:val="a5"/>
                  <w:rFonts w:ascii="sans-serif" w:eastAsia="sans-serif" w:hAnsi="sans-serif" w:cs="sans-serif"/>
                  <w:sz w:val="20"/>
                  <w:szCs w:val="20"/>
                </w:rPr>
                <w:t>Item 4.</w:t>
              </w:r>
            </w:hyperlink>
          </w:p>
        </w:tc>
        <w:tc>
          <w:tcPr>
            <w:tcW w:w="0" w:type="auto"/>
            <w:gridSpan w:val="3"/>
            <w:shd w:val="clear" w:color="auto" w:fill="auto"/>
            <w:tcMar>
              <w:top w:w="40" w:type="dxa"/>
              <w:left w:w="20" w:type="dxa"/>
              <w:bottom w:w="40" w:type="dxa"/>
              <w:right w:w="20" w:type="dxa"/>
            </w:tcMar>
            <w:vAlign w:val="bottom"/>
          </w:tcPr>
          <w:p w14:paraId="54065F52" w14:textId="77777777" w:rsidR="00611BDD" w:rsidRDefault="002E18C7">
            <w:pPr>
              <w:textAlignment w:val="bottom"/>
            </w:pPr>
            <w:r>
              <w:rPr>
                <w:rFonts w:ascii="sans-serif" w:eastAsia="sans-serif" w:hAnsi="sans-serif" w:cs="sans-serif"/>
                <w:color w:val="000000"/>
                <w:sz w:val="20"/>
                <w:szCs w:val="20"/>
              </w:rPr>
              <w:t>Controls and Procedures</w:t>
            </w:r>
          </w:p>
        </w:tc>
        <w:tc>
          <w:tcPr>
            <w:tcW w:w="0" w:type="auto"/>
            <w:gridSpan w:val="3"/>
            <w:shd w:val="clear" w:color="auto" w:fill="auto"/>
            <w:tcMar>
              <w:top w:w="40" w:type="dxa"/>
              <w:left w:w="20" w:type="dxa"/>
              <w:bottom w:w="40" w:type="dxa"/>
              <w:right w:w="20" w:type="dxa"/>
            </w:tcMar>
            <w:vAlign w:val="bottom"/>
          </w:tcPr>
          <w:p w14:paraId="54065F53" w14:textId="77777777" w:rsidR="00611BDD" w:rsidRDefault="002E18C7">
            <w:pPr>
              <w:pBdr>
                <w:top w:val="none" w:sz="0" w:space="0" w:color="auto"/>
                <w:left w:val="none" w:sz="0" w:space="0" w:color="auto"/>
                <w:bottom w:val="none" w:sz="0" w:space="0" w:color="auto"/>
                <w:right w:val="none" w:sz="0" w:space="0" w:color="auto"/>
              </w:pBdr>
              <w:jc w:val="right"/>
              <w:textAlignment w:val="bottom"/>
            </w:pPr>
            <w:hyperlink r:id="rId20" w:anchor="i01d81586a7294980b1aa319409ab21d7_109" w:history="1">
              <w:r>
                <w:rPr>
                  <w:rStyle w:val="a5"/>
                  <w:rFonts w:ascii="sans-serif" w:eastAsia="sans-serif" w:hAnsi="sans-serif" w:cs="sans-serif"/>
                  <w:sz w:val="20"/>
                  <w:szCs w:val="20"/>
                </w:rPr>
                <w:t>32</w:t>
              </w:r>
            </w:hyperlink>
          </w:p>
        </w:tc>
      </w:tr>
      <w:tr w:rsidR="00611BDD" w14:paraId="54065F58" w14:textId="77777777">
        <w:trPr>
          <w:trHeight w:val="60"/>
          <w:jc w:val="center"/>
        </w:trPr>
        <w:tc>
          <w:tcPr>
            <w:tcW w:w="0" w:type="auto"/>
            <w:gridSpan w:val="3"/>
            <w:shd w:val="clear" w:color="auto" w:fill="auto"/>
            <w:tcMar>
              <w:top w:w="0" w:type="dxa"/>
              <w:left w:w="20" w:type="dxa"/>
              <w:bottom w:w="0" w:type="dxa"/>
              <w:right w:w="20" w:type="dxa"/>
            </w:tcMar>
            <w:vAlign w:val="bottom"/>
          </w:tcPr>
          <w:p w14:paraId="54065F55"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5F56"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5F57" w14:textId="77777777" w:rsidR="00611BDD" w:rsidRDefault="00611BDD">
            <w:pPr>
              <w:rPr>
                <w:rFonts w:ascii="宋体"/>
              </w:rPr>
            </w:pPr>
          </w:p>
        </w:tc>
      </w:tr>
      <w:tr w:rsidR="00611BDD" w14:paraId="54065F5C" w14:textId="77777777">
        <w:trPr>
          <w:jc w:val="center"/>
        </w:trPr>
        <w:tc>
          <w:tcPr>
            <w:tcW w:w="0" w:type="auto"/>
            <w:gridSpan w:val="3"/>
            <w:shd w:val="clear" w:color="auto" w:fill="auto"/>
            <w:tcMar>
              <w:top w:w="40" w:type="dxa"/>
              <w:left w:w="20" w:type="dxa"/>
              <w:bottom w:w="40" w:type="dxa"/>
              <w:right w:w="20" w:type="dxa"/>
            </w:tcMar>
            <w:vAlign w:val="bottom"/>
          </w:tcPr>
          <w:p w14:paraId="54065F59"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4065F5A" w14:textId="77777777" w:rsidR="00611BDD" w:rsidRDefault="002E18C7">
            <w:pPr>
              <w:pBdr>
                <w:top w:val="none" w:sz="0" w:space="0" w:color="auto"/>
                <w:left w:val="none" w:sz="0" w:space="0" w:color="auto"/>
                <w:bottom w:val="none" w:sz="0" w:space="0" w:color="auto"/>
                <w:right w:val="none" w:sz="0" w:space="0" w:color="auto"/>
              </w:pBdr>
              <w:jc w:val="center"/>
              <w:textAlignment w:val="bottom"/>
            </w:pPr>
            <w:hyperlink r:id="rId21" w:anchor="i01d81586a7294980b1aa319409ab21d7_112" w:history="1">
              <w:r>
                <w:rPr>
                  <w:rStyle w:val="a5"/>
                  <w:rFonts w:ascii="sans-serif" w:eastAsia="sans-serif" w:hAnsi="sans-serif" w:cs="sans-serif"/>
                  <w:b/>
                  <w:bCs/>
                  <w:sz w:val="20"/>
                  <w:szCs w:val="20"/>
                </w:rPr>
                <w:t>PART II : OTHER INFORMATION</w:t>
              </w:r>
            </w:hyperlink>
          </w:p>
        </w:tc>
        <w:tc>
          <w:tcPr>
            <w:tcW w:w="0" w:type="auto"/>
            <w:gridSpan w:val="3"/>
            <w:shd w:val="clear" w:color="auto" w:fill="auto"/>
            <w:tcMar>
              <w:top w:w="40" w:type="dxa"/>
              <w:left w:w="20" w:type="dxa"/>
              <w:bottom w:w="40" w:type="dxa"/>
              <w:right w:w="20" w:type="dxa"/>
            </w:tcMar>
            <w:vAlign w:val="bottom"/>
          </w:tcPr>
          <w:p w14:paraId="54065F5B" w14:textId="77777777" w:rsidR="00611BDD" w:rsidRDefault="002E18C7">
            <w:pPr>
              <w:jc w:val="right"/>
              <w:textAlignment w:val="bottom"/>
            </w:pPr>
            <w:r>
              <w:rPr>
                <w:rFonts w:ascii="sans-serif" w:eastAsia="sans-serif" w:hAnsi="sans-serif" w:cs="sans-serif"/>
                <w:color w:val="000000"/>
                <w:sz w:val="20"/>
                <w:szCs w:val="20"/>
              </w:rPr>
              <w:t> </w:t>
            </w:r>
          </w:p>
        </w:tc>
      </w:tr>
      <w:tr w:rsidR="00611BDD" w14:paraId="54065F60" w14:textId="77777777">
        <w:trPr>
          <w:trHeight w:val="60"/>
          <w:jc w:val="center"/>
        </w:trPr>
        <w:tc>
          <w:tcPr>
            <w:tcW w:w="0" w:type="auto"/>
            <w:gridSpan w:val="3"/>
            <w:shd w:val="clear" w:color="auto" w:fill="auto"/>
            <w:tcMar>
              <w:top w:w="0" w:type="dxa"/>
              <w:left w:w="20" w:type="dxa"/>
              <w:bottom w:w="0" w:type="dxa"/>
              <w:right w:w="20" w:type="dxa"/>
            </w:tcMar>
            <w:vAlign w:val="bottom"/>
          </w:tcPr>
          <w:p w14:paraId="54065F5D"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5F5E"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5F5F" w14:textId="77777777" w:rsidR="00611BDD" w:rsidRDefault="00611BDD">
            <w:pPr>
              <w:rPr>
                <w:rFonts w:ascii="宋体"/>
              </w:rPr>
            </w:pPr>
          </w:p>
        </w:tc>
      </w:tr>
      <w:tr w:rsidR="00611BDD" w14:paraId="54065F64" w14:textId="77777777">
        <w:trPr>
          <w:jc w:val="center"/>
        </w:trPr>
        <w:tc>
          <w:tcPr>
            <w:tcW w:w="0" w:type="auto"/>
            <w:gridSpan w:val="3"/>
            <w:shd w:val="clear" w:color="auto" w:fill="auto"/>
            <w:tcMar>
              <w:top w:w="40" w:type="dxa"/>
              <w:left w:w="20" w:type="dxa"/>
              <w:bottom w:w="40" w:type="dxa"/>
              <w:right w:w="20" w:type="dxa"/>
            </w:tcMar>
            <w:vAlign w:val="bottom"/>
          </w:tcPr>
          <w:p w14:paraId="54065F61" w14:textId="77777777" w:rsidR="00611BDD" w:rsidRDefault="002E18C7">
            <w:pPr>
              <w:pBdr>
                <w:top w:val="none" w:sz="0" w:space="0" w:color="auto"/>
                <w:left w:val="none" w:sz="0" w:space="0" w:color="auto"/>
                <w:bottom w:val="none" w:sz="0" w:space="0" w:color="auto"/>
                <w:right w:val="none" w:sz="0" w:space="0" w:color="auto"/>
              </w:pBdr>
              <w:textAlignment w:val="bottom"/>
            </w:pPr>
            <w:hyperlink r:id="rId22" w:anchor="i01d81586a7294980b1aa319409ab21d7_115" w:history="1">
              <w:r>
                <w:rPr>
                  <w:rStyle w:val="a5"/>
                  <w:rFonts w:ascii="sans-serif" w:eastAsia="sans-serif" w:hAnsi="sans-serif" w:cs="sans-serif"/>
                  <w:sz w:val="20"/>
                  <w:szCs w:val="20"/>
                </w:rPr>
                <w:t>Item 1.</w:t>
              </w:r>
            </w:hyperlink>
          </w:p>
        </w:tc>
        <w:tc>
          <w:tcPr>
            <w:tcW w:w="0" w:type="auto"/>
            <w:gridSpan w:val="3"/>
            <w:shd w:val="clear" w:color="auto" w:fill="auto"/>
            <w:tcMar>
              <w:top w:w="40" w:type="dxa"/>
              <w:left w:w="20" w:type="dxa"/>
              <w:bottom w:w="40" w:type="dxa"/>
              <w:right w:w="20" w:type="dxa"/>
            </w:tcMar>
            <w:vAlign w:val="bottom"/>
          </w:tcPr>
          <w:p w14:paraId="54065F62" w14:textId="77777777" w:rsidR="00611BDD" w:rsidRDefault="002E18C7">
            <w:pPr>
              <w:textAlignment w:val="bottom"/>
            </w:pPr>
            <w:r>
              <w:rPr>
                <w:rFonts w:ascii="sans-serif" w:eastAsia="sans-serif" w:hAnsi="sans-serif" w:cs="sans-serif"/>
                <w:color w:val="000000"/>
                <w:sz w:val="20"/>
                <w:szCs w:val="20"/>
              </w:rPr>
              <w:t>Legal Proceedings</w:t>
            </w:r>
          </w:p>
        </w:tc>
        <w:tc>
          <w:tcPr>
            <w:tcW w:w="0" w:type="auto"/>
            <w:gridSpan w:val="3"/>
            <w:shd w:val="clear" w:color="auto" w:fill="auto"/>
            <w:tcMar>
              <w:top w:w="40" w:type="dxa"/>
              <w:left w:w="20" w:type="dxa"/>
              <w:bottom w:w="40" w:type="dxa"/>
              <w:right w:w="20" w:type="dxa"/>
            </w:tcMar>
            <w:vAlign w:val="bottom"/>
          </w:tcPr>
          <w:p w14:paraId="54065F63" w14:textId="77777777" w:rsidR="00611BDD" w:rsidRDefault="002E18C7">
            <w:pPr>
              <w:pBdr>
                <w:top w:val="none" w:sz="0" w:space="0" w:color="auto"/>
                <w:left w:val="none" w:sz="0" w:space="0" w:color="auto"/>
                <w:bottom w:val="none" w:sz="0" w:space="0" w:color="auto"/>
                <w:right w:val="none" w:sz="0" w:space="0" w:color="auto"/>
              </w:pBdr>
              <w:jc w:val="right"/>
              <w:textAlignment w:val="bottom"/>
            </w:pPr>
            <w:hyperlink r:id="rId23" w:anchor="i01d81586a7294980b1aa319409ab21d7_115" w:history="1">
              <w:r>
                <w:rPr>
                  <w:rStyle w:val="a5"/>
                  <w:rFonts w:ascii="sans-serif" w:eastAsia="sans-serif" w:hAnsi="sans-serif" w:cs="sans-serif"/>
                  <w:sz w:val="20"/>
                  <w:szCs w:val="20"/>
                </w:rPr>
                <w:t>33</w:t>
              </w:r>
            </w:hyperlink>
          </w:p>
        </w:tc>
      </w:tr>
      <w:tr w:rsidR="00611BDD" w14:paraId="54065F68" w14:textId="77777777">
        <w:trPr>
          <w:trHeight w:val="60"/>
          <w:jc w:val="center"/>
        </w:trPr>
        <w:tc>
          <w:tcPr>
            <w:tcW w:w="0" w:type="auto"/>
            <w:gridSpan w:val="3"/>
            <w:shd w:val="clear" w:color="auto" w:fill="auto"/>
            <w:tcMar>
              <w:top w:w="0" w:type="dxa"/>
              <w:left w:w="20" w:type="dxa"/>
              <w:bottom w:w="0" w:type="dxa"/>
              <w:right w:w="20" w:type="dxa"/>
            </w:tcMar>
            <w:vAlign w:val="bottom"/>
          </w:tcPr>
          <w:p w14:paraId="54065F65"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5F66"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5F67" w14:textId="77777777" w:rsidR="00611BDD" w:rsidRDefault="00611BDD">
            <w:pPr>
              <w:rPr>
                <w:rFonts w:ascii="宋体"/>
              </w:rPr>
            </w:pPr>
          </w:p>
        </w:tc>
      </w:tr>
      <w:tr w:rsidR="00611BDD" w14:paraId="54065F6C" w14:textId="77777777">
        <w:trPr>
          <w:jc w:val="center"/>
        </w:trPr>
        <w:tc>
          <w:tcPr>
            <w:tcW w:w="0" w:type="auto"/>
            <w:gridSpan w:val="3"/>
            <w:shd w:val="clear" w:color="auto" w:fill="auto"/>
            <w:tcMar>
              <w:top w:w="40" w:type="dxa"/>
              <w:left w:w="20" w:type="dxa"/>
              <w:bottom w:w="40" w:type="dxa"/>
              <w:right w:w="20" w:type="dxa"/>
            </w:tcMar>
            <w:vAlign w:val="bottom"/>
          </w:tcPr>
          <w:p w14:paraId="54065F69" w14:textId="77777777" w:rsidR="00611BDD" w:rsidRDefault="002E18C7">
            <w:pPr>
              <w:pBdr>
                <w:top w:val="none" w:sz="0" w:space="0" w:color="auto"/>
                <w:left w:val="none" w:sz="0" w:space="0" w:color="auto"/>
                <w:bottom w:val="none" w:sz="0" w:space="0" w:color="auto"/>
                <w:right w:val="none" w:sz="0" w:space="0" w:color="auto"/>
              </w:pBdr>
              <w:textAlignment w:val="bottom"/>
            </w:pPr>
            <w:hyperlink r:id="rId24" w:anchor="i01d81586a7294980b1aa319409ab21d7_118" w:history="1">
              <w:r>
                <w:rPr>
                  <w:rStyle w:val="a5"/>
                  <w:rFonts w:ascii="sans-serif" w:eastAsia="sans-serif" w:hAnsi="sans-serif" w:cs="sans-serif"/>
                  <w:sz w:val="20"/>
                  <w:szCs w:val="20"/>
                </w:rPr>
                <w:t>Item 1A.</w:t>
              </w:r>
            </w:hyperlink>
          </w:p>
        </w:tc>
        <w:tc>
          <w:tcPr>
            <w:tcW w:w="0" w:type="auto"/>
            <w:gridSpan w:val="3"/>
            <w:shd w:val="clear" w:color="auto" w:fill="auto"/>
            <w:tcMar>
              <w:top w:w="40" w:type="dxa"/>
              <w:left w:w="20" w:type="dxa"/>
              <w:bottom w:w="40" w:type="dxa"/>
              <w:right w:w="20" w:type="dxa"/>
            </w:tcMar>
            <w:vAlign w:val="bottom"/>
          </w:tcPr>
          <w:p w14:paraId="54065F6A" w14:textId="77777777" w:rsidR="00611BDD" w:rsidRDefault="002E18C7">
            <w:pPr>
              <w:textAlignment w:val="bottom"/>
            </w:pPr>
            <w:r>
              <w:rPr>
                <w:rFonts w:ascii="sans-serif" w:eastAsia="sans-serif" w:hAnsi="sans-serif" w:cs="sans-serif"/>
                <w:color w:val="000000"/>
                <w:sz w:val="20"/>
                <w:szCs w:val="20"/>
              </w:rPr>
              <w:t>Risk Factors</w:t>
            </w:r>
          </w:p>
        </w:tc>
        <w:tc>
          <w:tcPr>
            <w:tcW w:w="0" w:type="auto"/>
            <w:gridSpan w:val="3"/>
            <w:shd w:val="clear" w:color="auto" w:fill="auto"/>
            <w:tcMar>
              <w:top w:w="40" w:type="dxa"/>
              <w:left w:w="20" w:type="dxa"/>
              <w:bottom w:w="40" w:type="dxa"/>
              <w:right w:w="20" w:type="dxa"/>
            </w:tcMar>
            <w:vAlign w:val="bottom"/>
          </w:tcPr>
          <w:p w14:paraId="54065F6B" w14:textId="77777777" w:rsidR="00611BDD" w:rsidRDefault="002E18C7">
            <w:pPr>
              <w:pBdr>
                <w:top w:val="none" w:sz="0" w:space="0" w:color="auto"/>
                <w:left w:val="none" w:sz="0" w:space="0" w:color="auto"/>
                <w:bottom w:val="none" w:sz="0" w:space="0" w:color="auto"/>
                <w:right w:val="none" w:sz="0" w:space="0" w:color="auto"/>
              </w:pBdr>
              <w:jc w:val="right"/>
              <w:textAlignment w:val="bottom"/>
            </w:pPr>
            <w:hyperlink r:id="rId25" w:anchor="i01d81586a7294980b1aa319409ab21d7_118" w:history="1">
              <w:r>
                <w:rPr>
                  <w:rStyle w:val="a5"/>
                  <w:rFonts w:ascii="sans-serif" w:eastAsia="sans-serif" w:hAnsi="sans-serif" w:cs="sans-serif"/>
                  <w:sz w:val="20"/>
                  <w:szCs w:val="20"/>
                </w:rPr>
                <w:t>33</w:t>
              </w:r>
            </w:hyperlink>
          </w:p>
        </w:tc>
      </w:tr>
      <w:tr w:rsidR="00611BDD" w14:paraId="54065F70" w14:textId="77777777">
        <w:trPr>
          <w:trHeight w:val="60"/>
          <w:jc w:val="center"/>
        </w:trPr>
        <w:tc>
          <w:tcPr>
            <w:tcW w:w="0" w:type="auto"/>
            <w:gridSpan w:val="3"/>
            <w:shd w:val="clear" w:color="auto" w:fill="auto"/>
            <w:tcMar>
              <w:top w:w="0" w:type="dxa"/>
              <w:left w:w="20" w:type="dxa"/>
              <w:bottom w:w="0" w:type="dxa"/>
              <w:right w:w="20" w:type="dxa"/>
            </w:tcMar>
            <w:vAlign w:val="bottom"/>
          </w:tcPr>
          <w:p w14:paraId="54065F6D"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5F6E"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5F6F" w14:textId="77777777" w:rsidR="00611BDD" w:rsidRDefault="00611BDD">
            <w:pPr>
              <w:rPr>
                <w:rFonts w:ascii="宋体"/>
              </w:rPr>
            </w:pPr>
          </w:p>
        </w:tc>
      </w:tr>
      <w:tr w:rsidR="00611BDD" w14:paraId="54065F74" w14:textId="77777777">
        <w:trPr>
          <w:jc w:val="center"/>
        </w:trPr>
        <w:tc>
          <w:tcPr>
            <w:tcW w:w="0" w:type="auto"/>
            <w:gridSpan w:val="3"/>
            <w:shd w:val="clear" w:color="auto" w:fill="auto"/>
            <w:tcMar>
              <w:top w:w="40" w:type="dxa"/>
              <w:left w:w="20" w:type="dxa"/>
              <w:bottom w:w="40" w:type="dxa"/>
              <w:right w:w="20" w:type="dxa"/>
            </w:tcMar>
            <w:vAlign w:val="bottom"/>
          </w:tcPr>
          <w:p w14:paraId="54065F71" w14:textId="77777777" w:rsidR="00611BDD" w:rsidRDefault="002E18C7">
            <w:pPr>
              <w:pBdr>
                <w:top w:val="none" w:sz="0" w:space="0" w:color="auto"/>
                <w:left w:val="none" w:sz="0" w:space="0" w:color="auto"/>
                <w:bottom w:val="none" w:sz="0" w:space="0" w:color="auto"/>
                <w:right w:val="none" w:sz="0" w:space="0" w:color="auto"/>
              </w:pBdr>
              <w:textAlignment w:val="bottom"/>
            </w:pPr>
            <w:hyperlink r:id="rId26" w:anchor="i01d81586a7294980b1aa319409ab21d7_121" w:history="1">
              <w:r>
                <w:rPr>
                  <w:rStyle w:val="a5"/>
                  <w:rFonts w:ascii="sans-serif" w:eastAsia="sans-serif" w:hAnsi="sans-serif" w:cs="sans-serif"/>
                  <w:sz w:val="20"/>
                  <w:szCs w:val="20"/>
                </w:rPr>
                <w:t>Item 2.</w:t>
              </w:r>
            </w:hyperlink>
          </w:p>
        </w:tc>
        <w:tc>
          <w:tcPr>
            <w:tcW w:w="0" w:type="auto"/>
            <w:gridSpan w:val="3"/>
            <w:shd w:val="clear" w:color="auto" w:fill="auto"/>
            <w:tcMar>
              <w:top w:w="40" w:type="dxa"/>
              <w:left w:w="20" w:type="dxa"/>
              <w:bottom w:w="40" w:type="dxa"/>
              <w:right w:w="20" w:type="dxa"/>
            </w:tcMar>
            <w:vAlign w:val="bottom"/>
          </w:tcPr>
          <w:p w14:paraId="54065F72" w14:textId="77777777" w:rsidR="00611BDD" w:rsidRDefault="002E18C7">
            <w:pPr>
              <w:textAlignment w:val="bottom"/>
            </w:pPr>
            <w:r>
              <w:rPr>
                <w:rFonts w:ascii="sans-serif" w:eastAsia="sans-serif" w:hAnsi="sans-serif" w:cs="sans-serif"/>
                <w:color w:val="000000"/>
                <w:sz w:val="20"/>
                <w:szCs w:val="20"/>
              </w:rPr>
              <w:t>Unregistered Sales of Equity Securities and Use of Proceeds</w:t>
            </w:r>
          </w:p>
        </w:tc>
        <w:tc>
          <w:tcPr>
            <w:tcW w:w="0" w:type="auto"/>
            <w:gridSpan w:val="3"/>
            <w:shd w:val="clear" w:color="auto" w:fill="auto"/>
            <w:tcMar>
              <w:top w:w="40" w:type="dxa"/>
              <w:left w:w="20" w:type="dxa"/>
              <w:bottom w:w="40" w:type="dxa"/>
              <w:right w:w="20" w:type="dxa"/>
            </w:tcMar>
            <w:vAlign w:val="bottom"/>
          </w:tcPr>
          <w:p w14:paraId="54065F73" w14:textId="77777777" w:rsidR="00611BDD" w:rsidRDefault="002E18C7">
            <w:pPr>
              <w:pBdr>
                <w:top w:val="none" w:sz="0" w:space="0" w:color="auto"/>
                <w:left w:val="none" w:sz="0" w:space="0" w:color="auto"/>
                <w:bottom w:val="none" w:sz="0" w:space="0" w:color="auto"/>
                <w:right w:val="none" w:sz="0" w:space="0" w:color="auto"/>
              </w:pBdr>
              <w:jc w:val="right"/>
              <w:textAlignment w:val="bottom"/>
            </w:pPr>
            <w:hyperlink r:id="rId27" w:anchor="i01d81586a7294980b1aa319409ab21d7_121" w:history="1">
              <w:r>
                <w:rPr>
                  <w:rStyle w:val="a5"/>
                  <w:rFonts w:ascii="sans-serif" w:eastAsia="sans-serif" w:hAnsi="sans-serif" w:cs="sans-serif"/>
                  <w:sz w:val="20"/>
                  <w:szCs w:val="20"/>
                </w:rPr>
                <w:t>37</w:t>
              </w:r>
            </w:hyperlink>
          </w:p>
        </w:tc>
      </w:tr>
      <w:tr w:rsidR="00611BDD" w14:paraId="54065F78" w14:textId="77777777">
        <w:trPr>
          <w:trHeight w:val="60"/>
          <w:jc w:val="center"/>
        </w:trPr>
        <w:tc>
          <w:tcPr>
            <w:tcW w:w="0" w:type="auto"/>
            <w:gridSpan w:val="3"/>
            <w:shd w:val="clear" w:color="auto" w:fill="auto"/>
            <w:tcMar>
              <w:top w:w="0" w:type="dxa"/>
              <w:left w:w="20" w:type="dxa"/>
              <w:bottom w:w="0" w:type="dxa"/>
              <w:right w:w="20" w:type="dxa"/>
            </w:tcMar>
            <w:vAlign w:val="bottom"/>
          </w:tcPr>
          <w:p w14:paraId="54065F75"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5F76"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5F77" w14:textId="77777777" w:rsidR="00611BDD" w:rsidRDefault="00611BDD">
            <w:pPr>
              <w:rPr>
                <w:rFonts w:ascii="宋体"/>
              </w:rPr>
            </w:pPr>
          </w:p>
        </w:tc>
      </w:tr>
      <w:tr w:rsidR="00611BDD" w14:paraId="54065F7C" w14:textId="77777777">
        <w:trPr>
          <w:jc w:val="center"/>
        </w:trPr>
        <w:tc>
          <w:tcPr>
            <w:tcW w:w="0" w:type="auto"/>
            <w:gridSpan w:val="3"/>
            <w:shd w:val="clear" w:color="auto" w:fill="auto"/>
            <w:tcMar>
              <w:top w:w="40" w:type="dxa"/>
              <w:left w:w="20" w:type="dxa"/>
              <w:bottom w:w="40" w:type="dxa"/>
              <w:right w:w="20" w:type="dxa"/>
            </w:tcMar>
            <w:vAlign w:val="bottom"/>
          </w:tcPr>
          <w:p w14:paraId="54065F79" w14:textId="77777777" w:rsidR="00611BDD" w:rsidRDefault="002E18C7">
            <w:pPr>
              <w:pBdr>
                <w:top w:val="none" w:sz="0" w:space="0" w:color="auto"/>
                <w:left w:val="none" w:sz="0" w:space="0" w:color="auto"/>
                <w:bottom w:val="none" w:sz="0" w:space="0" w:color="auto"/>
                <w:right w:val="none" w:sz="0" w:space="0" w:color="auto"/>
              </w:pBdr>
              <w:textAlignment w:val="bottom"/>
            </w:pPr>
            <w:hyperlink r:id="rId28" w:anchor="i01d81586a7294980b1aa319409ab21d7_124" w:history="1">
              <w:r>
                <w:rPr>
                  <w:rStyle w:val="a5"/>
                  <w:rFonts w:ascii="sans-serif" w:eastAsia="sans-serif" w:hAnsi="sans-serif" w:cs="sans-serif"/>
                  <w:sz w:val="20"/>
                  <w:szCs w:val="20"/>
                </w:rPr>
                <w:t>Item 6.</w:t>
              </w:r>
            </w:hyperlink>
          </w:p>
        </w:tc>
        <w:tc>
          <w:tcPr>
            <w:tcW w:w="0" w:type="auto"/>
            <w:gridSpan w:val="3"/>
            <w:shd w:val="clear" w:color="auto" w:fill="auto"/>
            <w:tcMar>
              <w:top w:w="40" w:type="dxa"/>
              <w:left w:w="20" w:type="dxa"/>
              <w:bottom w:w="40" w:type="dxa"/>
              <w:right w:w="20" w:type="dxa"/>
            </w:tcMar>
            <w:vAlign w:val="bottom"/>
          </w:tcPr>
          <w:p w14:paraId="54065F7A" w14:textId="77777777" w:rsidR="00611BDD" w:rsidRDefault="002E18C7">
            <w:pPr>
              <w:textAlignment w:val="bottom"/>
            </w:pPr>
            <w:r>
              <w:rPr>
                <w:rFonts w:ascii="sans-serif" w:eastAsia="sans-serif" w:hAnsi="sans-serif" w:cs="sans-serif"/>
                <w:color w:val="000000"/>
                <w:sz w:val="20"/>
                <w:szCs w:val="20"/>
              </w:rPr>
              <w:t>Exhibits</w:t>
            </w:r>
          </w:p>
        </w:tc>
        <w:tc>
          <w:tcPr>
            <w:tcW w:w="0" w:type="auto"/>
            <w:gridSpan w:val="3"/>
            <w:shd w:val="clear" w:color="auto" w:fill="auto"/>
            <w:tcMar>
              <w:top w:w="40" w:type="dxa"/>
              <w:left w:w="20" w:type="dxa"/>
              <w:bottom w:w="40" w:type="dxa"/>
              <w:right w:w="20" w:type="dxa"/>
            </w:tcMar>
            <w:vAlign w:val="bottom"/>
          </w:tcPr>
          <w:p w14:paraId="54065F7B" w14:textId="77777777" w:rsidR="00611BDD" w:rsidRDefault="002E18C7">
            <w:pPr>
              <w:pBdr>
                <w:top w:val="none" w:sz="0" w:space="0" w:color="auto"/>
                <w:left w:val="none" w:sz="0" w:space="0" w:color="auto"/>
                <w:bottom w:val="none" w:sz="0" w:space="0" w:color="auto"/>
                <w:right w:val="none" w:sz="0" w:space="0" w:color="auto"/>
              </w:pBdr>
              <w:jc w:val="right"/>
              <w:textAlignment w:val="bottom"/>
            </w:pPr>
            <w:hyperlink r:id="rId29" w:anchor="i01d81586a7294980b1aa319409ab21d7_124" w:history="1">
              <w:r>
                <w:rPr>
                  <w:rStyle w:val="a5"/>
                  <w:rFonts w:ascii="sans-serif" w:eastAsia="sans-serif" w:hAnsi="sans-serif" w:cs="sans-serif"/>
                  <w:sz w:val="20"/>
                  <w:szCs w:val="20"/>
                </w:rPr>
                <w:t>38</w:t>
              </w:r>
            </w:hyperlink>
          </w:p>
        </w:tc>
      </w:tr>
      <w:tr w:rsidR="00611BDD" w14:paraId="54065F80" w14:textId="77777777">
        <w:trPr>
          <w:trHeight w:val="60"/>
          <w:jc w:val="center"/>
        </w:trPr>
        <w:tc>
          <w:tcPr>
            <w:tcW w:w="0" w:type="auto"/>
            <w:gridSpan w:val="3"/>
            <w:shd w:val="clear" w:color="auto" w:fill="auto"/>
            <w:tcMar>
              <w:top w:w="0" w:type="dxa"/>
              <w:left w:w="20" w:type="dxa"/>
              <w:bottom w:w="0" w:type="dxa"/>
              <w:right w:w="20" w:type="dxa"/>
            </w:tcMar>
            <w:vAlign w:val="bottom"/>
          </w:tcPr>
          <w:p w14:paraId="54065F7D"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5F7E"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5F7F" w14:textId="77777777" w:rsidR="00611BDD" w:rsidRDefault="00611BDD">
            <w:pPr>
              <w:rPr>
                <w:rFonts w:ascii="宋体"/>
              </w:rPr>
            </w:pPr>
          </w:p>
        </w:tc>
      </w:tr>
      <w:tr w:rsidR="00611BDD" w14:paraId="54065F84" w14:textId="77777777">
        <w:trPr>
          <w:jc w:val="center"/>
        </w:trPr>
        <w:tc>
          <w:tcPr>
            <w:tcW w:w="0" w:type="auto"/>
            <w:gridSpan w:val="3"/>
            <w:shd w:val="clear" w:color="auto" w:fill="auto"/>
            <w:tcMar>
              <w:top w:w="40" w:type="dxa"/>
              <w:left w:w="20" w:type="dxa"/>
              <w:bottom w:w="40" w:type="dxa"/>
              <w:right w:w="20" w:type="dxa"/>
            </w:tcMar>
            <w:vAlign w:val="bottom"/>
          </w:tcPr>
          <w:p w14:paraId="54065F81" w14:textId="77777777" w:rsidR="00611BDD" w:rsidRDefault="002E18C7">
            <w:pPr>
              <w:pBdr>
                <w:top w:val="none" w:sz="0" w:space="0" w:color="auto"/>
                <w:left w:val="none" w:sz="0" w:space="0" w:color="auto"/>
                <w:bottom w:val="none" w:sz="0" w:space="0" w:color="auto"/>
                <w:right w:val="none" w:sz="0" w:space="0" w:color="auto"/>
              </w:pBdr>
              <w:textAlignment w:val="bottom"/>
            </w:pPr>
            <w:hyperlink r:id="rId30" w:anchor="i01d81586a7294980b1aa319409ab21d7_127" w:history="1">
              <w:r>
                <w:rPr>
                  <w:rStyle w:val="a5"/>
                  <w:rFonts w:ascii="sans-serif" w:eastAsia="sans-serif" w:hAnsi="sans-serif" w:cs="sans-serif"/>
                  <w:sz w:val="20"/>
                  <w:szCs w:val="20"/>
                </w:rPr>
                <w:t>Signature</w:t>
              </w:r>
            </w:hyperlink>
          </w:p>
        </w:tc>
        <w:tc>
          <w:tcPr>
            <w:tcW w:w="0" w:type="auto"/>
            <w:gridSpan w:val="3"/>
            <w:shd w:val="clear" w:color="auto" w:fill="auto"/>
            <w:tcMar>
              <w:top w:w="40" w:type="dxa"/>
              <w:left w:w="20" w:type="dxa"/>
              <w:bottom w:w="40" w:type="dxa"/>
              <w:right w:w="20" w:type="dxa"/>
            </w:tcMar>
            <w:vAlign w:val="bottom"/>
          </w:tcPr>
          <w:p w14:paraId="54065F82"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4065F83" w14:textId="77777777" w:rsidR="00611BDD" w:rsidRDefault="002E18C7">
            <w:pPr>
              <w:pBdr>
                <w:top w:val="none" w:sz="0" w:space="0" w:color="auto"/>
                <w:left w:val="none" w:sz="0" w:space="0" w:color="auto"/>
                <w:bottom w:val="none" w:sz="0" w:space="0" w:color="auto"/>
                <w:right w:val="none" w:sz="0" w:space="0" w:color="auto"/>
              </w:pBdr>
              <w:jc w:val="right"/>
              <w:textAlignment w:val="bottom"/>
            </w:pPr>
            <w:hyperlink r:id="rId31" w:anchor="i01d81586a7294980b1aa319409ab21d7_127" w:history="1">
              <w:r>
                <w:rPr>
                  <w:rStyle w:val="a5"/>
                  <w:rFonts w:ascii="sans-serif" w:eastAsia="sans-serif" w:hAnsi="sans-serif" w:cs="sans-serif"/>
                  <w:sz w:val="20"/>
                  <w:szCs w:val="20"/>
                </w:rPr>
                <w:t>40</w:t>
              </w:r>
            </w:hyperlink>
          </w:p>
        </w:tc>
      </w:tr>
    </w:tbl>
    <w:p w14:paraId="54065F85" w14:textId="77777777" w:rsidR="00611BDD" w:rsidRDefault="002E18C7">
      <w:pPr>
        <w:spacing w:before="240" w:after="120"/>
        <w:jc w:val="both"/>
      </w:pPr>
      <w:r>
        <w:rPr>
          <w:rFonts w:ascii="sans-serif" w:eastAsia="sans-serif" w:hAnsi="sans-serif" w:cs="sans-serif"/>
          <w:b/>
          <w:bCs/>
          <w:color w:val="76B900"/>
          <w:sz w:val="22"/>
          <w:szCs w:val="22"/>
        </w:rPr>
        <w:t>WHERE YOU CAN FIND MORE INFORMATION</w:t>
      </w:r>
    </w:p>
    <w:p w14:paraId="54065F86" w14:textId="77777777" w:rsidR="00611BDD" w:rsidRDefault="002E18C7">
      <w:pPr>
        <w:spacing w:after="180"/>
        <w:jc w:val="both"/>
      </w:pPr>
      <w:r>
        <w:rPr>
          <w:rFonts w:ascii="sans-serif" w:eastAsia="sans-serif" w:hAnsi="sans-serif" w:cs="sans-serif"/>
          <w:color w:val="000000"/>
          <w:sz w:val="20"/>
          <w:szCs w:val="20"/>
        </w:rPr>
        <w:t>Investors and others should note that we announce material financial information to our investors using our investor relations website, press releases</w:t>
      </w:r>
      <w:r>
        <w:rPr>
          <w:rFonts w:ascii="sans-serif" w:eastAsia="sans-serif" w:hAnsi="sans-serif" w:cs="sans-serif"/>
          <w:color w:val="000000"/>
          <w:sz w:val="20"/>
          <w:szCs w:val="20"/>
        </w:rPr>
        <w:t xml:space="preserve">, SEC filings and public conference calls and webcasts. We also use the following social media channels as a means of disclosing information about the company, our products, our planned financial and other announcements and attendance at upcoming investor </w:t>
      </w:r>
      <w:r>
        <w:rPr>
          <w:rFonts w:ascii="sans-serif" w:eastAsia="sans-serif" w:hAnsi="sans-serif" w:cs="sans-serif"/>
          <w:color w:val="000000"/>
          <w:sz w:val="20"/>
          <w:szCs w:val="20"/>
        </w:rPr>
        <w:t>and industry conferences, and other matters, and for complying with our disclosure obligations under Regulation FD: </w:t>
      </w:r>
    </w:p>
    <w:p w14:paraId="54065F87" w14:textId="77777777" w:rsidR="00611BDD" w:rsidRDefault="002E18C7">
      <w:pPr>
        <w:spacing w:after="180"/>
        <w:ind w:firstLine="360"/>
        <w:jc w:val="both"/>
      </w:pPr>
      <w:r>
        <w:rPr>
          <w:rFonts w:ascii="sans-serif" w:eastAsia="sans-serif" w:hAnsi="sans-serif" w:cs="sans-serif"/>
          <w:color w:val="000000"/>
          <w:sz w:val="20"/>
          <w:szCs w:val="20"/>
        </w:rPr>
        <w:t>NVIDIA Twitter Account (https://twitter.com/nvidia)</w:t>
      </w:r>
    </w:p>
    <w:p w14:paraId="54065F88" w14:textId="77777777" w:rsidR="00611BDD" w:rsidRDefault="002E18C7">
      <w:pPr>
        <w:spacing w:after="180"/>
        <w:ind w:firstLine="360"/>
        <w:jc w:val="both"/>
      </w:pPr>
      <w:r>
        <w:rPr>
          <w:rFonts w:ascii="sans-serif" w:eastAsia="sans-serif" w:hAnsi="sans-serif" w:cs="sans-serif"/>
          <w:color w:val="000000"/>
          <w:sz w:val="20"/>
          <w:szCs w:val="20"/>
        </w:rPr>
        <w:t xml:space="preserve">NVIDIA Company Blog (http://blogs.nvidia.com) </w:t>
      </w:r>
    </w:p>
    <w:p w14:paraId="54065F89" w14:textId="77777777" w:rsidR="00611BDD" w:rsidRDefault="002E18C7">
      <w:pPr>
        <w:spacing w:after="180"/>
        <w:ind w:firstLine="360"/>
        <w:jc w:val="both"/>
      </w:pPr>
      <w:r>
        <w:rPr>
          <w:rFonts w:ascii="sans-serif" w:eastAsia="sans-serif" w:hAnsi="sans-serif" w:cs="sans-serif"/>
          <w:color w:val="000000"/>
          <w:sz w:val="20"/>
          <w:szCs w:val="20"/>
        </w:rPr>
        <w:t xml:space="preserve">NVIDIA Facebook Page (https://www.facebook.com/nvidia) </w:t>
      </w:r>
    </w:p>
    <w:p w14:paraId="54065F8A" w14:textId="77777777" w:rsidR="00611BDD" w:rsidRDefault="002E18C7">
      <w:pPr>
        <w:spacing w:after="180"/>
        <w:ind w:firstLine="360"/>
        <w:jc w:val="both"/>
      </w:pPr>
      <w:r>
        <w:rPr>
          <w:rFonts w:ascii="sans-serif" w:eastAsia="sans-serif" w:hAnsi="sans-serif" w:cs="sans-serif"/>
          <w:color w:val="000000"/>
          <w:sz w:val="20"/>
          <w:szCs w:val="20"/>
        </w:rPr>
        <w:t>NVIDIA LinkedIn Page (http://www.linkedin.com/company/nvidia)</w:t>
      </w:r>
    </w:p>
    <w:p w14:paraId="54065F8B" w14:textId="77777777" w:rsidR="00611BDD" w:rsidRDefault="002E18C7">
      <w:pPr>
        <w:spacing w:after="180"/>
        <w:ind w:firstLine="360"/>
        <w:jc w:val="both"/>
      </w:pPr>
      <w:r>
        <w:rPr>
          <w:rFonts w:ascii="sans-serif" w:eastAsia="sans-serif" w:hAnsi="sans-serif" w:cs="sans-serif"/>
          <w:color w:val="000000"/>
          <w:sz w:val="20"/>
          <w:szCs w:val="20"/>
        </w:rPr>
        <w:t>NVIDIA Instagram Page (https://www.instagram.com/nvidia)</w:t>
      </w:r>
    </w:p>
    <w:p w14:paraId="54065F8C" w14:textId="77777777" w:rsidR="00611BDD" w:rsidRDefault="002E18C7">
      <w:pPr>
        <w:spacing w:after="180"/>
        <w:jc w:val="both"/>
      </w:pPr>
      <w:r>
        <w:rPr>
          <w:rFonts w:ascii="sans-serif" w:eastAsia="sans-serif" w:hAnsi="sans-serif" w:cs="sans-serif"/>
          <w:color w:val="000000"/>
          <w:sz w:val="20"/>
          <w:szCs w:val="20"/>
        </w:rPr>
        <w:t xml:space="preserve">In addition, investors and others </w:t>
      </w:r>
      <w:r>
        <w:rPr>
          <w:rFonts w:ascii="sans-serif" w:eastAsia="sans-serif" w:hAnsi="sans-serif" w:cs="sans-serif"/>
          <w:color w:val="000000"/>
          <w:sz w:val="20"/>
          <w:szCs w:val="20"/>
        </w:rPr>
        <w:t>can view NVIDIA videos on YouTube (https://www.YouTube.com/nvidia).</w:t>
      </w:r>
    </w:p>
    <w:p w14:paraId="54065F8D" w14:textId="77777777" w:rsidR="00611BDD" w:rsidRDefault="002E18C7">
      <w:pPr>
        <w:spacing w:after="180"/>
        <w:jc w:val="both"/>
      </w:pPr>
      <w:r>
        <w:rPr>
          <w:rFonts w:ascii="sans-serif" w:eastAsia="sans-serif" w:hAnsi="sans-serif" w:cs="sans-serif"/>
          <w:color w:val="000000"/>
          <w:sz w:val="20"/>
          <w:szCs w:val="20"/>
        </w:rPr>
        <w:t>The information we post through these social media channels may be deemed material. Accordingly, investors should monitor these accounts and the blog, in addition to following our press re</w:t>
      </w:r>
      <w:r>
        <w:rPr>
          <w:rFonts w:ascii="sans-serif" w:eastAsia="sans-serif" w:hAnsi="sans-serif" w:cs="sans-serif"/>
          <w:color w:val="000000"/>
          <w:sz w:val="20"/>
          <w:szCs w:val="20"/>
        </w:rPr>
        <w:t>leases, SEC filings and public conference calls and webcasts. This list may be updated from time to time. The information we post through these channels is not a part of this Quarterly Report on Form 10-Q. These channels may be updated from time to time on</w:t>
      </w:r>
      <w:r>
        <w:rPr>
          <w:rFonts w:ascii="sans-serif" w:eastAsia="sans-serif" w:hAnsi="sans-serif" w:cs="sans-serif"/>
          <w:color w:val="000000"/>
          <w:sz w:val="20"/>
          <w:szCs w:val="20"/>
        </w:rPr>
        <w:t xml:space="preserve"> NVIDIA's investor relations website.</w:t>
      </w:r>
    </w:p>
    <w:p w14:paraId="54065F8E" w14:textId="77777777" w:rsidR="00611BDD" w:rsidRDefault="002E18C7">
      <w:pPr>
        <w:spacing w:after="180"/>
        <w:jc w:val="center"/>
      </w:pPr>
      <w:r>
        <w:rPr>
          <w:rFonts w:ascii="sans-serif" w:eastAsia="sans-serif" w:hAnsi="sans-serif" w:cs="sans-serif"/>
          <w:color w:val="000000"/>
          <w:sz w:val="20"/>
          <w:szCs w:val="20"/>
        </w:rPr>
        <w:t>2</w:t>
      </w:r>
    </w:p>
    <w:p w14:paraId="54065F8F" w14:textId="77777777" w:rsidR="00611BDD" w:rsidRDefault="002E18C7">
      <w:r>
        <w:pict w14:anchorId="54067C26">
          <v:rect id="_x0000_i1026" style="width:415.3pt;height:1.5pt" o:hralign="center" o:hrstd="t" o:hr="t" fillcolor="#a0a0a0" stroked="f"/>
        </w:pict>
      </w:r>
    </w:p>
    <w:p w14:paraId="54065F90" w14:textId="77777777" w:rsidR="00611BDD" w:rsidRDefault="00611BDD">
      <w:pPr>
        <w:spacing w:after="180"/>
        <w:jc w:val="both"/>
      </w:pPr>
    </w:p>
    <w:p w14:paraId="54065F91" w14:textId="77777777" w:rsidR="00611BDD" w:rsidRDefault="002E18C7">
      <w:pPr>
        <w:spacing w:before="240" w:after="120"/>
        <w:jc w:val="both"/>
      </w:pPr>
      <w:r>
        <w:rPr>
          <w:rFonts w:ascii="sans-serif" w:eastAsia="sans-serif" w:hAnsi="sans-serif" w:cs="sans-serif"/>
          <w:b/>
          <w:bCs/>
          <w:color w:val="76B900"/>
          <w:sz w:val="22"/>
          <w:szCs w:val="22"/>
        </w:rPr>
        <w:t>PART I. FINANCIAL INFORMATION</w:t>
      </w:r>
    </w:p>
    <w:p w14:paraId="54065F92" w14:textId="77777777" w:rsidR="00611BDD" w:rsidRDefault="002E18C7">
      <w:pPr>
        <w:spacing w:before="240" w:after="120"/>
        <w:jc w:val="both"/>
      </w:pPr>
      <w:r>
        <w:rPr>
          <w:rFonts w:ascii="sans-serif" w:eastAsia="sans-serif" w:hAnsi="sans-serif" w:cs="sans-serif"/>
          <w:b/>
          <w:bCs/>
          <w:color w:val="76B900"/>
          <w:sz w:val="22"/>
          <w:szCs w:val="22"/>
        </w:rPr>
        <w:t>ITEM 1.  FINANCIAL STATEMENTS (UNAUDITED)</w:t>
      </w:r>
    </w:p>
    <w:p w14:paraId="54065F93" w14:textId="77777777" w:rsidR="00611BDD" w:rsidRDefault="002E18C7">
      <w:pPr>
        <w:jc w:val="center"/>
      </w:pPr>
      <w:r>
        <w:rPr>
          <w:rFonts w:ascii="sans-serif" w:eastAsia="sans-serif" w:hAnsi="sans-serif" w:cs="sans-serif"/>
          <w:b/>
          <w:bCs/>
          <w:color w:val="000000"/>
          <w:sz w:val="20"/>
          <w:szCs w:val="20"/>
        </w:rPr>
        <w:t>NVIDIA CORPORATION AND SUBSIDIARIES</w:t>
      </w:r>
    </w:p>
    <w:p w14:paraId="54065F94" w14:textId="77777777" w:rsidR="00611BDD" w:rsidRDefault="002E18C7">
      <w:pPr>
        <w:jc w:val="center"/>
      </w:pPr>
      <w:r>
        <w:rPr>
          <w:rFonts w:ascii="sans-serif" w:eastAsia="sans-serif" w:hAnsi="sans-serif" w:cs="sans-serif"/>
          <w:b/>
          <w:bCs/>
          <w:color w:val="000000"/>
          <w:sz w:val="20"/>
          <w:szCs w:val="20"/>
        </w:rPr>
        <w:t>CONDENSED CONSOLIDATED STATEMENTS OF INCOME</w:t>
      </w:r>
    </w:p>
    <w:p w14:paraId="54065F95" w14:textId="77777777" w:rsidR="00611BDD" w:rsidRDefault="002E18C7">
      <w:pPr>
        <w:jc w:val="center"/>
      </w:pPr>
      <w:r>
        <w:rPr>
          <w:rFonts w:ascii="sans-serif" w:eastAsia="sans-serif" w:hAnsi="sans-serif" w:cs="sans-serif"/>
          <w:b/>
          <w:bCs/>
          <w:color w:val="000000"/>
          <w:sz w:val="20"/>
          <w:szCs w:val="20"/>
        </w:rPr>
        <w:t>(In millions, except per share data)</w:t>
      </w:r>
    </w:p>
    <w:p w14:paraId="54065F96" w14:textId="77777777" w:rsidR="00611BDD" w:rsidRDefault="002E18C7">
      <w:pPr>
        <w:jc w:val="center"/>
      </w:pPr>
      <w:r>
        <w:rPr>
          <w:rFonts w:ascii="sans-serif" w:eastAsia="sans-serif" w:hAnsi="sans-serif" w:cs="sans-serif"/>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787"/>
        <w:gridCol w:w="38"/>
        <w:gridCol w:w="122"/>
        <w:gridCol w:w="917"/>
        <w:gridCol w:w="36"/>
        <w:gridCol w:w="36"/>
        <w:gridCol w:w="36"/>
        <w:gridCol w:w="36"/>
        <w:gridCol w:w="122"/>
        <w:gridCol w:w="873"/>
        <w:gridCol w:w="36"/>
        <w:gridCol w:w="36"/>
        <w:gridCol w:w="41"/>
        <w:gridCol w:w="36"/>
        <w:gridCol w:w="122"/>
        <w:gridCol w:w="846"/>
        <w:gridCol w:w="36"/>
        <w:gridCol w:w="36"/>
        <w:gridCol w:w="41"/>
        <w:gridCol w:w="36"/>
        <w:gridCol w:w="122"/>
        <w:gridCol w:w="869"/>
        <w:gridCol w:w="36"/>
      </w:tblGrid>
      <w:tr w:rsidR="00611BDD" w14:paraId="54065FAF" w14:textId="77777777">
        <w:trPr>
          <w:jc w:val="center"/>
        </w:trPr>
        <w:tc>
          <w:tcPr>
            <w:tcW w:w="50" w:type="pct"/>
            <w:shd w:val="clear" w:color="auto" w:fill="auto"/>
            <w:vAlign w:val="bottom"/>
          </w:tcPr>
          <w:p w14:paraId="54065F97" w14:textId="77777777" w:rsidR="00611BDD" w:rsidRDefault="00611BDD">
            <w:pPr>
              <w:rPr>
                <w:rFonts w:ascii="宋体"/>
              </w:rPr>
            </w:pPr>
          </w:p>
        </w:tc>
        <w:tc>
          <w:tcPr>
            <w:tcW w:w="2306" w:type="pct"/>
            <w:shd w:val="clear" w:color="auto" w:fill="auto"/>
            <w:vAlign w:val="bottom"/>
          </w:tcPr>
          <w:p w14:paraId="54065F98" w14:textId="77777777" w:rsidR="00611BDD" w:rsidRDefault="00611BDD">
            <w:pPr>
              <w:rPr>
                <w:rFonts w:ascii="宋体"/>
              </w:rPr>
            </w:pPr>
          </w:p>
        </w:tc>
        <w:tc>
          <w:tcPr>
            <w:tcW w:w="5" w:type="pct"/>
            <w:shd w:val="clear" w:color="auto" w:fill="auto"/>
            <w:vAlign w:val="bottom"/>
          </w:tcPr>
          <w:p w14:paraId="54065F99" w14:textId="77777777" w:rsidR="00611BDD" w:rsidRDefault="00611BDD">
            <w:pPr>
              <w:rPr>
                <w:rFonts w:ascii="宋体"/>
              </w:rPr>
            </w:pPr>
          </w:p>
        </w:tc>
        <w:tc>
          <w:tcPr>
            <w:tcW w:w="50" w:type="pct"/>
            <w:shd w:val="clear" w:color="auto" w:fill="auto"/>
            <w:vAlign w:val="bottom"/>
          </w:tcPr>
          <w:p w14:paraId="54065F9A" w14:textId="77777777" w:rsidR="00611BDD" w:rsidRDefault="00611BDD">
            <w:pPr>
              <w:rPr>
                <w:rFonts w:ascii="宋体"/>
              </w:rPr>
            </w:pPr>
          </w:p>
        </w:tc>
        <w:tc>
          <w:tcPr>
            <w:tcW w:w="580" w:type="pct"/>
            <w:shd w:val="clear" w:color="auto" w:fill="auto"/>
            <w:vAlign w:val="bottom"/>
          </w:tcPr>
          <w:p w14:paraId="54065F9B" w14:textId="77777777" w:rsidR="00611BDD" w:rsidRDefault="00611BDD">
            <w:pPr>
              <w:rPr>
                <w:rFonts w:ascii="宋体"/>
              </w:rPr>
            </w:pPr>
          </w:p>
        </w:tc>
        <w:tc>
          <w:tcPr>
            <w:tcW w:w="5" w:type="pct"/>
            <w:shd w:val="clear" w:color="auto" w:fill="auto"/>
            <w:vAlign w:val="bottom"/>
          </w:tcPr>
          <w:p w14:paraId="54065F9C" w14:textId="77777777" w:rsidR="00611BDD" w:rsidRDefault="00611BDD">
            <w:pPr>
              <w:rPr>
                <w:rFonts w:ascii="宋体"/>
              </w:rPr>
            </w:pPr>
          </w:p>
        </w:tc>
        <w:tc>
          <w:tcPr>
            <w:tcW w:w="5" w:type="pct"/>
            <w:shd w:val="clear" w:color="auto" w:fill="auto"/>
            <w:vAlign w:val="bottom"/>
          </w:tcPr>
          <w:p w14:paraId="54065F9D" w14:textId="77777777" w:rsidR="00611BDD" w:rsidRDefault="00611BDD">
            <w:pPr>
              <w:rPr>
                <w:rFonts w:ascii="宋体"/>
              </w:rPr>
            </w:pPr>
          </w:p>
        </w:tc>
        <w:tc>
          <w:tcPr>
            <w:tcW w:w="26" w:type="pct"/>
            <w:shd w:val="clear" w:color="auto" w:fill="auto"/>
            <w:vAlign w:val="bottom"/>
          </w:tcPr>
          <w:p w14:paraId="54065F9E" w14:textId="77777777" w:rsidR="00611BDD" w:rsidRDefault="00611BDD">
            <w:pPr>
              <w:rPr>
                <w:rFonts w:ascii="宋体"/>
              </w:rPr>
            </w:pPr>
          </w:p>
        </w:tc>
        <w:tc>
          <w:tcPr>
            <w:tcW w:w="5" w:type="pct"/>
            <w:shd w:val="clear" w:color="auto" w:fill="auto"/>
            <w:vAlign w:val="bottom"/>
          </w:tcPr>
          <w:p w14:paraId="54065F9F" w14:textId="77777777" w:rsidR="00611BDD" w:rsidRDefault="00611BDD">
            <w:pPr>
              <w:rPr>
                <w:rFonts w:ascii="宋体"/>
              </w:rPr>
            </w:pPr>
          </w:p>
        </w:tc>
        <w:tc>
          <w:tcPr>
            <w:tcW w:w="50" w:type="pct"/>
            <w:shd w:val="clear" w:color="auto" w:fill="auto"/>
            <w:vAlign w:val="bottom"/>
          </w:tcPr>
          <w:p w14:paraId="54065FA0" w14:textId="77777777" w:rsidR="00611BDD" w:rsidRDefault="00611BDD">
            <w:pPr>
              <w:rPr>
                <w:rFonts w:ascii="宋体"/>
              </w:rPr>
            </w:pPr>
          </w:p>
        </w:tc>
        <w:tc>
          <w:tcPr>
            <w:tcW w:w="580" w:type="pct"/>
            <w:shd w:val="clear" w:color="auto" w:fill="auto"/>
            <w:vAlign w:val="bottom"/>
          </w:tcPr>
          <w:p w14:paraId="54065FA1" w14:textId="77777777" w:rsidR="00611BDD" w:rsidRDefault="00611BDD">
            <w:pPr>
              <w:rPr>
                <w:rFonts w:ascii="宋体"/>
              </w:rPr>
            </w:pPr>
          </w:p>
        </w:tc>
        <w:tc>
          <w:tcPr>
            <w:tcW w:w="5" w:type="pct"/>
            <w:shd w:val="clear" w:color="auto" w:fill="auto"/>
            <w:vAlign w:val="bottom"/>
          </w:tcPr>
          <w:p w14:paraId="54065FA2" w14:textId="77777777" w:rsidR="00611BDD" w:rsidRDefault="00611BDD">
            <w:pPr>
              <w:rPr>
                <w:rFonts w:ascii="宋体"/>
              </w:rPr>
            </w:pPr>
          </w:p>
        </w:tc>
        <w:tc>
          <w:tcPr>
            <w:tcW w:w="5" w:type="pct"/>
            <w:shd w:val="clear" w:color="auto" w:fill="auto"/>
            <w:vAlign w:val="bottom"/>
          </w:tcPr>
          <w:p w14:paraId="54065FA3" w14:textId="77777777" w:rsidR="00611BDD" w:rsidRDefault="00611BDD">
            <w:pPr>
              <w:rPr>
                <w:rFonts w:ascii="宋体"/>
              </w:rPr>
            </w:pPr>
          </w:p>
        </w:tc>
        <w:tc>
          <w:tcPr>
            <w:tcW w:w="55" w:type="pct"/>
            <w:shd w:val="clear" w:color="auto" w:fill="auto"/>
            <w:vAlign w:val="bottom"/>
          </w:tcPr>
          <w:p w14:paraId="54065FA4" w14:textId="77777777" w:rsidR="00611BDD" w:rsidRDefault="00611BDD">
            <w:pPr>
              <w:rPr>
                <w:rFonts w:ascii="宋体"/>
              </w:rPr>
            </w:pPr>
          </w:p>
        </w:tc>
        <w:tc>
          <w:tcPr>
            <w:tcW w:w="5" w:type="pct"/>
            <w:shd w:val="clear" w:color="auto" w:fill="auto"/>
            <w:vAlign w:val="bottom"/>
          </w:tcPr>
          <w:p w14:paraId="54065FA5" w14:textId="77777777" w:rsidR="00611BDD" w:rsidRDefault="00611BDD">
            <w:pPr>
              <w:rPr>
                <w:rFonts w:ascii="宋体"/>
              </w:rPr>
            </w:pPr>
          </w:p>
        </w:tc>
        <w:tc>
          <w:tcPr>
            <w:tcW w:w="50" w:type="pct"/>
            <w:shd w:val="clear" w:color="auto" w:fill="auto"/>
            <w:vAlign w:val="bottom"/>
          </w:tcPr>
          <w:p w14:paraId="54065FA6" w14:textId="77777777" w:rsidR="00611BDD" w:rsidRDefault="00611BDD">
            <w:pPr>
              <w:rPr>
                <w:rFonts w:ascii="宋体"/>
              </w:rPr>
            </w:pPr>
          </w:p>
        </w:tc>
        <w:tc>
          <w:tcPr>
            <w:tcW w:w="537" w:type="pct"/>
            <w:shd w:val="clear" w:color="auto" w:fill="auto"/>
            <w:vAlign w:val="bottom"/>
          </w:tcPr>
          <w:p w14:paraId="54065FA7" w14:textId="77777777" w:rsidR="00611BDD" w:rsidRDefault="00611BDD">
            <w:pPr>
              <w:rPr>
                <w:rFonts w:ascii="宋体"/>
              </w:rPr>
            </w:pPr>
          </w:p>
        </w:tc>
        <w:tc>
          <w:tcPr>
            <w:tcW w:w="5" w:type="pct"/>
            <w:shd w:val="clear" w:color="auto" w:fill="auto"/>
            <w:vAlign w:val="bottom"/>
          </w:tcPr>
          <w:p w14:paraId="54065FA8" w14:textId="77777777" w:rsidR="00611BDD" w:rsidRDefault="00611BDD">
            <w:pPr>
              <w:rPr>
                <w:rFonts w:ascii="宋体"/>
              </w:rPr>
            </w:pPr>
          </w:p>
        </w:tc>
        <w:tc>
          <w:tcPr>
            <w:tcW w:w="5" w:type="pct"/>
            <w:shd w:val="clear" w:color="auto" w:fill="auto"/>
            <w:vAlign w:val="bottom"/>
          </w:tcPr>
          <w:p w14:paraId="54065FA9" w14:textId="77777777" w:rsidR="00611BDD" w:rsidRDefault="00611BDD">
            <w:pPr>
              <w:rPr>
                <w:rFonts w:ascii="宋体"/>
              </w:rPr>
            </w:pPr>
          </w:p>
        </w:tc>
        <w:tc>
          <w:tcPr>
            <w:tcW w:w="55" w:type="pct"/>
            <w:shd w:val="clear" w:color="auto" w:fill="auto"/>
            <w:vAlign w:val="bottom"/>
          </w:tcPr>
          <w:p w14:paraId="54065FAA" w14:textId="77777777" w:rsidR="00611BDD" w:rsidRDefault="00611BDD">
            <w:pPr>
              <w:rPr>
                <w:rFonts w:ascii="宋体"/>
              </w:rPr>
            </w:pPr>
          </w:p>
        </w:tc>
        <w:tc>
          <w:tcPr>
            <w:tcW w:w="5" w:type="pct"/>
            <w:shd w:val="clear" w:color="auto" w:fill="auto"/>
            <w:vAlign w:val="bottom"/>
          </w:tcPr>
          <w:p w14:paraId="54065FAB" w14:textId="77777777" w:rsidR="00611BDD" w:rsidRDefault="00611BDD">
            <w:pPr>
              <w:rPr>
                <w:rFonts w:ascii="宋体"/>
              </w:rPr>
            </w:pPr>
          </w:p>
        </w:tc>
        <w:tc>
          <w:tcPr>
            <w:tcW w:w="50" w:type="pct"/>
            <w:shd w:val="clear" w:color="auto" w:fill="auto"/>
            <w:vAlign w:val="bottom"/>
          </w:tcPr>
          <w:p w14:paraId="54065FAC" w14:textId="77777777" w:rsidR="00611BDD" w:rsidRDefault="00611BDD">
            <w:pPr>
              <w:rPr>
                <w:rFonts w:ascii="宋体"/>
              </w:rPr>
            </w:pPr>
          </w:p>
        </w:tc>
        <w:tc>
          <w:tcPr>
            <w:tcW w:w="551" w:type="pct"/>
            <w:shd w:val="clear" w:color="auto" w:fill="auto"/>
            <w:vAlign w:val="bottom"/>
          </w:tcPr>
          <w:p w14:paraId="54065FAD" w14:textId="77777777" w:rsidR="00611BDD" w:rsidRDefault="00611BDD">
            <w:pPr>
              <w:rPr>
                <w:rFonts w:ascii="宋体"/>
              </w:rPr>
            </w:pPr>
          </w:p>
        </w:tc>
        <w:tc>
          <w:tcPr>
            <w:tcW w:w="5" w:type="pct"/>
            <w:shd w:val="clear" w:color="auto" w:fill="auto"/>
            <w:vAlign w:val="bottom"/>
          </w:tcPr>
          <w:p w14:paraId="54065FAE" w14:textId="77777777" w:rsidR="00611BDD" w:rsidRDefault="00611BDD">
            <w:pPr>
              <w:rPr>
                <w:rFonts w:ascii="宋体"/>
              </w:rPr>
            </w:pPr>
          </w:p>
        </w:tc>
      </w:tr>
      <w:tr w:rsidR="00611BDD" w14:paraId="54065FB4" w14:textId="77777777">
        <w:trPr>
          <w:jc w:val="center"/>
        </w:trPr>
        <w:tc>
          <w:tcPr>
            <w:tcW w:w="0" w:type="auto"/>
            <w:gridSpan w:val="3"/>
            <w:shd w:val="clear" w:color="auto" w:fill="auto"/>
            <w:tcMar>
              <w:top w:w="40" w:type="dxa"/>
              <w:left w:w="20" w:type="dxa"/>
              <w:bottom w:w="40" w:type="dxa"/>
              <w:right w:w="20" w:type="dxa"/>
            </w:tcMar>
            <w:vAlign w:val="bottom"/>
          </w:tcPr>
          <w:p w14:paraId="54065FB0" w14:textId="77777777" w:rsidR="00611BDD" w:rsidRDefault="002E18C7">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54065FB1" w14:textId="77777777" w:rsidR="00611BDD" w:rsidRDefault="002E18C7">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54065FB2" w14:textId="77777777" w:rsidR="00611BDD" w:rsidRDefault="00611BDD">
            <w:pPr>
              <w:rPr>
                <w:rFonts w:ascii="宋体"/>
              </w:rPr>
            </w:pPr>
          </w:p>
        </w:tc>
        <w:tc>
          <w:tcPr>
            <w:tcW w:w="0" w:type="auto"/>
            <w:gridSpan w:val="9"/>
            <w:shd w:val="clear" w:color="auto" w:fill="auto"/>
            <w:tcMar>
              <w:top w:w="40" w:type="dxa"/>
              <w:left w:w="20" w:type="dxa"/>
              <w:bottom w:w="40" w:type="dxa"/>
              <w:right w:w="20" w:type="dxa"/>
            </w:tcMar>
            <w:vAlign w:val="bottom"/>
          </w:tcPr>
          <w:p w14:paraId="54065FB3" w14:textId="77777777" w:rsidR="00611BDD" w:rsidRDefault="002E18C7">
            <w:pPr>
              <w:jc w:val="center"/>
              <w:textAlignment w:val="bottom"/>
            </w:pPr>
            <w:r>
              <w:rPr>
                <w:rFonts w:ascii="sans-serif" w:eastAsia="sans-serif" w:hAnsi="sans-serif" w:cs="sans-serif"/>
                <w:b/>
                <w:bCs/>
                <w:color w:val="000000"/>
                <w:sz w:val="20"/>
                <w:szCs w:val="20"/>
              </w:rPr>
              <w:t>Six Months Ended</w:t>
            </w:r>
          </w:p>
        </w:tc>
      </w:tr>
      <w:tr w:rsidR="00611BDD" w14:paraId="54065FBD" w14:textId="77777777">
        <w:trPr>
          <w:jc w:val="center"/>
        </w:trPr>
        <w:tc>
          <w:tcPr>
            <w:tcW w:w="0" w:type="auto"/>
            <w:gridSpan w:val="3"/>
            <w:shd w:val="clear" w:color="auto" w:fill="auto"/>
            <w:tcMar>
              <w:top w:w="40" w:type="dxa"/>
              <w:left w:w="20" w:type="dxa"/>
              <w:bottom w:w="40" w:type="dxa"/>
              <w:right w:w="20" w:type="dxa"/>
            </w:tcMar>
            <w:vAlign w:val="bottom"/>
          </w:tcPr>
          <w:p w14:paraId="54065FB5"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5FB6" w14:textId="77777777" w:rsidR="00611BDD" w:rsidRDefault="002E18C7">
            <w:pPr>
              <w:jc w:val="center"/>
              <w:textAlignment w:val="bottom"/>
            </w:pPr>
            <w:r>
              <w:rPr>
                <w:rFonts w:ascii="sans-serif" w:eastAsia="sans-serif" w:hAnsi="sans-serif" w:cs="sans-serif"/>
                <w:b/>
                <w:bCs/>
                <w:color w:val="000000"/>
                <w:sz w:val="20"/>
                <w:szCs w:val="20"/>
              </w:rPr>
              <w:t>August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5FB7"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5FB8" w14:textId="77777777" w:rsidR="00611BDD" w:rsidRDefault="002E18C7">
            <w:pPr>
              <w:jc w:val="center"/>
              <w:textAlignment w:val="bottom"/>
            </w:pPr>
            <w:r>
              <w:rPr>
                <w:rFonts w:ascii="sans-serif" w:eastAsia="sans-serif" w:hAnsi="sans-serif" w:cs="sans-serif"/>
                <w:b/>
                <w:bCs/>
                <w:color w:val="000000"/>
                <w:sz w:val="20"/>
                <w:szCs w:val="20"/>
              </w:rPr>
              <w:t>July 26,</w:t>
            </w:r>
          </w:p>
        </w:tc>
        <w:tc>
          <w:tcPr>
            <w:tcW w:w="0" w:type="auto"/>
            <w:gridSpan w:val="3"/>
            <w:shd w:val="clear" w:color="auto" w:fill="auto"/>
            <w:tcMar>
              <w:top w:w="0" w:type="dxa"/>
              <w:left w:w="20" w:type="dxa"/>
              <w:bottom w:w="0" w:type="dxa"/>
              <w:right w:w="20" w:type="dxa"/>
            </w:tcMar>
            <w:vAlign w:val="bottom"/>
          </w:tcPr>
          <w:p w14:paraId="54065FB9"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5FBA" w14:textId="77777777" w:rsidR="00611BDD" w:rsidRDefault="002E18C7">
            <w:pPr>
              <w:jc w:val="center"/>
              <w:textAlignment w:val="bottom"/>
            </w:pPr>
            <w:r>
              <w:rPr>
                <w:rFonts w:ascii="sans-serif" w:eastAsia="sans-serif" w:hAnsi="sans-serif" w:cs="sans-serif"/>
                <w:b/>
                <w:bCs/>
                <w:color w:val="000000"/>
                <w:sz w:val="20"/>
                <w:szCs w:val="20"/>
              </w:rPr>
              <w:t>August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5FBB"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5FBC" w14:textId="77777777" w:rsidR="00611BDD" w:rsidRDefault="002E18C7">
            <w:pPr>
              <w:jc w:val="center"/>
              <w:textAlignment w:val="bottom"/>
            </w:pPr>
            <w:r>
              <w:rPr>
                <w:rFonts w:ascii="sans-serif" w:eastAsia="sans-serif" w:hAnsi="sans-serif" w:cs="sans-serif"/>
                <w:b/>
                <w:bCs/>
                <w:color w:val="000000"/>
                <w:sz w:val="20"/>
                <w:szCs w:val="20"/>
              </w:rPr>
              <w:t>July 26,</w:t>
            </w:r>
          </w:p>
        </w:tc>
      </w:tr>
      <w:tr w:rsidR="00611BDD" w14:paraId="54065FC6" w14:textId="77777777">
        <w:trPr>
          <w:jc w:val="center"/>
        </w:trPr>
        <w:tc>
          <w:tcPr>
            <w:tcW w:w="0" w:type="auto"/>
            <w:gridSpan w:val="3"/>
            <w:shd w:val="clear" w:color="auto" w:fill="auto"/>
            <w:tcMar>
              <w:top w:w="0" w:type="dxa"/>
              <w:left w:w="20" w:type="dxa"/>
              <w:bottom w:w="0" w:type="dxa"/>
              <w:right w:w="20" w:type="dxa"/>
            </w:tcMar>
            <w:vAlign w:val="bottom"/>
          </w:tcPr>
          <w:p w14:paraId="54065FBE"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5FBF" w14:textId="77777777" w:rsidR="00611BDD" w:rsidRDefault="002E18C7">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4065FC0"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5FC1" w14:textId="77777777" w:rsidR="00611BDD" w:rsidRDefault="002E18C7">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vAlign w:val="bottom"/>
          </w:tcPr>
          <w:p w14:paraId="54065FC2"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5FC3" w14:textId="77777777" w:rsidR="00611BDD" w:rsidRDefault="002E18C7">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4065FC4"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5FC5" w14:textId="77777777" w:rsidR="00611BDD" w:rsidRDefault="002E18C7">
            <w:pPr>
              <w:jc w:val="center"/>
              <w:textAlignment w:val="bottom"/>
            </w:pPr>
            <w:r>
              <w:rPr>
                <w:rFonts w:ascii="sans-serif" w:eastAsia="sans-serif" w:hAnsi="sans-serif" w:cs="sans-serif"/>
                <w:b/>
                <w:bCs/>
                <w:color w:val="000000"/>
                <w:sz w:val="20"/>
                <w:szCs w:val="20"/>
              </w:rPr>
              <w:t>2020</w:t>
            </w:r>
          </w:p>
        </w:tc>
      </w:tr>
      <w:tr w:rsidR="00611BDD" w14:paraId="54065FCF" w14:textId="77777777">
        <w:trPr>
          <w:trHeight w:val="300"/>
          <w:jc w:val="center"/>
        </w:trPr>
        <w:tc>
          <w:tcPr>
            <w:tcW w:w="0" w:type="auto"/>
            <w:gridSpan w:val="3"/>
            <w:shd w:val="clear" w:color="auto" w:fill="auto"/>
            <w:tcMar>
              <w:top w:w="0" w:type="dxa"/>
              <w:left w:w="20" w:type="dxa"/>
              <w:bottom w:w="0" w:type="dxa"/>
              <w:right w:w="20" w:type="dxa"/>
            </w:tcMar>
            <w:vAlign w:val="bottom"/>
          </w:tcPr>
          <w:p w14:paraId="54065FC7"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5FC8"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5FC9"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5FCA"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5FCB"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5FCC"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5FCD"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5FCE" w14:textId="77777777" w:rsidR="00611BDD" w:rsidRDefault="00611BDD">
            <w:pPr>
              <w:rPr>
                <w:rFonts w:ascii="宋体"/>
              </w:rPr>
            </w:pPr>
          </w:p>
        </w:tc>
      </w:tr>
      <w:tr w:rsidR="00611BDD" w14:paraId="54065FE0" w14:textId="77777777">
        <w:trPr>
          <w:jc w:val="center"/>
        </w:trPr>
        <w:tc>
          <w:tcPr>
            <w:tcW w:w="0" w:type="auto"/>
            <w:gridSpan w:val="3"/>
            <w:shd w:val="clear" w:color="auto" w:fill="E2EFD9"/>
            <w:tcMar>
              <w:top w:w="40" w:type="dxa"/>
              <w:left w:w="20" w:type="dxa"/>
              <w:bottom w:w="40" w:type="dxa"/>
              <w:right w:w="20" w:type="dxa"/>
            </w:tcMar>
            <w:vAlign w:val="bottom"/>
          </w:tcPr>
          <w:p w14:paraId="54065FD0" w14:textId="77777777" w:rsidR="00611BDD" w:rsidRDefault="002E18C7">
            <w:pPr>
              <w:textAlignment w:val="bottom"/>
            </w:pPr>
            <w:r>
              <w:rPr>
                <w:rFonts w:ascii="sans-serif" w:eastAsia="sans-serif" w:hAnsi="sans-serif" w:cs="sans-serif"/>
                <w:color w:val="000000"/>
                <w:sz w:val="20"/>
                <w:szCs w:val="20"/>
              </w:rPr>
              <w:t>Revenue</w:t>
            </w:r>
          </w:p>
        </w:tc>
        <w:tc>
          <w:tcPr>
            <w:tcW w:w="0" w:type="auto"/>
            <w:shd w:val="clear" w:color="auto" w:fill="E2EFD9"/>
            <w:tcMar>
              <w:top w:w="40" w:type="dxa"/>
              <w:left w:w="20" w:type="dxa"/>
              <w:bottom w:w="40" w:type="dxa"/>
              <w:right w:w="0" w:type="dxa"/>
            </w:tcMar>
            <w:vAlign w:val="bottom"/>
          </w:tcPr>
          <w:p w14:paraId="54065FD1"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5FD2" w14:textId="77777777" w:rsidR="00611BDD" w:rsidRDefault="002E18C7">
            <w:pPr>
              <w:jc w:val="right"/>
              <w:textAlignment w:val="bottom"/>
            </w:pPr>
            <w:r>
              <w:rPr>
                <w:rFonts w:ascii="sans-serif" w:eastAsia="sans-serif" w:hAnsi="sans-serif" w:cs="sans-serif"/>
                <w:color w:val="000000"/>
                <w:sz w:val="20"/>
                <w:szCs w:val="20"/>
              </w:rPr>
              <w:t>6,507 </w:t>
            </w:r>
          </w:p>
        </w:tc>
        <w:tc>
          <w:tcPr>
            <w:tcW w:w="0" w:type="auto"/>
            <w:shd w:val="clear" w:color="auto" w:fill="E2EFD9"/>
            <w:tcMar>
              <w:top w:w="40" w:type="dxa"/>
              <w:left w:w="0" w:type="dxa"/>
              <w:bottom w:w="40" w:type="dxa"/>
              <w:right w:w="20" w:type="dxa"/>
            </w:tcMar>
            <w:vAlign w:val="bottom"/>
          </w:tcPr>
          <w:p w14:paraId="54065FD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5FD4"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5FD5"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5FD6" w14:textId="77777777" w:rsidR="00611BDD" w:rsidRDefault="002E18C7">
            <w:pPr>
              <w:jc w:val="right"/>
              <w:textAlignment w:val="bottom"/>
            </w:pPr>
            <w:r>
              <w:rPr>
                <w:rFonts w:ascii="sans-serif" w:eastAsia="sans-serif" w:hAnsi="sans-serif" w:cs="sans-serif"/>
                <w:color w:val="000000"/>
                <w:sz w:val="20"/>
                <w:szCs w:val="20"/>
              </w:rPr>
              <w:t>3,866 </w:t>
            </w:r>
          </w:p>
        </w:tc>
        <w:tc>
          <w:tcPr>
            <w:tcW w:w="0" w:type="auto"/>
            <w:shd w:val="clear" w:color="auto" w:fill="E2EFD9"/>
            <w:tcMar>
              <w:top w:w="40" w:type="dxa"/>
              <w:left w:w="0" w:type="dxa"/>
              <w:bottom w:w="40" w:type="dxa"/>
              <w:right w:w="20" w:type="dxa"/>
            </w:tcMar>
            <w:vAlign w:val="bottom"/>
          </w:tcPr>
          <w:p w14:paraId="54065FD7"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5FD8"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5FD9"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5FDA" w14:textId="77777777" w:rsidR="00611BDD" w:rsidRDefault="002E18C7">
            <w:pPr>
              <w:jc w:val="right"/>
              <w:textAlignment w:val="bottom"/>
            </w:pPr>
            <w:r>
              <w:rPr>
                <w:rFonts w:ascii="sans-serif" w:eastAsia="sans-serif" w:hAnsi="sans-serif" w:cs="sans-serif"/>
                <w:color w:val="000000"/>
                <w:sz w:val="20"/>
                <w:szCs w:val="20"/>
              </w:rPr>
              <w:t>12,168 </w:t>
            </w:r>
          </w:p>
        </w:tc>
        <w:tc>
          <w:tcPr>
            <w:tcW w:w="0" w:type="auto"/>
            <w:shd w:val="clear" w:color="auto" w:fill="E2EFD9"/>
            <w:tcMar>
              <w:top w:w="40" w:type="dxa"/>
              <w:left w:w="0" w:type="dxa"/>
              <w:bottom w:w="40" w:type="dxa"/>
              <w:right w:w="20" w:type="dxa"/>
            </w:tcMar>
            <w:vAlign w:val="bottom"/>
          </w:tcPr>
          <w:p w14:paraId="54065FD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5FDC"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5FDD"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5FDE" w14:textId="77777777" w:rsidR="00611BDD" w:rsidRDefault="002E18C7">
            <w:pPr>
              <w:jc w:val="right"/>
              <w:textAlignment w:val="bottom"/>
            </w:pPr>
            <w:r>
              <w:rPr>
                <w:rFonts w:ascii="sans-serif" w:eastAsia="sans-serif" w:hAnsi="sans-serif" w:cs="sans-serif"/>
                <w:color w:val="000000"/>
                <w:sz w:val="20"/>
                <w:szCs w:val="20"/>
              </w:rPr>
              <w:t>6,946 </w:t>
            </w:r>
          </w:p>
        </w:tc>
        <w:tc>
          <w:tcPr>
            <w:tcW w:w="0" w:type="auto"/>
            <w:shd w:val="clear" w:color="auto" w:fill="E2EFD9"/>
            <w:tcMar>
              <w:top w:w="40" w:type="dxa"/>
              <w:left w:w="0" w:type="dxa"/>
              <w:bottom w:w="40" w:type="dxa"/>
              <w:right w:w="20" w:type="dxa"/>
            </w:tcMar>
            <w:vAlign w:val="bottom"/>
          </w:tcPr>
          <w:p w14:paraId="54065FDF" w14:textId="77777777" w:rsidR="00611BDD" w:rsidRDefault="00611BDD">
            <w:pPr>
              <w:jc w:val="right"/>
              <w:rPr>
                <w:rFonts w:ascii="宋体"/>
              </w:rPr>
            </w:pPr>
          </w:p>
        </w:tc>
      </w:tr>
      <w:tr w:rsidR="00611BDD" w14:paraId="54065FED" w14:textId="77777777">
        <w:trPr>
          <w:jc w:val="center"/>
        </w:trPr>
        <w:tc>
          <w:tcPr>
            <w:tcW w:w="0" w:type="auto"/>
            <w:gridSpan w:val="3"/>
            <w:shd w:val="clear" w:color="auto" w:fill="FFFFFF"/>
            <w:tcMar>
              <w:top w:w="40" w:type="dxa"/>
              <w:left w:w="515" w:type="dxa"/>
              <w:bottom w:w="40" w:type="dxa"/>
              <w:right w:w="20" w:type="dxa"/>
            </w:tcMar>
            <w:vAlign w:val="bottom"/>
          </w:tcPr>
          <w:p w14:paraId="54065FE1" w14:textId="77777777" w:rsidR="00611BDD" w:rsidRDefault="002E18C7">
            <w:pPr>
              <w:textAlignment w:val="bottom"/>
            </w:pPr>
            <w:r>
              <w:rPr>
                <w:rFonts w:ascii="sans-serif" w:eastAsia="sans-serif" w:hAnsi="sans-serif" w:cs="sans-serif"/>
                <w:color w:val="000000"/>
                <w:sz w:val="20"/>
                <w:szCs w:val="20"/>
              </w:rPr>
              <w:t>Cost of revenue</w:t>
            </w:r>
          </w:p>
        </w:tc>
        <w:tc>
          <w:tcPr>
            <w:tcW w:w="0" w:type="auto"/>
            <w:gridSpan w:val="2"/>
            <w:shd w:val="clear" w:color="auto" w:fill="FFFFFF"/>
            <w:tcMar>
              <w:top w:w="40" w:type="dxa"/>
              <w:left w:w="20" w:type="dxa"/>
              <w:bottom w:w="40" w:type="dxa"/>
              <w:right w:w="0" w:type="dxa"/>
            </w:tcMar>
            <w:vAlign w:val="bottom"/>
          </w:tcPr>
          <w:p w14:paraId="54065FE2" w14:textId="77777777" w:rsidR="00611BDD" w:rsidRDefault="002E18C7">
            <w:pPr>
              <w:jc w:val="right"/>
              <w:textAlignment w:val="bottom"/>
            </w:pPr>
            <w:r>
              <w:rPr>
                <w:rFonts w:ascii="sans-serif" w:eastAsia="sans-serif" w:hAnsi="sans-serif" w:cs="sans-serif"/>
                <w:color w:val="000000"/>
                <w:sz w:val="20"/>
                <w:szCs w:val="20"/>
              </w:rPr>
              <w:t>2,292 </w:t>
            </w:r>
          </w:p>
        </w:tc>
        <w:tc>
          <w:tcPr>
            <w:tcW w:w="0" w:type="auto"/>
            <w:shd w:val="clear" w:color="auto" w:fill="FFFFFF"/>
            <w:tcMar>
              <w:top w:w="40" w:type="dxa"/>
              <w:left w:w="0" w:type="dxa"/>
              <w:bottom w:w="40" w:type="dxa"/>
              <w:right w:w="20" w:type="dxa"/>
            </w:tcMar>
            <w:vAlign w:val="bottom"/>
          </w:tcPr>
          <w:p w14:paraId="54065FE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5FE4"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5FE5" w14:textId="77777777" w:rsidR="00611BDD" w:rsidRDefault="002E18C7">
            <w:pPr>
              <w:jc w:val="right"/>
              <w:textAlignment w:val="bottom"/>
            </w:pPr>
            <w:r>
              <w:rPr>
                <w:rFonts w:ascii="sans-serif" w:eastAsia="sans-serif" w:hAnsi="sans-serif" w:cs="sans-serif"/>
                <w:color w:val="000000"/>
                <w:sz w:val="20"/>
                <w:szCs w:val="20"/>
              </w:rPr>
              <w:t>1,591 </w:t>
            </w:r>
          </w:p>
        </w:tc>
        <w:tc>
          <w:tcPr>
            <w:tcW w:w="0" w:type="auto"/>
            <w:shd w:val="clear" w:color="auto" w:fill="FFFFFF"/>
            <w:tcMar>
              <w:top w:w="40" w:type="dxa"/>
              <w:left w:w="0" w:type="dxa"/>
              <w:bottom w:w="40" w:type="dxa"/>
              <w:right w:w="20" w:type="dxa"/>
            </w:tcMar>
            <w:vAlign w:val="bottom"/>
          </w:tcPr>
          <w:p w14:paraId="54065FE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5FE7"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5FE8" w14:textId="77777777" w:rsidR="00611BDD" w:rsidRDefault="002E18C7">
            <w:pPr>
              <w:jc w:val="right"/>
              <w:textAlignment w:val="bottom"/>
            </w:pPr>
            <w:r>
              <w:rPr>
                <w:rFonts w:ascii="sans-serif" w:eastAsia="sans-serif" w:hAnsi="sans-serif" w:cs="sans-serif"/>
                <w:color w:val="000000"/>
                <w:sz w:val="20"/>
                <w:szCs w:val="20"/>
              </w:rPr>
              <w:t>4,324 </w:t>
            </w:r>
          </w:p>
        </w:tc>
        <w:tc>
          <w:tcPr>
            <w:tcW w:w="0" w:type="auto"/>
            <w:shd w:val="clear" w:color="auto" w:fill="FFFFFF"/>
            <w:tcMar>
              <w:top w:w="40" w:type="dxa"/>
              <w:left w:w="0" w:type="dxa"/>
              <w:bottom w:w="40" w:type="dxa"/>
              <w:right w:w="20" w:type="dxa"/>
            </w:tcMar>
            <w:vAlign w:val="bottom"/>
          </w:tcPr>
          <w:p w14:paraId="54065FE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5FEA"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5FEB" w14:textId="77777777" w:rsidR="00611BDD" w:rsidRDefault="002E18C7">
            <w:pPr>
              <w:jc w:val="right"/>
              <w:textAlignment w:val="bottom"/>
            </w:pPr>
            <w:r>
              <w:rPr>
                <w:rFonts w:ascii="sans-serif" w:eastAsia="sans-serif" w:hAnsi="sans-serif" w:cs="sans-serif"/>
                <w:color w:val="000000"/>
                <w:sz w:val="20"/>
                <w:szCs w:val="20"/>
              </w:rPr>
              <w:t>2,667 </w:t>
            </w:r>
          </w:p>
        </w:tc>
        <w:tc>
          <w:tcPr>
            <w:tcW w:w="0" w:type="auto"/>
            <w:shd w:val="clear" w:color="auto" w:fill="FFFFFF"/>
            <w:tcMar>
              <w:top w:w="40" w:type="dxa"/>
              <w:left w:w="0" w:type="dxa"/>
              <w:bottom w:w="40" w:type="dxa"/>
              <w:right w:w="20" w:type="dxa"/>
            </w:tcMar>
            <w:vAlign w:val="bottom"/>
          </w:tcPr>
          <w:p w14:paraId="54065FEC" w14:textId="77777777" w:rsidR="00611BDD" w:rsidRDefault="00611BDD">
            <w:pPr>
              <w:jc w:val="right"/>
              <w:rPr>
                <w:rFonts w:ascii="宋体"/>
              </w:rPr>
            </w:pPr>
          </w:p>
        </w:tc>
      </w:tr>
      <w:tr w:rsidR="00611BDD" w14:paraId="54065FFA" w14:textId="77777777">
        <w:trPr>
          <w:jc w:val="center"/>
        </w:trPr>
        <w:tc>
          <w:tcPr>
            <w:tcW w:w="0" w:type="auto"/>
            <w:gridSpan w:val="3"/>
            <w:shd w:val="clear" w:color="auto" w:fill="E2EFD9"/>
            <w:tcMar>
              <w:top w:w="40" w:type="dxa"/>
              <w:left w:w="20" w:type="dxa"/>
              <w:bottom w:w="40" w:type="dxa"/>
              <w:right w:w="20" w:type="dxa"/>
            </w:tcMar>
            <w:vAlign w:val="bottom"/>
          </w:tcPr>
          <w:p w14:paraId="54065FEE" w14:textId="77777777" w:rsidR="00611BDD" w:rsidRDefault="002E18C7">
            <w:pPr>
              <w:textAlignment w:val="bottom"/>
            </w:pPr>
            <w:r>
              <w:rPr>
                <w:rFonts w:ascii="sans-serif" w:eastAsia="sans-serif" w:hAnsi="sans-serif" w:cs="sans-serif"/>
                <w:color w:val="000000"/>
                <w:sz w:val="20"/>
                <w:szCs w:val="20"/>
              </w:rPr>
              <w:t>Gross profit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5FEF" w14:textId="77777777" w:rsidR="00611BDD" w:rsidRDefault="002E18C7">
            <w:pPr>
              <w:jc w:val="right"/>
              <w:textAlignment w:val="bottom"/>
            </w:pPr>
            <w:r>
              <w:rPr>
                <w:rFonts w:ascii="sans-serif" w:eastAsia="sans-serif" w:hAnsi="sans-serif" w:cs="sans-serif"/>
                <w:color w:val="000000"/>
                <w:sz w:val="20"/>
                <w:szCs w:val="20"/>
              </w:rPr>
              <w:t>4,215 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5FF0"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5FF1" w14:textId="77777777" w:rsidR="00611BDD" w:rsidRDefault="00611BD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5FF2" w14:textId="77777777" w:rsidR="00611BDD" w:rsidRDefault="002E18C7">
            <w:pPr>
              <w:jc w:val="right"/>
              <w:textAlignment w:val="bottom"/>
            </w:pPr>
            <w:r>
              <w:rPr>
                <w:rFonts w:ascii="sans-serif" w:eastAsia="sans-serif" w:hAnsi="sans-serif" w:cs="sans-serif"/>
                <w:color w:val="000000"/>
                <w:sz w:val="20"/>
                <w:szCs w:val="20"/>
              </w:rPr>
              <w:t>2,275 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5FF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5FF4" w14:textId="77777777" w:rsidR="00611BDD" w:rsidRDefault="00611BD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5FF5" w14:textId="77777777" w:rsidR="00611BDD" w:rsidRDefault="002E18C7">
            <w:pPr>
              <w:jc w:val="right"/>
              <w:textAlignment w:val="bottom"/>
            </w:pPr>
            <w:r>
              <w:rPr>
                <w:rFonts w:ascii="sans-serif" w:eastAsia="sans-serif" w:hAnsi="sans-serif" w:cs="sans-serif"/>
                <w:color w:val="000000"/>
                <w:sz w:val="20"/>
                <w:szCs w:val="20"/>
              </w:rPr>
              <w:t>7,844 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5FF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5FF7" w14:textId="77777777" w:rsidR="00611BDD" w:rsidRDefault="00611BD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5FF8" w14:textId="77777777" w:rsidR="00611BDD" w:rsidRDefault="002E18C7">
            <w:pPr>
              <w:jc w:val="right"/>
              <w:textAlignment w:val="bottom"/>
            </w:pPr>
            <w:r>
              <w:rPr>
                <w:rFonts w:ascii="sans-serif" w:eastAsia="sans-serif" w:hAnsi="sans-serif" w:cs="sans-serif"/>
                <w:color w:val="000000"/>
                <w:sz w:val="20"/>
                <w:szCs w:val="20"/>
              </w:rPr>
              <w:t>4,279 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5FF9" w14:textId="77777777" w:rsidR="00611BDD" w:rsidRDefault="00611BDD">
            <w:pPr>
              <w:jc w:val="right"/>
              <w:rPr>
                <w:rFonts w:ascii="宋体"/>
              </w:rPr>
            </w:pPr>
          </w:p>
        </w:tc>
      </w:tr>
      <w:tr w:rsidR="00611BDD" w14:paraId="54066003" w14:textId="77777777">
        <w:trPr>
          <w:jc w:val="center"/>
        </w:trPr>
        <w:tc>
          <w:tcPr>
            <w:tcW w:w="0" w:type="auto"/>
            <w:gridSpan w:val="3"/>
            <w:shd w:val="clear" w:color="auto" w:fill="FFFFFF"/>
            <w:tcMar>
              <w:top w:w="40" w:type="dxa"/>
              <w:left w:w="20" w:type="dxa"/>
              <w:bottom w:w="40" w:type="dxa"/>
              <w:right w:w="20" w:type="dxa"/>
            </w:tcMar>
            <w:vAlign w:val="bottom"/>
          </w:tcPr>
          <w:p w14:paraId="54065FFB" w14:textId="77777777" w:rsidR="00611BDD" w:rsidRDefault="002E18C7">
            <w:pPr>
              <w:textAlignment w:val="bottom"/>
            </w:pPr>
            <w:r>
              <w:rPr>
                <w:rFonts w:ascii="sans-serif" w:eastAsia="sans-serif" w:hAnsi="sans-serif" w:cs="sans-serif"/>
                <w:color w:val="000000"/>
                <w:sz w:val="20"/>
                <w:szCs w:val="20"/>
              </w:rPr>
              <w:t>Operating expenses</w:t>
            </w:r>
          </w:p>
        </w:tc>
        <w:tc>
          <w:tcPr>
            <w:tcW w:w="0" w:type="auto"/>
            <w:gridSpan w:val="3"/>
            <w:shd w:val="clear" w:color="auto" w:fill="FFFFFF"/>
            <w:tcMar>
              <w:top w:w="40" w:type="dxa"/>
              <w:left w:w="20" w:type="dxa"/>
              <w:bottom w:w="40" w:type="dxa"/>
              <w:right w:w="20" w:type="dxa"/>
            </w:tcMar>
            <w:vAlign w:val="bottom"/>
          </w:tcPr>
          <w:p w14:paraId="54065FFC" w14:textId="77777777" w:rsidR="00611BDD" w:rsidRDefault="002E18C7">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54065FFD" w14:textId="77777777" w:rsidR="00611BDD" w:rsidRDefault="00611BDD">
            <w:pPr>
              <w:rPr>
                <w:rFonts w:ascii="宋体"/>
              </w:rPr>
            </w:pPr>
          </w:p>
        </w:tc>
        <w:tc>
          <w:tcPr>
            <w:tcW w:w="0" w:type="auto"/>
            <w:gridSpan w:val="3"/>
            <w:shd w:val="clear" w:color="auto" w:fill="FFFFFF"/>
            <w:tcMar>
              <w:top w:w="40" w:type="dxa"/>
              <w:left w:w="20" w:type="dxa"/>
              <w:bottom w:w="40" w:type="dxa"/>
              <w:right w:w="20" w:type="dxa"/>
            </w:tcMar>
            <w:vAlign w:val="bottom"/>
          </w:tcPr>
          <w:p w14:paraId="54065FFE"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54065FFF"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000"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001"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002" w14:textId="77777777" w:rsidR="00611BDD" w:rsidRDefault="00611BDD">
            <w:pPr>
              <w:rPr>
                <w:rFonts w:ascii="宋体"/>
              </w:rPr>
            </w:pPr>
          </w:p>
        </w:tc>
      </w:tr>
      <w:tr w:rsidR="00611BDD" w14:paraId="54066010" w14:textId="77777777">
        <w:trPr>
          <w:jc w:val="center"/>
        </w:trPr>
        <w:tc>
          <w:tcPr>
            <w:tcW w:w="0" w:type="auto"/>
            <w:gridSpan w:val="3"/>
            <w:shd w:val="clear" w:color="auto" w:fill="E2EFD9"/>
            <w:tcMar>
              <w:top w:w="40" w:type="dxa"/>
              <w:left w:w="515" w:type="dxa"/>
              <w:bottom w:w="40" w:type="dxa"/>
              <w:right w:w="20" w:type="dxa"/>
            </w:tcMar>
            <w:vAlign w:val="bottom"/>
          </w:tcPr>
          <w:p w14:paraId="54066004" w14:textId="77777777" w:rsidR="00611BDD" w:rsidRDefault="002E18C7">
            <w:pPr>
              <w:textAlignment w:val="bottom"/>
            </w:pPr>
            <w:r>
              <w:rPr>
                <w:rFonts w:ascii="sans-serif" w:eastAsia="sans-serif" w:hAnsi="sans-serif" w:cs="sans-serif"/>
                <w:color w:val="000000"/>
                <w:sz w:val="20"/>
                <w:szCs w:val="20"/>
              </w:rPr>
              <w:t>Research and development</w:t>
            </w:r>
          </w:p>
        </w:tc>
        <w:tc>
          <w:tcPr>
            <w:tcW w:w="0" w:type="auto"/>
            <w:gridSpan w:val="2"/>
            <w:shd w:val="clear" w:color="auto" w:fill="E2EFD9"/>
            <w:tcMar>
              <w:top w:w="40" w:type="dxa"/>
              <w:left w:w="20" w:type="dxa"/>
              <w:bottom w:w="40" w:type="dxa"/>
              <w:right w:w="0" w:type="dxa"/>
            </w:tcMar>
            <w:vAlign w:val="bottom"/>
          </w:tcPr>
          <w:p w14:paraId="54066005" w14:textId="77777777" w:rsidR="00611BDD" w:rsidRDefault="002E18C7">
            <w:pPr>
              <w:jc w:val="right"/>
              <w:textAlignment w:val="bottom"/>
            </w:pPr>
            <w:r>
              <w:rPr>
                <w:rFonts w:ascii="sans-serif" w:eastAsia="sans-serif" w:hAnsi="sans-serif" w:cs="sans-serif"/>
                <w:color w:val="000000"/>
                <w:sz w:val="20"/>
                <w:szCs w:val="20"/>
              </w:rPr>
              <w:t>1,245 </w:t>
            </w:r>
          </w:p>
        </w:tc>
        <w:tc>
          <w:tcPr>
            <w:tcW w:w="0" w:type="auto"/>
            <w:shd w:val="clear" w:color="auto" w:fill="E2EFD9"/>
            <w:tcMar>
              <w:top w:w="40" w:type="dxa"/>
              <w:left w:w="0" w:type="dxa"/>
              <w:bottom w:w="40" w:type="dxa"/>
              <w:right w:w="20" w:type="dxa"/>
            </w:tcMar>
            <w:vAlign w:val="bottom"/>
          </w:tcPr>
          <w:p w14:paraId="5406600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007"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008" w14:textId="77777777" w:rsidR="00611BDD" w:rsidRDefault="002E18C7">
            <w:pPr>
              <w:jc w:val="right"/>
              <w:textAlignment w:val="bottom"/>
            </w:pPr>
            <w:r>
              <w:rPr>
                <w:rFonts w:ascii="sans-serif" w:eastAsia="sans-serif" w:hAnsi="sans-serif" w:cs="sans-serif"/>
                <w:color w:val="000000"/>
                <w:sz w:val="20"/>
                <w:szCs w:val="20"/>
              </w:rPr>
              <w:t>997 </w:t>
            </w:r>
          </w:p>
        </w:tc>
        <w:tc>
          <w:tcPr>
            <w:tcW w:w="0" w:type="auto"/>
            <w:shd w:val="clear" w:color="auto" w:fill="E2EFD9"/>
            <w:tcMar>
              <w:top w:w="40" w:type="dxa"/>
              <w:left w:w="0" w:type="dxa"/>
              <w:bottom w:w="40" w:type="dxa"/>
              <w:right w:w="20" w:type="dxa"/>
            </w:tcMar>
            <w:vAlign w:val="bottom"/>
          </w:tcPr>
          <w:p w14:paraId="5406600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00A"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00B" w14:textId="77777777" w:rsidR="00611BDD" w:rsidRDefault="002E18C7">
            <w:pPr>
              <w:jc w:val="right"/>
              <w:textAlignment w:val="bottom"/>
            </w:pPr>
            <w:r>
              <w:rPr>
                <w:rFonts w:ascii="sans-serif" w:eastAsia="sans-serif" w:hAnsi="sans-serif" w:cs="sans-serif"/>
                <w:color w:val="000000"/>
                <w:sz w:val="20"/>
                <w:szCs w:val="20"/>
              </w:rPr>
              <w:t>2,398 </w:t>
            </w:r>
          </w:p>
        </w:tc>
        <w:tc>
          <w:tcPr>
            <w:tcW w:w="0" w:type="auto"/>
            <w:shd w:val="clear" w:color="auto" w:fill="E2EFD9"/>
            <w:tcMar>
              <w:top w:w="40" w:type="dxa"/>
              <w:left w:w="0" w:type="dxa"/>
              <w:bottom w:w="40" w:type="dxa"/>
              <w:right w:w="20" w:type="dxa"/>
            </w:tcMar>
            <w:vAlign w:val="bottom"/>
          </w:tcPr>
          <w:p w14:paraId="5406600C"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00D"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00E" w14:textId="77777777" w:rsidR="00611BDD" w:rsidRDefault="002E18C7">
            <w:pPr>
              <w:jc w:val="right"/>
              <w:textAlignment w:val="bottom"/>
            </w:pPr>
            <w:r>
              <w:rPr>
                <w:rFonts w:ascii="sans-serif" w:eastAsia="sans-serif" w:hAnsi="sans-serif" w:cs="sans-serif"/>
                <w:color w:val="000000"/>
                <w:sz w:val="20"/>
                <w:szCs w:val="20"/>
              </w:rPr>
              <w:t>1,732 </w:t>
            </w:r>
          </w:p>
        </w:tc>
        <w:tc>
          <w:tcPr>
            <w:tcW w:w="0" w:type="auto"/>
            <w:shd w:val="clear" w:color="auto" w:fill="E2EFD9"/>
            <w:tcMar>
              <w:top w:w="40" w:type="dxa"/>
              <w:left w:w="0" w:type="dxa"/>
              <w:bottom w:w="40" w:type="dxa"/>
              <w:right w:w="20" w:type="dxa"/>
            </w:tcMar>
            <w:vAlign w:val="bottom"/>
          </w:tcPr>
          <w:p w14:paraId="5406600F" w14:textId="77777777" w:rsidR="00611BDD" w:rsidRDefault="00611BDD">
            <w:pPr>
              <w:jc w:val="right"/>
              <w:rPr>
                <w:rFonts w:ascii="宋体"/>
              </w:rPr>
            </w:pPr>
          </w:p>
        </w:tc>
      </w:tr>
      <w:tr w:rsidR="00611BDD" w14:paraId="5406601D" w14:textId="77777777">
        <w:trPr>
          <w:jc w:val="center"/>
        </w:trPr>
        <w:tc>
          <w:tcPr>
            <w:tcW w:w="0" w:type="auto"/>
            <w:gridSpan w:val="3"/>
            <w:shd w:val="clear" w:color="auto" w:fill="FFFFFF"/>
            <w:tcMar>
              <w:top w:w="40" w:type="dxa"/>
              <w:left w:w="515" w:type="dxa"/>
              <w:bottom w:w="40" w:type="dxa"/>
              <w:right w:w="20" w:type="dxa"/>
            </w:tcMar>
            <w:vAlign w:val="bottom"/>
          </w:tcPr>
          <w:p w14:paraId="54066011" w14:textId="77777777" w:rsidR="00611BDD" w:rsidRDefault="002E18C7">
            <w:pPr>
              <w:textAlignment w:val="bottom"/>
            </w:pPr>
            <w:r>
              <w:rPr>
                <w:rFonts w:ascii="sans-serif" w:eastAsia="sans-serif" w:hAnsi="sans-serif" w:cs="sans-serif"/>
                <w:color w:val="000000"/>
                <w:sz w:val="20"/>
                <w:szCs w:val="20"/>
              </w:rPr>
              <w:t>Sales, general and administrative</w:t>
            </w:r>
          </w:p>
        </w:tc>
        <w:tc>
          <w:tcPr>
            <w:tcW w:w="0" w:type="auto"/>
            <w:gridSpan w:val="2"/>
            <w:shd w:val="clear" w:color="auto" w:fill="FFFFFF"/>
            <w:tcMar>
              <w:top w:w="40" w:type="dxa"/>
              <w:left w:w="20" w:type="dxa"/>
              <w:bottom w:w="40" w:type="dxa"/>
              <w:right w:w="0" w:type="dxa"/>
            </w:tcMar>
            <w:vAlign w:val="bottom"/>
          </w:tcPr>
          <w:p w14:paraId="54066012" w14:textId="77777777" w:rsidR="00611BDD" w:rsidRDefault="002E18C7">
            <w:pPr>
              <w:jc w:val="right"/>
              <w:textAlignment w:val="bottom"/>
            </w:pPr>
            <w:r>
              <w:rPr>
                <w:rFonts w:ascii="sans-serif" w:eastAsia="sans-serif" w:hAnsi="sans-serif" w:cs="sans-serif"/>
                <w:color w:val="000000"/>
                <w:sz w:val="20"/>
                <w:szCs w:val="20"/>
              </w:rPr>
              <w:t>526 </w:t>
            </w:r>
          </w:p>
        </w:tc>
        <w:tc>
          <w:tcPr>
            <w:tcW w:w="0" w:type="auto"/>
            <w:shd w:val="clear" w:color="auto" w:fill="FFFFFF"/>
            <w:tcMar>
              <w:top w:w="40" w:type="dxa"/>
              <w:left w:w="0" w:type="dxa"/>
              <w:bottom w:w="40" w:type="dxa"/>
              <w:right w:w="20" w:type="dxa"/>
            </w:tcMar>
            <w:vAlign w:val="bottom"/>
          </w:tcPr>
          <w:p w14:paraId="5406601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014"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015" w14:textId="77777777" w:rsidR="00611BDD" w:rsidRDefault="002E18C7">
            <w:pPr>
              <w:jc w:val="right"/>
              <w:textAlignment w:val="bottom"/>
            </w:pPr>
            <w:r>
              <w:rPr>
                <w:rFonts w:ascii="sans-serif" w:eastAsia="sans-serif" w:hAnsi="sans-serif" w:cs="sans-serif"/>
                <w:color w:val="000000"/>
                <w:sz w:val="20"/>
                <w:szCs w:val="20"/>
              </w:rPr>
              <w:t>627 </w:t>
            </w:r>
          </w:p>
        </w:tc>
        <w:tc>
          <w:tcPr>
            <w:tcW w:w="0" w:type="auto"/>
            <w:shd w:val="clear" w:color="auto" w:fill="FFFFFF"/>
            <w:tcMar>
              <w:top w:w="40" w:type="dxa"/>
              <w:left w:w="0" w:type="dxa"/>
              <w:bottom w:w="40" w:type="dxa"/>
              <w:right w:w="20" w:type="dxa"/>
            </w:tcMar>
            <w:vAlign w:val="bottom"/>
          </w:tcPr>
          <w:p w14:paraId="5406601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017"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018" w14:textId="77777777" w:rsidR="00611BDD" w:rsidRDefault="002E18C7">
            <w:pPr>
              <w:jc w:val="right"/>
              <w:textAlignment w:val="bottom"/>
            </w:pPr>
            <w:r>
              <w:rPr>
                <w:rFonts w:ascii="sans-serif" w:eastAsia="sans-serif" w:hAnsi="sans-serif" w:cs="sans-serif"/>
                <w:color w:val="000000"/>
                <w:sz w:val="20"/>
                <w:szCs w:val="20"/>
              </w:rPr>
              <w:t>1,046 </w:t>
            </w:r>
          </w:p>
        </w:tc>
        <w:tc>
          <w:tcPr>
            <w:tcW w:w="0" w:type="auto"/>
            <w:shd w:val="clear" w:color="auto" w:fill="FFFFFF"/>
            <w:tcMar>
              <w:top w:w="40" w:type="dxa"/>
              <w:left w:w="0" w:type="dxa"/>
              <w:bottom w:w="40" w:type="dxa"/>
              <w:right w:w="20" w:type="dxa"/>
            </w:tcMar>
            <w:vAlign w:val="bottom"/>
          </w:tcPr>
          <w:p w14:paraId="5406601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01A"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01B" w14:textId="77777777" w:rsidR="00611BDD" w:rsidRDefault="002E18C7">
            <w:pPr>
              <w:jc w:val="right"/>
              <w:textAlignment w:val="bottom"/>
            </w:pPr>
            <w:r>
              <w:rPr>
                <w:rFonts w:ascii="sans-serif" w:eastAsia="sans-serif" w:hAnsi="sans-serif" w:cs="sans-serif"/>
                <w:color w:val="000000"/>
                <w:sz w:val="20"/>
                <w:szCs w:val="20"/>
              </w:rPr>
              <w:t>920 </w:t>
            </w:r>
          </w:p>
        </w:tc>
        <w:tc>
          <w:tcPr>
            <w:tcW w:w="0" w:type="auto"/>
            <w:shd w:val="clear" w:color="auto" w:fill="FFFFFF"/>
            <w:tcMar>
              <w:top w:w="40" w:type="dxa"/>
              <w:left w:w="0" w:type="dxa"/>
              <w:bottom w:w="40" w:type="dxa"/>
              <w:right w:w="20" w:type="dxa"/>
            </w:tcMar>
            <w:vAlign w:val="bottom"/>
          </w:tcPr>
          <w:p w14:paraId="5406601C" w14:textId="77777777" w:rsidR="00611BDD" w:rsidRDefault="00611BDD">
            <w:pPr>
              <w:jc w:val="right"/>
              <w:rPr>
                <w:rFonts w:ascii="宋体"/>
              </w:rPr>
            </w:pPr>
          </w:p>
        </w:tc>
      </w:tr>
      <w:tr w:rsidR="00611BDD" w14:paraId="54066026" w14:textId="77777777">
        <w:trPr>
          <w:jc w:val="center"/>
          <w:hidden/>
        </w:trPr>
        <w:tc>
          <w:tcPr>
            <w:tcW w:w="0" w:type="auto"/>
            <w:gridSpan w:val="3"/>
            <w:shd w:val="clear" w:color="auto" w:fill="auto"/>
            <w:vAlign w:val="bottom"/>
          </w:tcPr>
          <w:p w14:paraId="5406601E" w14:textId="77777777" w:rsidR="00611BDD" w:rsidRDefault="00611BDD">
            <w:pPr>
              <w:rPr>
                <w:rFonts w:ascii="宋体"/>
                <w:vanish/>
              </w:rPr>
            </w:pPr>
          </w:p>
        </w:tc>
        <w:tc>
          <w:tcPr>
            <w:tcW w:w="0" w:type="auto"/>
            <w:gridSpan w:val="3"/>
            <w:shd w:val="clear" w:color="auto" w:fill="auto"/>
            <w:vAlign w:val="bottom"/>
          </w:tcPr>
          <w:p w14:paraId="5406601F" w14:textId="77777777" w:rsidR="00611BDD" w:rsidRDefault="00611BDD">
            <w:pPr>
              <w:rPr>
                <w:rFonts w:ascii="宋体"/>
                <w:vanish/>
              </w:rPr>
            </w:pPr>
          </w:p>
        </w:tc>
        <w:tc>
          <w:tcPr>
            <w:tcW w:w="0" w:type="auto"/>
            <w:gridSpan w:val="3"/>
            <w:shd w:val="clear" w:color="auto" w:fill="auto"/>
            <w:vAlign w:val="bottom"/>
          </w:tcPr>
          <w:p w14:paraId="54066020" w14:textId="77777777" w:rsidR="00611BDD" w:rsidRDefault="00611BDD">
            <w:pPr>
              <w:rPr>
                <w:rFonts w:ascii="宋体"/>
                <w:vanish/>
              </w:rPr>
            </w:pPr>
          </w:p>
        </w:tc>
        <w:tc>
          <w:tcPr>
            <w:tcW w:w="0" w:type="auto"/>
            <w:gridSpan w:val="3"/>
            <w:shd w:val="clear" w:color="auto" w:fill="auto"/>
            <w:vAlign w:val="bottom"/>
          </w:tcPr>
          <w:p w14:paraId="54066021" w14:textId="77777777" w:rsidR="00611BDD" w:rsidRDefault="00611BDD">
            <w:pPr>
              <w:rPr>
                <w:rFonts w:ascii="宋体"/>
                <w:vanish/>
              </w:rPr>
            </w:pPr>
          </w:p>
        </w:tc>
        <w:tc>
          <w:tcPr>
            <w:tcW w:w="0" w:type="auto"/>
            <w:gridSpan w:val="3"/>
            <w:shd w:val="clear" w:color="auto" w:fill="auto"/>
            <w:vAlign w:val="bottom"/>
          </w:tcPr>
          <w:p w14:paraId="54066022" w14:textId="77777777" w:rsidR="00611BDD" w:rsidRDefault="00611BDD">
            <w:pPr>
              <w:rPr>
                <w:rFonts w:ascii="宋体"/>
                <w:vanish/>
              </w:rPr>
            </w:pPr>
          </w:p>
        </w:tc>
        <w:tc>
          <w:tcPr>
            <w:tcW w:w="0" w:type="auto"/>
            <w:gridSpan w:val="3"/>
            <w:shd w:val="clear" w:color="auto" w:fill="auto"/>
            <w:vAlign w:val="bottom"/>
          </w:tcPr>
          <w:p w14:paraId="54066023" w14:textId="77777777" w:rsidR="00611BDD" w:rsidRDefault="00611BDD">
            <w:pPr>
              <w:rPr>
                <w:rFonts w:ascii="宋体"/>
                <w:vanish/>
              </w:rPr>
            </w:pPr>
          </w:p>
        </w:tc>
        <w:tc>
          <w:tcPr>
            <w:tcW w:w="0" w:type="auto"/>
            <w:gridSpan w:val="3"/>
            <w:shd w:val="clear" w:color="auto" w:fill="auto"/>
            <w:vAlign w:val="bottom"/>
          </w:tcPr>
          <w:p w14:paraId="54066024" w14:textId="77777777" w:rsidR="00611BDD" w:rsidRDefault="00611BDD">
            <w:pPr>
              <w:rPr>
                <w:rFonts w:ascii="宋体"/>
                <w:vanish/>
              </w:rPr>
            </w:pPr>
          </w:p>
        </w:tc>
        <w:tc>
          <w:tcPr>
            <w:tcW w:w="0" w:type="auto"/>
            <w:gridSpan w:val="3"/>
            <w:shd w:val="clear" w:color="auto" w:fill="auto"/>
            <w:vAlign w:val="bottom"/>
          </w:tcPr>
          <w:p w14:paraId="54066025" w14:textId="77777777" w:rsidR="00611BDD" w:rsidRDefault="00611BDD">
            <w:pPr>
              <w:rPr>
                <w:rFonts w:ascii="宋体"/>
                <w:vanish/>
              </w:rPr>
            </w:pPr>
          </w:p>
        </w:tc>
      </w:tr>
      <w:tr w:rsidR="00611BDD" w14:paraId="54066033" w14:textId="77777777">
        <w:trPr>
          <w:jc w:val="center"/>
        </w:trPr>
        <w:tc>
          <w:tcPr>
            <w:tcW w:w="0" w:type="auto"/>
            <w:gridSpan w:val="3"/>
            <w:shd w:val="clear" w:color="auto" w:fill="E2EFD9"/>
            <w:tcMar>
              <w:top w:w="40" w:type="dxa"/>
              <w:left w:w="875" w:type="dxa"/>
              <w:bottom w:w="40" w:type="dxa"/>
              <w:right w:w="20" w:type="dxa"/>
            </w:tcMar>
            <w:vAlign w:val="bottom"/>
          </w:tcPr>
          <w:p w14:paraId="54066027" w14:textId="77777777" w:rsidR="00611BDD" w:rsidRDefault="002E18C7">
            <w:pPr>
              <w:textAlignment w:val="bottom"/>
            </w:pPr>
            <w:r>
              <w:rPr>
                <w:rFonts w:ascii="sans-serif" w:eastAsia="sans-serif" w:hAnsi="sans-serif" w:cs="sans-serif"/>
                <w:color w:val="000000"/>
                <w:sz w:val="20"/>
                <w:szCs w:val="20"/>
              </w:rPr>
              <w:t>Total operating expenses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6028" w14:textId="77777777" w:rsidR="00611BDD" w:rsidRDefault="002E18C7">
            <w:pPr>
              <w:jc w:val="right"/>
              <w:textAlignment w:val="bottom"/>
            </w:pPr>
            <w:r>
              <w:rPr>
                <w:rFonts w:ascii="sans-serif" w:eastAsia="sans-serif" w:hAnsi="sans-serif" w:cs="sans-serif"/>
                <w:color w:val="000000"/>
                <w:sz w:val="20"/>
                <w:szCs w:val="20"/>
              </w:rPr>
              <w:t>1,771 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02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02A" w14:textId="77777777" w:rsidR="00611BDD" w:rsidRDefault="00611BD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602B" w14:textId="77777777" w:rsidR="00611BDD" w:rsidRDefault="002E18C7">
            <w:pPr>
              <w:jc w:val="right"/>
              <w:textAlignment w:val="bottom"/>
            </w:pPr>
            <w:r>
              <w:rPr>
                <w:rFonts w:ascii="sans-serif" w:eastAsia="sans-serif" w:hAnsi="sans-serif" w:cs="sans-serif"/>
                <w:color w:val="000000"/>
                <w:sz w:val="20"/>
                <w:szCs w:val="20"/>
              </w:rPr>
              <w:t>1,624 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02C"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02D" w14:textId="77777777" w:rsidR="00611BDD" w:rsidRDefault="00611BD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602E" w14:textId="77777777" w:rsidR="00611BDD" w:rsidRDefault="002E18C7">
            <w:pPr>
              <w:jc w:val="right"/>
              <w:textAlignment w:val="bottom"/>
            </w:pPr>
            <w:r>
              <w:rPr>
                <w:rFonts w:ascii="sans-serif" w:eastAsia="sans-serif" w:hAnsi="sans-serif" w:cs="sans-serif"/>
                <w:color w:val="000000"/>
                <w:sz w:val="20"/>
                <w:szCs w:val="20"/>
              </w:rPr>
              <w:t>3,444 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02F"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030" w14:textId="77777777" w:rsidR="00611BDD" w:rsidRDefault="00611BD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6031" w14:textId="77777777" w:rsidR="00611BDD" w:rsidRDefault="002E18C7">
            <w:pPr>
              <w:jc w:val="right"/>
              <w:textAlignment w:val="bottom"/>
            </w:pPr>
            <w:r>
              <w:rPr>
                <w:rFonts w:ascii="sans-serif" w:eastAsia="sans-serif" w:hAnsi="sans-serif" w:cs="sans-serif"/>
                <w:color w:val="000000"/>
                <w:sz w:val="20"/>
                <w:szCs w:val="20"/>
              </w:rPr>
              <w:t>2,652 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032" w14:textId="77777777" w:rsidR="00611BDD" w:rsidRDefault="00611BDD">
            <w:pPr>
              <w:jc w:val="right"/>
              <w:rPr>
                <w:rFonts w:ascii="宋体"/>
              </w:rPr>
            </w:pPr>
          </w:p>
        </w:tc>
      </w:tr>
      <w:tr w:rsidR="00611BDD" w14:paraId="54066040" w14:textId="77777777">
        <w:trPr>
          <w:jc w:val="center"/>
        </w:trPr>
        <w:tc>
          <w:tcPr>
            <w:tcW w:w="0" w:type="auto"/>
            <w:gridSpan w:val="3"/>
            <w:shd w:val="clear" w:color="auto" w:fill="FFFFFF"/>
            <w:tcMar>
              <w:top w:w="40" w:type="dxa"/>
              <w:left w:w="20" w:type="dxa"/>
              <w:bottom w:w="40" w:type="dxa"/>
              <w:right w:w="20" w:type="dxa"/>
            </w:tcMar>
            <w:vAlign w:val="bottom"/>
          </w:tcPr>
          <w:p w14:paraId="54066034" w14:textId="77777777" w:rsidR="00611BDD" w:rsidRDefault="002E18C7">
            <w:pPr>
              <w:textAlignment w:val="bottom"/>
            </w:pPr>
            <w:r>
              <w:rPr>
                <w:rFonts w:ascii="sans-serif" w:eastAsia="sans-serif" w:hAnsi="sans-serif" w:cs="sans-serif"/>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035" w14:textId="77777777" w:rsidR="00611BDD" w:rsidRDefault="002E18C7">
            <w:pPr>
              <w:jc w:val="right"/>
              <w:textAlignment w:val="bottom"/>
            </w:pPr>
            <w:r>
              <w:rPr>
                <w:rFonts w:ascii="sans-serif" w:eastAsia="sans-serif" w:hAnsi="sans-serif" w:cs="sans-serif"/>
                <w:color w:val="000000"/>
                <w:sz w:val="20"/>
                <w:szCs w:val="20"/>
              </w:rPr>
              <w:t>2,444 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03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037"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038" w14:textId="77777777" w:rsidR="00611BDD" w:rsidRDefault="002E18C7">
            <w:pPr>
              <w:jc w:val="right"/>
              <w:textAlignment w:val="bottom"/>
            </w:pPr>
            <w:r>
              <w:rPr>
                <w:rFonts w:ascii="sans-serif" w:eastAsia="sans-serif" w:hAnsi="sans-serif" w:cs="sans-serif"/>
                <w:color w:val="000000"/>
                <w:sz w:val="20"/>
                <w:szCs w:val="20"/>
              </w:rPr>
              <w:t>651 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03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03A"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03B" w14:textId="77777777" w:rsidR="00611BDD" w:rsidRDefault="002E18C7">
            <w:pPr>
              <w:jc w:val="right"/>
              <w:textAlignment w:val="bottom"/>
            </w:pPr>
            <w:r>
              <w:rPr>
                <w:rFonts w:ascii="sans-serif" w:eastAsia="sans-serif" w:hAnsi="sans-serif" w:cs="sans-serif"/>
                <w:color w:val="000000"/>
                <w:sz w:val="20"/>
                <w:szCs w:val="20"/>
              </w:rPr>
              <w:t>4,400 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03C"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03D"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03E" w14:textId="77777777" w:rsidR="00611BDD" w:rsidRDefault="002E18C7">
            <w:pPr>
              <w:jc w:val="right"/>
              <w:textAlignment w:val="bottom"/>
            </w:pPr>
            <w:r>
              <w:rPr>
                <w:rFonts w:ascii="sans-serif" w:eastAsia="sans-serif" w:hAnsi="sans-serif" w:cs="sans-serif"/>
                <w:color w:val="000000"/>
                <w:sz w:val="20"/>
                <w:szCs w:val="20"/>
              </w:rPr>
              <w:t>1,627 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03F" w14:textId="77777777" w:rsidR="00611BDD" w:rsidRDefault="00611BDD">
            <w:pPr>
              <w:jc w:val="right"/>
              <w:rPr>
                <w:rFonts w:ascii="宋体"/>
              </w:rPr>
            </w:pPr>
          </w:p>
        </w:tc>
      </w:tr>
      <w:tr w:rsidR="00611BDD" w14:paraId="5406604D" w14:textId="77777777">
        <w:trPr>
          <w:jc w:val="center"/>
        </w:trPr>
        <w:tc>
          <w:tcPr>
            <w:tcW w:w="0" w:type="auto"/>
            <w:gridSpan w:val="3"/>
            <w:shd w:val="clear" w:color="auto" w:fill="E2EFD9"/>
            <w:tcMar>
              <w:top w:w="40" w:type="dxa"/>
              <w:left w:w="515" w:type="dxa"/>
              <w:bottom w:w="40" w:type="dxa"/>
              <w:right w:w="20" w:type="dxa"/>
            </w:tcMar>
            <w:vAlign w:val="bottom"/>
          </w:tcPr>
          <w:p w14:paraId="54066041" w14:textId="77777777" w:rsidR="00611BDD" w:rsidRDefault="002E18C7">
            <w:pPr>
              <w:textAlignment w:val="bottom"/>
            </w:pPr>
            <w:r>
              <w:rPr>
                <w:rFonts w:ascii="sans-serif" w:eastAsia="sans-serif" w:hAnsi="sans-serif" w:cs="sans-serif"/>
                <w:color w:val="000000"/>
                <w:sz w:val="20"/>
                <w:szCs w:val="20"/>
              </w:rPr>
              <w:t>Interest income</w:t>
            </w:r>
          </w:p>
        </w:tc>
        <w:tc>
          <w:tcPr>
            <w:tcW w:w="0" w:type="auto"/>
            <w:gridSpan w:val="2"/>
            <w:shd w:val="clear" w:color="auto" w:fill="E2EFD9"/>
            <w:tcMar>
              <w:top w:w="40" w:type="dxa"/>
              <w:left w:w="20" w:type="dxa"/>
              <w:bottom w:w="40" w:type="dxa"/>
              <w:right w:w="0" w:type="dxa"/>
            </w:tcMar>
            <w:vAlign w:val="bottom"/>
          </w:tcPr>
          <w:p w14:paraId="54066042" w14:textId="77777777" w:rsidR="00611BDD" w:rsidRDefault="002E18C7">
            <w:pPr>
              <w:jc w:val="right"/>
              <w:textAlignment w:val="bottom"/>
            </w:pPr>
            <w:r>
              <w:rPr>
                <w:rFonts w:ascii="sans-serif" w:eastAsia="sans-serif" w:hAnsi="sans-serif" w:cs="sans-serif"/>
                <w:color w:val="000000"/>
                <w:sz w:val="20"/>
                <w:szCs w:val="20"/>
              </w:rPr>
              <w:t>6 </w:t>
            </w:r>
          </w:p>
        </w:tc>
        <w:tc>
          <w:tcPr>
            <w:tcW w:w="0" w:type="auto"/>
            <w:shd w:val="clear" w:color="auto" w:fill="E2EFD9"/>
            <w:tcMar>
              <w:top w:w="40" w:type="dxa"/>
              <w:left w:w="0" w:type="dxa"/>
              <w:bottom w:w="40" w:type="dxa"/>
              <w:right w:w="20" w:type="dxa"/>
            </w:tcMar>
            <w:vAlign w:val="bottom"/>
          </w:tcPr>
          <w:p w14:paraId="5406604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044"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045" w14:textId="77777777" w:rsidR="00611BDD" w:rsidRDefault="002E18C7">
            <w:pPr>
              <w:jc w:val="right"/>
              <w:textAlignment w:val="bottom"/>
            </w:pPr>
            <w:r>
              <w:rPr>
                <w:rFonts w:ascii="sans-serif" w:eastAsia="sans-serif" w:hAnsi="sans-serif" w:cs="sans-serif"/>
                <w:color w:val="000000"/>
                <w:sz w:val="20"/>
                <w:szCs w:val="20"/>
              </w:rPr>
              <w:t>13 </w:t>
            </w:r>
          </w:p>
        </w:tc>
        <w:tc>
          <w:tcPr>
            <w:tcW w:w="0" w:type="auto"/>
            <w:shd w:val="clear" w:color="auto" w:fill="E2EFD9"/>
            <w:tcMar>
              <w:top w:w="40" w:type="dxa"/>
              <w:left w:w="0" w:type="dxa"/>
              <w:bottom w:w="40" w:type="dxa"/>
              <w:right w:w="20" w:type="dxa"/>
            </w:tcMar>
            <w:vAlign w:val="bottom"/>
          </w:tcPr>
          <w:p w14:paraId="5406604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047"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048" w14:textId="77777777" w:rsidR="00611BDD" w:rsidRDefault="002E18C7">
            <w:pPr>
              <w:jc w:val="right"/>
              <w:textAlignment w:val="bottom"/>
            </w:pPr>
            <w:r>
              <w:rPr>
                <w:rFonts w:ascii="sans-serif" w:eastAsia="sans-serif" w:hAnsi="sans-serif" w:cs="sans-serif"/>
                <w:color w:val="000000"/>
                <w:sz w:val="20"/>
                <w:szCs w:val="20"/>
              </w:rPr>
              <w:t>13 </w:t>
            </w:r>
          </w:p>
        </w:tc>
        <w:tc>
          <w:tcPr>
            <w:tcW w:w="0" w:type="auto"/>
            <w:shd w:val="clear" w:color="auto" w:fill="E2EFD9"/>
            <w:tcMar>
              <w:top w:w="40" w:type="dxa"/>
              <w:left w:w="0" w:type="dxa"/>
              <w:bottom w:w="40" w:type="dxa"/>
              <w:right w:w="20" w:type="dxa"/>
            </w:tcMar>
            <w:vAlign w:val="bottom"/>
          </w:tcPr>
          <w:p w14:paraId="5406604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04A"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04B" w14:textId="77777777" w:rsidR="00611BDD" w:rsidRDefault="002E18C7">
            <w:pPr>
              <w:jc w:val="right"/>
              <w:textAlignment w:val="bottom"/>
            </w:pPr>
            <w:r>
              <w:rPr>
                <w:rFonts w:ascii="sans-serif" w:eastAsia="sans-serif" w:hAnsi="sans-serif" w:cs="sans-serif"/>
                <w:color w:val="000000"/>
                <w:sz w:val="20"/>
                <w:szCs w:val="20"/>
              </w:rPr>
              <w:t>44 </w:t>
            </w:r>
          </w:p>
        </w:tc>
        <w:tc>
          <w:tcPr>
            <w:tcW w:w="0" w:type="auto"/>
            <w:shd w:val="clear" w:color="auto" w:fill="E2EFD9"/>
            <w:tcMar>
              <w:top w:w="40" w:type="dxa"/>
              <w:left w:w="0" w:type="dxa"/>
              <w:bottom w:w="40" w:type="dxa"/>
              <w:right w:w="20" w:type="dxa"/>
            </w:tcMar>
            <w:vAlign w:val="bottom"/>
          </w:tcPr>
          <w:p w14:paraId="5406604C" w14:textId="77777777" w:rsidR="00611BDD" w:rsidRDefault="00611BDD">
            <w:pPr>
              <w:jc w:val="right"/>
              <w:rPr>
                <w:rFonts w:ascii="宋体"/>
              </w:rPr>
            </w:pPr>
          </w:p>
        </w:tc>
      </w:tr>
      <w:tr w:rsidR="00611BDD" w14:paraId="5406605A" w14:textId="77777777">
        <w:trPr>
          <w:jc w:val="center"/>
        </w:trPr>
        <w:tc>
          <w:tcPr>
            <w:tcW w:w="0" w:type="auto"/>
            <w:gridSpan w:val="3"/>
            <w:shd w:val="clear" w:color="auto" w:fill="FFFFFF"/>
            <w:tcMar>
              <w:top w:w="40" w:type="dxa"/>
              <w:left w:w="515" w:type="dxa"/>
              <w:bottom w:w="40" w:type="dxa"/>
              <w:right w:w="20" w:type="dxa"/>
            </w:tcMar>
            <w:vAlign w:val="bottom"/>
          </w:tcPr>
          <w:p w14:paraId="5406604E" w14:textId="77777777" w:rsidR="00611BDD" w:rsidRDefault="002E18C7">
            <w:pPr>
              <w:textAlignment w:val="bottom"/>
            </w:pPr>
            <w:r>
              <w:rPr>
                <w:rFonts w:ascii="sans-serif" w:eastAsia="sans-serif" w:hAnsi="sans-serif" w:cs="sans-serif"/>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5406604F" w14:textId="77777777" w:rsidR="00611BDD" w:rsidRDefault="002E18C7">
            <w:pPr>
              <w:jc w:val="right"/>
              <w:textAlignment w:val="bottom"/>
            </w:pPr>
            <w:r>
              <w:rPr>
                <w:rFonts w:ascii="sans-serif" w:eastAsia="sans-serif" w:hAnsi="sans-serif" w:cs="sans-serif"/>
                <w:color w:val="000000"/>
                <w:sz w:val="20"/>
                <w:szCs w:val="20"/>
              </w:rPr>
              <w:t>(60)</w:t>
            </w:r>
          </w:p>
        </w:tc>
        <w:tc>
          <w:tcPr>
            <w:tcW w:w="0" w:type="auto"/>
            <w:shd w:val="clear" w:color="auto" w:fill="FFFFFF"/>
            <w:tcMar>
              <w:top w:w="40" w:type="dxa"/>
              <w:left w:w="0" w:type="dxa"/>
              <w:bottom w:w="40" w:type="dxa"/>
              <w:right w:w="20" w:type="dxa"/>
            </w:tcMar>
            <w:vAlign w:val="bottom"/>
          </w:tcPr>
          <w:p w14:paraId="54066050"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051"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052" w14:textId="77777777" w:rsidR="00611BDD" w:rsidRDefault="002E18C7">
            <w:pPr>
              <w:jc w:val="right"/>
              <w:textAlignment w:val="bottom"/>
            </w:pPr>
            <w:r>
              <w:rPr>
                <w:rFonts w:ascii="sans-serif" w:eastAsia="sans-serif" w:hAnsi="sans-serif" w:cs="sans-serif"/>
                <w:color w:val="000000"/>
                <w:sz w:val="20"/>
                <w:szCs w:val="20"/>
              </w:rPr>
              <w:t>(54)</w:t>
            </w:r>
          </w:p>
        </w:tc>
        <w:tc>
          <w:tcPr>
            <w:tcW w:w="0" w:type="auto"/>
            <w:shd w:val="clear" w:color="auto" w:fill="FFFFFF"/>
            <w:tcMar>
              <w:top w:w="40" w:type="dxa"/>
              <w:left w:w="0" w:type="dxa"/>
              <w:bottom w:w="40" w:type="dxa"/>
              <w:right w:w="20" w:type="dxa"/>
            </w:tcMar>
            <w:vAlign w:val="bottom"/>
          </w:tcPr>
          <w:p w14:paraId="5406605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054"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055" w14:textId="77777777" w:rsidR="00611BDD" w:rsidRDefault="002E18C7">
            <w:pPr>
              <w:jc w:val="right"/>
              <w:textAlignment w:val="bottom"/>
            </w:pPr>
            <w:r>
              <w:rPr>
                <w:rFonts w:ascii="sans-serif" w:eastAsia="sans-serif" w:hAnsi="sans-serif" w:cs="sans-serif"/>
                <w:color w:val="000000"/>
                <w:sz w:val="20"/>
                <w:szCs w:val="20"/>
              </w:rPr>
              <w:t>(113)</w:t>
            </w:r>
          </w:p>
        </w:tc>
        <w:tc>
          <w:tcPr>
            <w:tcW w:w="0" w:type="auto"/>
            <w:shd w:val="clear" w:color="auto" w:fill="FFFFFF"/>
            <w:tcMar>
              <w:top w:w="40" w:type="dxa"/>
              <w:left w:w="0" w:type="dxa"/>
              <w:bottom w:w="40" w:type="dxa"/>
              <w:right w:w="20" w:type="dxa"/>
            </w:tcMar>
            <w:vAlign w:val="bottom"/>
          </w:tcPr>
          <w:p w14:paraId="5406605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057"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058" w14:textId="77777777" w:rsidR="00611BDD" w:rsidRDefault="002E18C7">
            <w:pPr>
              <w:jc w:val="right"/>
              <w:textAlignment w:val="bottom"/>
            </w:pPr>
            <w:r>
              <w:rPr>
                <w:rFonts w:ascii="sans-serif" w:eastAsia="sans-serif" w:hAnsi="sans-serif" w:cs="sans-serif"/>
                <w:color w:val="000000"/>
                <w:sz w:val="20"/>
                <w:szCs w:val="20"/>
              </w:rPr>
              <w:t>(78)</w:t>
            </w:r>
          </w:p>
        </w:tc>
        <w:tc>
          <w:tcPr>
            <w:tcW w:w="0" w:type="auto"/>
            <w:shd w:val="clear" w:color="auto" w:fill="FFFFFF"/>
            <w:tcMar>
              <w:top w:w="40" w:type="dxa"/>
              <w:left w:w="0" w:type="dxa"/>
              <w:bottom w:w="40" w:type="dxa"/>
              <w:right w:w="20" w:type="dxa"/>
            </w:tcMar>
            <w:vAlign w:val="bottom"/>
          </w:tcPr>
          <w:p w14:paraId="54066059" w14:textId="77777777" w:rsidR="00611BDD" w:rsidRDefault="00611BDD">
            <w:pPr>
              <w:jc w:val="right"/>
              <w:rPr>
                <w:rFonts w:ascii="宋体"/>
              </w:rPr>
            </w:pPr>
          </w:p>
        </w:tc>
      </w:tr>
      <w:tr w:rsidR="00611BDD" w14:paraId="54066067" w14:textId="77777777">
        <w:trPr>
          <w:jc w:val="center"/>
        </w:trPr>
        <w:tc>
          <w:tcPr>
            <w:tcW w:w="0" w:type="auto"/>
            <w:gridSpan w:val="3"/>
            <w:shd w:val="clear" w:color="auto" w:fill="E2EFD9"/>
            <w:tcMar>
              <w:top w:w="40" w:type="dxa"/>
              <w:left w:w="515" w:type="dxa"/>
              <w:bottom w:w="40" w:type="dxa"/>
              <w:right w:w="20" w:type="dxa"/>
            </w:tcMar>
            <w:vAlign w:val="bottom"/>
          </w:tcPr>
          <w:p w14:paraId="5406605B" w14:textId="77777777" w:rsidR="00611BDD" w:rsidRDefault="002E18C7">
            <w:pPr>
              <w:textAlignment w:val="bottom"/>
            </w:pPr>
            <w:r>
              <w:rPr>
                <w:rFonts w:ascii="sans-serif" w:eastAsia="sans-serif" w:hAnsi="sans-serif" w:cs="sans-serif"/>
                <w:color w:val="000000"/>
                <w:sz w:val="20"/>
                <w:szCs w:val="20"/>
              </w:rPr>
              <w:t>Other, net</w:t>
            </w:r>
          </w:p>
        </w:tc>
        <w:tc>
          <w:tcPr>
            <w:tcW w:w="0" w:type="auto"/>
            <w:gridSpan w:val="2"/>
            <w:shd w:val="clear" w:color="auto" w:fill="E2EFD9"/>
            <w:tcMar>
              <w:top w:w="40" w:type="dxa"/>
              <w:left w:w="20" w:type="dxa"/>
              <w:bottom w:w="40" w:type="dxa"/>
              <w:right w:w="0" w:type="dxa"/>
            </w:tcMar>
            <w:vAlign w:val="bottom"/>
          </w:tcPr>
          <w:p w14:paraId="5406605C" w14:textId="77777777" w:rsidR="00611BDD" w:rsidRDefault="002E18C7">
            <w:pPr>
              <w:jc w:val="right"/>
              <w:textAlignment w:val="bottom"/>
            </w:pPr>
            <w:r>
              <w:rPr>
                <w:rFonts w:ascii="sans-serif" w:eastAsia="sans-serif" w:hAnsi="sans-serif" w:cs="sans-serif"/>
                <w:color w:val="000000"/>
                <w:sz w:val="20"/>
                <w:szCs w:val="20"/>
              </w:rPr>
              <w:t>4 </w:t>
            </w:r>
          </w:p>
        </w:tc>
        <w:tc>
          <w:tcPr>
            <w:tcW w:w="0" w:type="auto"/>
            <w:shd w:val="clear" w:color="auto" w:fill="E2EFD9"/>
            <w:tcMar>
              <w:top w:w="40" w:type="dxa"/>
              <w:left w:w="0" w:type="dxa"/>
              <w:bottom w:w="40" w:type="dxa"/>
              <w:right w:w="20" w:type="dxa"/>
            </w:tcMar>
            <w:vAlign w:val="bottom"/>
          </w:tcPr>
          <w:p w14:paraId="5406605D"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05E"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05F" w14:textId="77777777" w:rsidR="00611BDD" w:rsidRDefault="002E18C7">
            <w:pPr>
              <w:jc w:val="right"/>
              <w:textAlignment w:val="bottom"/>
            </w:pPr>
            <w:r>
              <w:rPr>
                <w:rFonts w:ascii="sans-serif" w:eastAsia="sans-serif" w:hAnsi="sans-serif" w:cs="sans-serif"/>
                <w:color w:val="000000"/>
                <w:sz w:val="20"/>
                <w:szCs w:val="20"/>
              </w:rPr>
              <w:t>(1)</w:t>
            </w:r>
          </w:p>
        </w:tc>
        <w:tc>
          <w:tcPr>
            <w:tcW w:w="0" w:type="auto"/>
            <w:shd w:val="clear" w:color="auto" w:fill="E2EFD9"/>
            <w:tcMar>
              <w:top w:w="40" w:type="dxa"/>
              <w:left w:w="0" w:type="dxa"/>
              <w:bottom w:w="40" w:type="dxa"/>
              <w:right w:w="20" w:type="dxa"/>
            </w:tcMar>
            <w:vAlign w:val="bottom"/>
          </w:tcPr>
          <w:p w14:paraId="54066060"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061"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062" w14:textId="77777777" w:rsidR="00611BDD" w:rsidRDefault="002E18C7">
            <w:pPr>
              <w:jc w:val="right"/>
              <w:textAlignment w:val="bottom"/>
            </w:pPr>
            <w:r>
              <w:rPr>
                <w:rFonts w:ascii="sans-serif" w:eastAsia="sans-serif" w:hAnsi="sans-serif" w:cs="sans-serif"/>
                <w:color w:val="000000"/>
                <w:sz w:val="20"/>
                <w:szCs w:val="20"/>
              </w:rPr>
              <w:t>138 </w:t>
            </w:r>
          </w:p>
        </w:tc>
        <w:tc>
          <w:tcPr>
            <w:tcW w:w="0" w:type="auto"/>
            <w:shd w:val="clear" w:color="auto" w:fill="E2EFD9"/>
            <w:tcMar>
              <w:top w:w="40" w:type="dxa"/>
              <w:left w:w="0" w:type="dxa"/>
              <w:bottom w:w="40" w:type="dxa"/>
              <w:right w:w="20" w:type="dxa"/>
            </w:tcMar>
            <w:vAlign w:val="bottom"/>
          </w:tcPr>
          <w:p w14:paraId="5406606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064"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065" w14:textId="77777777" w:rsidR="00611BDD" w:rsidRDefault="002E18C7">
            <w:pPr>
              <w:jc w:val="right"/>
              <w:textAlignment w:val="bottom"/>
            </w:pPr>
            <w:r>
              <w:rPr>
                <w:rFonts w:ascii="sans-serif" w:eastAsia="sans-serif" w:hAnsi="sans-serif" w:cs="sans-serif"/>
                <w:color w:val="000000"/>
                <w:sz w:val="20"/>
                <w:szCs w:val="20"/>
              </w:rPr>
              <w:t>(2)</w:t>
            </w:r>
          </w:p>
        </w:tc>
        <w:tc>
          <w:tcPr>
            <w:tcW w:w="0" w:type="auto"/>
            <w:shd w:val="clear" w:color="auto" w:fill="E2EFD9"/>
            <w:tcMar>
              <w:top w:w="40" w:type="dxa"/>
              <w:left w:w="0" w:type="dxa"/>
              <w:bottom w:w="40" w:type="dxa"/>
              <w:right w:w="20" w:type="dxa"/>
            </w:tcMar>
            <w:vAlign w:val="bottom"/>
          </w:tcPr>
          <w:p w14:paraId="54066066" w14:textId="77777777" w:rsidR="00611BDD" w:rsidRDefault="00611BDD">
            <w:pPr>
              <w:jc w:val="right"/>
              <w:rPr>
                <w:rFonts w:ascii="宋体"/>
              </w:rPr>
            </w:pPr>
          </w:p>
        </w:tc>
      </w:tr>
      <w:tr w:rsidR="00611BDD" w14:paraId="54066074" w14:textId="77777777">
        <w:trPr>
          <w:jc w:val="center"/>
        </w:trPr>
        <w:tc>
          <w:tcPr>
            <w:tcW w:w="0" w:type="auto"/>
            <w:gridSpan w:val="3"/>
            <w:shd w:val="clear" w:color="auto" w:fill="FFFFFF"/>
            <w:tcMar>
              <w:top w:w="40" w:type="dxa"/>
              <w:left w:w="20" w:type="dxa"/>
              <w:bottom w:w="40" w:type="dxa"/>
              <w:right w:w="20" w:type="dxa"/>
            </w:tcMar>
            <w:vAlign w:val="bottom"/>
          </w:tcPr>
          <w:p w14:paraId="54066068" w14:textId="77777777" w:rsidR="00611BDD" w:rsidRDefault="002E18C7">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Other income (expense), net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069" w14:textId="77777777" w:rsidR="00611BDD" w:rsidRDefault="002E18C7">
            <w:pPr>
              <w:jc w:val="right"/>
              <w:textAlignment w:val="bottom"/>
            </w:pPr>
            <w:r>
              <w:rPr>
                <w:rFonts w:ascii="sans-serif" w:eastAsia="sans-serif" w:hAnsi="sans-serif" w:cs="sans-serif"/>
                <w:color w:val="000000"/>
                <w:sz w:val="20"/>
                <w:szCs w:val="20"/>
              </w:rPr>
              <w:t>(50)</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06A"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06B"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06C" w14:textId="77777777" w:rsidR="00611BDD" w:rsidRDefault="002E18C7">
            <w:pPr>
              <w:jc w:val="right"/>
              <w:textAlignment w:val="bottom"/>
            </w:pPr>
            <w:r>
              <w:rPr>
                <w:rFonts w:ascii="sans-serif" w:eastAsia="sans-serif" w:hAnsi="sans-serif" w:cs="sans-serif"/>
                <w:color w:val="000000"/>
                <w:sz w:val="20"/>
                <w:szCs w:val="20"/>
              </w:rPr>
              <w:t>(42)</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06D"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06E"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06F" w14:textId="77777777" w:rsidR="00611BDD" w:rsidRDefault="002E18C7">
            <w:pPr>
              <w:jc w:val="right"/>
              <w:textAlignment w:val="bottom"/>
            </w:pPr>
            <w:r>
              <w:rPr>
                <w:rFonts w:ascii="sans-serif" w:eastAsia="sans-serif" w:hAnsi="sans-serif" w:cs="sans-serif"/>
                <w:color w:val="000000"/>
                <w:sz w:val="20"/>
                <w:szCs w:val="20"/>
              </w:rPr>
              <w:t>38 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070"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071"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072" w14:textId="77777777" w:rsidR="00611BDD" w:rsidRDefault="002E18C7">
            <w:pPr>
              <w:jc w:val="right"/>
              <w:textAlignment w:val="bottom"/>
            </w:pPr>
            <w:r>
              <w:rPr>
                <w:rFonts w:ascii="sans-serif" w:eastAsia="sans-serif" w:hAnsi="sans-serif" w:cs="sans-serif"/>
                <w:color w:val="000000"/>
                <w:sz w:val="20"/>
                <w:szCs w:val="20"/>
              </w:rPr>
              <w:t>(36)</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073" w14:textId="77777777" w:rsidR="00611BDD" w:rsidRDefault="00611BDD">
            <w:pPr>
              <w:jc w:val="right"/>
              <w:rPr>
                <w:rFonts w:ascii="宋体"/>
              </w:rPr>
            </w:pPr>
          </w:p>
        </w:tc>
      </w:tr>
      <w:tr w:rsidR="00611BDD" w14:paraId="54066081" w14:textId="77777777">
        <w:trPr>
          <w:jc w:val="center"/>
        </w:trPr>
        <w:tc>
          <w:tcPr>
            <w:tcW w:w="0" w:type="auto"/>
            <w:gridSpan w:val="3"/>
            <w:shd w:val="clear" w:color="auto" w:fill="E2EFD9"/>
            <w:tcMar>
              <w:top w:w="40" w:type="dxa"/>
              <w:left w:w="20" w:type="dxa"/>
              <w:bottom w:w="40" w:type="dxa"/>
              <w:right w:w="20" w:type="dxa"/>
            </w:tcMar>
            <w:vAlign w:val="bottom"/>
          </w:tcPr>
          <w:p w14:paraId="54066075" w14:textId="77777777" w:rsidR="00611BDD" w:rsidRDefault="002E18C7">
            <w:pPr>
              <w:textAlignment w:val="bottom"/>
            </w:pPr>
            <w:r>
              <w:rPr>
                <w:rFonts w:ascii="sans-serif" w:eastAsia="sans-serif" w:hAnsi="sans-serif" w:cs="sans-serif"/>
                <w:color w:val="000000"/>
                <w:sz w:val="20"/>
                <w:szCs w:val="20"/>
              </w:rPr>
              <w:t>Income before income tax</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6076" w14:textId="77777777" w:rsidR="00611BDD" w:rsidRDefault="002E18C7">
            <w:pPr>
              <w:jc w:val="right"/>
              <w:textAlignment w:val="bottom"/>
            </w:pPr>
            <w:r>
              <w:rPr>
                <w:rFonts w:ascii="sans-serif" w:eastAsia="sans-serif" w:hAnsi="sans-serif" w:cs="sans-serif"/>
                <w:color w:val="000000"/>
                <w:sz w:val="20"/>
                <w:szCs w:val="20"/>
              </w:rPr>
              <w:t>2,394 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077"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078" w14:textId="77777777" w:rsidR="00611BDD" w:rsidRDefault="00611BD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6079" w14:textId="77777777" w:rsidR="00611BDD" w:rsidRDefault="002E18C7">
            <w:pPr>
              <w:jc w:val="right"/>
              <w:textAlignment w:val="bottom"/>
            </w:pPr>
            <w:r>
              <w:rPr>
                <w:rFonts w:ascii="sans-serif" w:eastAsia="sans-serif" w:hAnsi="sans-serif" w:cs="sans-serif"/>
                <w:color w:val="000000"/>
                <w:sz w:val="20"/>
                <w:szCs w:val="20"/>
              </w:rPr>
              <w:t>609 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07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07B" w14:textId="77777777" w:rsidR="00611BDD" w:rsidRDefault="00611BD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607C" w14:textId="77777777" w:rsidR="00611BDD" w:rsidRDefault="002E18C7">
            <w:pPr>
              <w:jc w:val="right"/>
              <w:textAlignment w:val="bottom"/>
            </w:pPr>
            <w:r>
              <w:rPr>
                <w:rFonts w:ascii="sans-serif" w:eastAsia="sans-serif" w:hAnsi="sans-serif" w:cs="sans-serif"/>
                <w:color w:val="000000"/>
                <w:sz w:val="20"/>
                <w:szCs w:val="20"/>
              </w:rPr>
              <w:t>4,438 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07D"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07E" w14:textId="77777777" w:rsidR="00611BDD" w:rsidRDefault="00611BD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607F" w14:textId="77777777" w:rsidR="00611BDD" w:rsidRDefault="002E18C7">
            <w:pPr>
              <w:jc w:val="right"/>
              <w:textAlignment w:val="bottom"/>
            </w:pPr>
            <w:r>
              <w:rPr>
                <w:rFonts w:ascii="sans-serif" w:eastAsia="sans-serif" w:hAnsi="sans-serif" w:cs="sans-serif"/>
                <w:color w:val="000000"/>
                <w:sz w:val="20"/>
                <w:szCs w:val="20"/>
              </w:rPr>
              <w:t>1,591 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080" w14:textId="77777777" w:rsidR="00611BDD" w:rsidRDefault="00611BDD">
            <w:pPr>
              <w:jc w:val="right"/>
              <w:rPr>
                <w:rFonts w:ascii="宋体"/>
              </w:rPr>
            </w:pPr>
          </w:p>
        </w:tc>
      </w:tr>
      <w:tr w:rsidR="00611BDD" w14:paraId="5406608E" w14:textId="77777777">
        <w:trPr>
          <w:jc w:val="center"/>
        </w:trPr>
        <w:tc>
          <w:tcPr>
            <w:tcW w:w="0" w:type="auto"/>
            <w:gridSpan w:val="3"/>
            <w:shd w:val="clear" w:color="auto" w:fill="FFFFFF"/>
            <w:tcMar>
              <w:top w:w="40" w:type="dxa"/>
              <w:left w:w="20" w:type="dxa"/>
              <w:bottom w:w="40" w:type="dxa"/>
              <w:right w:w="20" w:type="dxa"/>
            </w:tcMar>
            <w:vAlign w:val="bottom"/>
          </w:tcPr>
          <w:p w14:paraId="54066082" w14:textId="77777777" w:rsidR="00611BDD" w:rsidRDefault="002E18C7">
            <w:pPr>
              <w:textAlignment w:val="bottom"/>
            </w:pPr>
            <w:r>
              <w:rPr>
                <w:rFonts w:ascii="sans-serif" w:eastAsia="sans-serif" w:hAnsi="sans-serif" w:cs="sans-serif"/>
                <w:color w:val="000000"/>
                <w:sz w:val="20"/>
                <w:szCs w:val="20"/>
              </w:rPr>
              <w:t>Income tax expense (benefit)</w:t>
            </w:r>
          </w:p>
        </w:tc>
        <w:tc>
          <w:tcPr>
            <w:tcW w:w="0" w:type="auto"/>
            <w:gridSpan w:val="2"/>
            <w:shd w:val="clear" w:color="auto" w:fill="FFFFFF"/>
            <w:tcMar>
              <w:top w:w="40" w:type="dxa"/>
              <w:left w:w="20" w:type="dxa"/>
              <w:bottom w:w="40" w:type="dxa"/>
              <w:right w:w="0" w:type="dxa"/>
            </w:tcMar>
            <w:vAlign w:val="bottom"/>
          </w:tcPr>
          <w:p w14:paraId="54066083" w14:textId="77777777" w:rsidR="00611BDD" w:rsidRDefault="002E18C7">
            <w:pPr>
              <w:jc w:val="right"/>
              <w:textAlignment w:val="bottom"/>
            </w:pPr>
            <w:r>
              <w:rPr>
                <w:rFonts w:ascii="sans-serif" w:eastAsia="sans-serif" w:hAnsi="sans-serif" w:cs="sans-serif"/>
                <w:color w:val="000000"/>
                <w:sz w:val="20"/>
                <w:szCs w:val="20"/>
              </w:rPr>
              <w:t>20 </w:t>
            </w:r>
          </w:p>
        </w:tc>
        <w:tc>
          <w:tcPr>
            <w:tcW w:w="0" w:type="auto"/>
            <w:shd w:val="clear" w:color="auto" w:fill="FFFFFF"/>
            <w:tcMar>
              <w:top w:w="40" w:type="dxa"/>
              <w:left w:w="0" w:type="dxa"/>
              <w:bottom w:w="40" w:type="dxa"/>
              <w:right w:w="20" w:type="dxa"/>
            </w:tcMar>
            <w:vAlign w:val="bottom"/>
          </w:tcPr>
          <w:p w14:paraId="54066084"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085"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086" w14:textId="77777777" w:rsidR="00611BDD" w:rsidRDefault="002E18C7">
            <w:pPr>
              <w:jc w:val="right"/>
              <w:textAlignment w:val="bottom"/>
            </w:pPr>
            <w:r>
              <w:rPr>
                <w:rFonts w:ascii="sans-serif" w:eastAsia="sans-serif" w:hAnsi="sans-serif" w:cs="sans-serif"/>
                <w:color w:val="000000"/>
                <w:sz w:val="20"/>
                <w:szCs w:val="20"/>
              </w:rPr>
              <w:t>(13)</w:t>
            </w:r>
          </w:p>
        </w:tc>
        <w:tc>
          <w:tcPr>
            <w:tcW w:w="0" w:type="auto"/>
            <w:shd w:val="clear" w:color="auto" w:fill="FFFFFF"/>
            <w:tcMar>
              <w:top w:w="40" w:type="dxa"/>
              <w:left w:w="0" w:type="dxa"/>
              <w:bottom w:w="40" w:type="dxa"/>
              <w:right w:w="20" w:type="dxa"/>
            </w:tcMar>
            <w:vAlign w:val="bottom"/>
          </w:tcPr>
          <w:p w14:paraId="54066087"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088"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089" w14:textId="77777777" w:rsidR="00611BDD" w:rsidRDefault="002E18C7">
            <w:pPr>
              <w:jc w:val="right"/>
              <w:textAlignment w:val="bottom"/>
            </w:pPr>
            <w:r>
              <w:rPr>
                <w:rFonts w:ascii="sans-serif" w:eastAsia="sans-serif" w:hAnsi="sans-serif" w:cs="sans-serif"/>
                <w:color w:val="000000"/>
                <w:sz w:val="20"/>
                <w:szCs w:val="20"/>
              </w:rPr>
              <w:t>153 </w:t>
            </w:r>
          </w:p>
        </w:tc>
        <w:tc>
          <w:tcPr>
            <w:tcW w:w="0" w:type="auto"/>
            <w:shd w:val="clear" w:color="auto" w:fill="FFFFFF"/>
            <w:tcMar>
              <w:top w:w="40" w:type="dxa"/>
              <w:left w:w="0" w:type="dxa"/>
              <w:bottom w:w="40" w:type="dxa"/>
              <w:right w:w="20" w:type="dxa"/>
            </w:tcMar>
            <w:vAlign w:val="bottom"/>
          </w:tcPr>
          <w:p w14:paraId="5406608A"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08B"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08C" w14:textId="77777777" w:rsidR="00611BDD" w:rsidRDefault="002E18C7">
            <w:pPr>
              <w:jc w:val="right"/>
              <w:textAlignment w:val="bottom"/>
            </w:pPr>
            <w:r>
              <w:rPr>
                <w:rFonts w:ascii="sans-serif" w:eastAsia="sans-serif" w:hAnsi="sans-serif" w:cs="sans-serif"/>
                <w:color w:val="000000"/>
                <w:sz w:val="20"/>
                <w:szCs w:val="20"/>
              </w:rPr>
              <w:t>52 </w:t>
            </w:r>
          </w:p>
        </w:tc>
        <w:tc>
          <w:tcPr>
            <w:tcW w:w="0" w:type="auto"/>
            <w:shd w:val="clear" w:color="auto" w:fill="FFFFFF"/>
            <w:tcMar>
              <w:top w:w="40" w:type="dxa"/>
              <w:left w:w="0" w:type="dxa"/>
              <w:bottom w:w="40" w:type="dxa"/>
              <w:right w:w="20" w:type="dxa"/>
            </w:tcMar>
            <w:vAlign w:val="bottom"/>
          </w:tcPr>
          <w:p w14:paraId="5406608D" w14:textId="77777777" w:rsidR="00611BDD" w:rsidRDefault="00611BDD">
            <w:pPr>
              <w:jc w:val="right"/>
              <w:rPr>
                <w:rFonts w:ascii="宋体"/>
              </w:rPr>
            </w:pPr>
          </w:p>
        </w:tc>
      </w:tr>
      <w:tr w:rsidR="00611BDD" w14:paraId="5406609F" w14:textId="77777777">
        <w:trPr>
          <w:jc w:val="center"/>
        </w:trPr>
        <w:tc>
          <w:tcPr>
            <w:tcW w:w="0" w:type="auto"/>
            <w:gridSpan w:val="3"/>
            <w:shd w:val="clear" w:color="auto" w:fill="E2EFD9"/>
            <w:tcMar>
              <w:top w:w="40" w:type="dxa"/>
              <w:left w:w="20" w:type="dxa"/>
              <w:bottom w:w="40" w:type="dxa"/>
              <w:right w:w="20" w:type="dxa"/>
            </w:tcMar>
            <w:vAlign w:val="bottom"/>
          </w:tcPr>
          <w:p w14:paraId="5406608F" w14:textId="77777777" w:rsidR="00611BDD" w:rsidRDefault="002E18C7">
            <w:pPr>
              <w:textAlignment w:val="bottom"/>
            </w:pPr>
            <w:r>
              <w:rPr>
                <w:rFonts w:ascii="sans-serif" w:eastAsia="sans-serif" w:hAnsi="sans-serif" w:cs="sans-serif"/>
                <w:color w:val="000000"/>
                <w:sz w:val="20"/>
                <w:szCs w:val="20"/>
              </w:rPr>
              <w:t>Net income</w:t>
            </w:r>
          </w:p>
        </w:tc>
        <w:tc>
          <w:tcPr>
            <w:tcW w:w="0" w:type="auto"/>
            <w:tcBorders>
              <w:top w:val="single" w:sz="8" w:space="0" w:color="000000"/>
            </w:tcBorders>
            <w:shd w:val="clear" w:color="auto" w:fill="E2EFD9"/>
            <w:tcMar>
              <w:top w:w="40" w:type="dxa"/>
              <w:left w:w="20" w:type="dxa"/>
              <w:bottom w:w="40" w:type="dxa"/>
              <w:right w:w="0" w:type="dxa"/>
            </w:tcMar>
            <w:vAlign w:val="bottom"/>
          </w:tcPr>
          <w:p w14:paraId="54066090"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4066091" w14:textId="77777777" w:rsidR="00611BDD" w:rsidRDefault="002E18C7">
            <w:pPr>
              <w:jc w:val="right"/>
              <w:textAlignment w:val="bottom"/>
            </w:pPr>
            <w:r>
              <w:rPr>
                <w:rFonts w:ascii="sans-serif" w:eastAsia="sans-serif" w:hAnsi="sans-serif" w:cs="sans-serif"/>
                <w:color w:val="000000"/>
                <w:sz w:val="20"/>
                <w:szCs w:val="20"/>
              </w:rPr>
              <w:t>2,374 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092"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093" w14:textId="77777777" w:rsidR="00611BDD" w:rsidRDefault="00611BD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4066094"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4066095" w14:textId="77777777" w:rsidR="00611BDD" w:rsidRDefault="002E18C7">
            <w:pPr>
              <w:jc w:val="right"/>
              <w:textAlignment w:val="bottom"/>
            </w:pPr>
            <w:r>
              <w:rPr>
                <w:rFonts w:ascii="sans-serif" w:eastAsia="sans-serif" w:hAnsi="sans-serif" w:cs="sans-serif"/>
                <w:color w:val="000000"/>
                <w:sz w:val="20"/>
                <w:szCs w:val="20"/>
              </w:rPr>
              <w:t>622 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09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097" w14:textId="77777777" w:rsidR="00611BDD" w:rsidRDefault="00611BD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4066098"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4066099" w14:textId="77777777" w:rsidR="00611BDD" w:rsidRDefault="002E18C7">
            <w:pPr>
              <w:jc w:val="right"/>
              <w:textAlignment w:val="bottom"/>
            </w:pPr>
            <w:r>
              <w:rPr>
                <w:rFonts w:ascii="sans-serif" w:eastAsia="sans-serif" w:hAnsi="sans-serif" w:cs="sans-serif"/>
                <w:color w:val="000000"/>
                <w:sz w:val="20"/>
                <w:szCs w:val="20"/>
              </w:rPr>
              <w:t>4,285 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09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09B" w14:textId="77777777" w:rsidR="00611BDD" w:rsidRDefault="00611BD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406609C"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406609D" w14:textId="77777777" w:rsidR="00611BDD" w:rsidRDefault="002E18C7">
            <w:pPr>
              <w:jc w:val="right"/>
              <w:textAlignment w:val="bottom"/>
            </w:pPr>
            <w:r>
              <w:rPr>
                <w:rFonts w:ascii="sans-serif" w:eastAsia="sans-serif" w:hAnsi="sans-serif" w:cs="sans-serif"/>
                <w:color w:val="000000"/>
                <w:sz w:val="20"/>
                <w:szCs w:val="20"/>
              </w:rPr>
              <w:t>1,539 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09E" w14:textId="77777777" w:rsidR="00611BDD" w:rsidRDefault="00611BDD">
            <w:pPr>
              <w:jc w:val="right"/>
              <w:rPr>
                <w:rFonts w:ascii="宋体"/>
              </w:rPr>
            </w:pPr>
          </w:p>
        </w:tc>
      </w:tr>
      <w:tr w:rsidR="00611BDD" w14:paraId="540660A8" w14:textId="77777777">
        <w:trPr>
          <w:trHeight w:val="300"/>
          <w:jc w:val="center"/>
        </w:trPr>
        <w:tc>
          <w:tcPr>
            <w:tcW w:w="0" w:type="auto"/>
            <w:gridSpan w:val="3"/>
            <w:shd w:val="clear" w:color="auto" w:fill="FFFFFF"/>
            <w:tcMar>
              <w:top w:w="0" w:type="dxa"/>
              <w:left w:w="20" w:type="dxa"/>
              <w:bottom w:w="0" w:type="dxa"/>
              <w:right w:w="20" w:type="dxa"/>
            </w:tcMar>
            <w:vAlign w:val="bottom"/>
          </w:tcPr>
          <w:p w14:paraId="540660A0" w14:textId="77777777" w:rsidR="00611BDD" w:rsidRDefault="00611BD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40660A1"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0A2" w14:textId="77777777" w:rsidR="00611BDD" w:rsidRDefault="00611BD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40660A3"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0A4" w14:textId="77777777" w:rsidR="00611BDD" w:rsidRDefault="00611BD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40660A5"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0A6" w14:textId="77777777" w:rsidR="00611BDD" w:rsidRDefault="00611BD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40660A7" w14:textId="77777777" w:rsidR="00611BDD" w:rsidRDefault="00611BDD">
            <w:pPr>
              <w:rPr>
                <w:rFonts w:ascii="宋体"/>
              </w:rPr>
            </w:pPr>
          </w:p>
        </w:tc>
      </w:tr>
      <w:tr w:rsidR="00611BDD" w14:paraId="540660B1" w14:textId="77777777">
        <w:trPr>
          <w:jc w:val="center"/>
        </w:trPr>
        <w:tc>
          <w:tcPr>
            <w:tcW w:w="0" w:type="auto"/>
            <w:gridSpan w:val="3"/>
            <w:shd w:val="clear" w:color="auto" w:fill="E2EFD9"/>
            <w:tcMar>
              <w:top w:w="40" w:type="dxa"/>
              <w:left w:w="20" w:type="dxa"/>
              <w:bottom w:w="40" w:type="dxa"/>
              <w:right w:w="20" w:type="dxa"/>
            </w:tcMar>
            <w:vAlign w:val="bottom"/>
          </w:tcPr>
          <w:p w14:paraId="540660A9" w14:textId="77777777" w:rsidR="00611BDD" w:rsidRDefault="002E18C7">
            <w:pPr>
              <w:textAlignment w:val="bottom"/>
            </w:pPr>
            <w:r>
              <w:rPr>
                <w:rFonts w:ascii="sans-serif" w:eastAsia="sans-serif" w:hAnsi="sans-serif" w:cs="sans-serif"/>
                <w:color w:val="000000"/>
                <w:sz w:val="20"/>
                <w:szCs w:val="20"/>
              </w:rPr>
              <w:t>Net income per share:</w:t>
            </w:r>
          </w:p>
        </w:tc>
        <w:tc>
          <w:tcPr>
            <w:tcW w:w="0" w:type="auto"/>
            <w:gridSpan w:val="3"/>
            <w:shd w:val="clear" w:color="auto" w:fill="E2EFD9"/>
            <w:tcMar>
              <w:top w:w="0" w:type="dxa"/>
              <w:left w:w="20" w:type="dxa"/>
              <w:bottom w:w="0" w:type="dxa"/>
              <w:right w:w="20" w:type="dxa"/>
            </w:tcMar>
            <w:vAlign w:val="bottom"/>
          </w:tcPr>
          <w:p w14:paraId="540660AA"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0AB"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0AC"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0AD"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0AE"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0AF"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0B0" w14:textId="77777777" w:rsidR="00611BDD" w:rsidRDefault="00611BDD">
            <w:pPr>
              <w:rPr>
                <w:rFonts w:ascii="宋体"/>
              </w:rPr>
            </w:pPr>
          </w:p>
        </w:tc>
      </w:tr>
      <w:tr w:rsidR="00611BDD" w14:paraId="540660C2" w14:textId="77777777">
        <w:trPr>
          <w:jc w:val="center"/>
        </w:trPr>
        <w:tc>
          <w:tcPr>
            <w:tcW w:w="0" w:type="auto"/>
            <w:gridSpan w:val="3"/>
            <w:shd w:val="clear" w:color="auto" w:fill="FFFFFF"/>
            <w:tcMar>
              <w:top w:w="40" w:type="dxa"/>
              <w:left w:w="515" w:type="dxa"/>
              <w:bottom w:w="40" w:type="dxa"/>
              <w:right w:w="20" w:type="dxa"/>
            </w:tcMar>
            <w:vAlign w:val="bottom"/>
          </w:tcPr>
          <w:p w14:paraId="540660B2" w14:textId="77777777" w:rsidR="00611BDD" w:rsidRDefault="002E18C7">
            <w:pPr>
              <w:textAlignment w:val="bottom"/>
            </w:pPr>
            <w:r>
              <w:rPr>
                <w:rFonts w:ascii="sans-serif" w:eastAsia="sans-serif" w:hAnsi="sans-serif" w:cs="sans-serif"/>
                <w:color w:val="000000"/>
                <w:sz w:val="20"/>
                <w:szCs w:val="20"/>
              </w:rPr>
              <w:t>Basic</w:t>
            </w:r>
          </w:p>
        </w:tc>
        <w:tc>
          <w:tcPr>
            <w:tcW w:w="0" w:type="auto"/>
            <w:shd w:val="clear" w:color="auto" w:fill="FFFFFF"/>
            <w:tcMar>
              <w:top w:w="40" w:type="dxa"/>
              <w:left w:w="20" w:type="dxa"/>
              <w:bottom w:w="40" w:type="dxa"/>
              <w:right w:w="0" w:type="dxa"/>
            </w:tcMar>
            <w:vAlign w:val="bottom"/>
          </w:tcPr>
          <w:p w14:paraId="540660B3"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0B4" w14:textId="77777777" w:rsidR="00611BDD" w:rsidRDefault="002E18C7">
            <w:pPr>
              <w:jc w:val="right"/>
              <w:textAlignment w:val="bottom"/>
            </w:pPr>
            <w:r>
              <w:rPr>
                <w:rFonts w:ascii="sans-serif" w:eastAsia="sans-serif" w:hAnsi="sans-serif" w:cs="sans-serif"/>
                <w:color w:val="000000"/>
                <w:sz w:val="20"/>
                <w:szCs w:val="20"/>
              </w:rPr>
              <w:t>0.95 </w:t>
            </w:r>
          </w:p>
        </w:tc>
        <w:tc>
          <w:tcPr>
            <w:tcW w:w="0" w:type="auto"/>
            <w:shd w:val="clear" w:color="auto" w:fill="FFFFFF"/>
            <w:tcMar>
              <w:top w:w="40" w:type="dxa"/>
              <w:left w:w="0" w:type="dxa"/>
              <w:bottom w:w="40" w:type="dxa"/>
              <w:right w:w="20" w:type="dxa"/>
            </w:tcMar>
            <w:vAlign w:val="bottom"/>
          </w:tcPr>
          <w:p w14:paraId="540660B5"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0B6"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0B7"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0B8" w14:textId="77777777" w:rsidR="00611BDD" w:rsidRDefault="002E18C7">
            <w:pPr>
              <w:jc w:val="right"/>
              <w:textAlignment w:val="bottom"/>
            </w:pPr>
            <w:r>
              <w:rPr>
                <w:rFonts w:ascii="sans-serif" w:eastAsia="sans-serif" w:hAnsi="sans-serif" w:cs="sans-serif"/>
                <w:color w:val="000000"/>
                <w:sz w:val="20"/>
                <w:szCs w:val="20"/>
              </w:rPr>
              <w:t>0.25 </w:t>
            </w:r>
          </w:p>
        </w:tc>
        <w:tc>
          <w:tcPr>
            <w:tcW w:w="0" w:type="auto"/>
            <w:shd w:val="clear" w:color="auto" w:fill="FFFFFF"/>
            <w:tcMar>
              <w:top w:w="40" w:type="dxa"/>
              <w:left w:w="0" w:type="dxa"/>
              <w:bottom w:w="40" w:type="dxa"/>
              <w:right w:w="20" w:type="dxa"/>
            </w:tcMar>
            <w:vAlign w:val="bottom"/>
          </w:tcPr>
          <w:p w14:paraId="540660B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0BA"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0BB"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0BC" w14:textId="77777777" w:rsidR="00611BDD" w:rsidRDefault="002E18C7">
            <w:pPr>
              <w:jc w:val="right"/>
              <w:textAlignment w:val="bottom"/>
            </w:pPr>
            <w:r>
              <w:rPr>
                <w:rFonts w:ascii="sans-serif" w:eastAsia="sans-serif" w:hAnsi="sans-serif" w:cs="sans-serif"/>
                <w:color w:val="000000"/>
                <w:sz w:val="20"/>
                <w:szCs w:val="20"/>
              </w:rPr>
              <w:t>1.72 </w:t>
            </w:r>
          </w:p>
        </w:tc>
        <w:tc>
          <w:tcPr>
            <w:tcW w:w="0" w:type="auto"/>
            <w:shd w:val="clear" w:color="auto" w:fill="FFFFFF"/>
            <w:tcMar>
              <w:top w:w="40" w:type="dxa"/>
              <w:left w:w="0" w:type="dxa"/>
              <w:bottom w:w="40" w:type="dxa"/>
              <w:right w:w="20" w:type="dxa"/>
            </w:tcMar>
            <w:vAlign w:val="bottom"/>
          </w:tcPr>
          <w:p w14:paraId="540660BD"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0BE"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0BF"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0C0" w14:textId="77777777" w:rsidR="00611BDD" w:rsidRDefault="002E18C7">
            <w:pPr>
              <w:jc w:val="right"/>
              <w:textAlignment w:val="bottom"/>
            </w:pPr>
            <w:r>
              <w:rPr>
                <w:rFonts w:ascii="sans-serif" w:eastAsia="sans-serif" w:hAnsi="sans-serif" w:cs="sans-serif"/>
                <w:color w:val="000000"/>
                <w:sz w:val="20"/>
                <w:szCs w:val="20"/>
              </w:rPr>
              <w:t>0.63 </w:t>
            </w:r>
          </w:p>
        </w:tc>
        <w:tc>
          <w:tcPr>
            <w:tcW w:w="0" w:type="auto"/>
            <w:shd w:val="clear" w:color="auto" w:fill="FFFFFF"/>
            <w:tcMar>
              <w:top w:w="40" w:type="dxa"/>
              <w:left w:w="0" w:type="dxa"/>
              <w:bottom w:w="40" w:type="dxa"/>
              <w:right w:w="20" w:type="dxa"/>
            </w:tcMar>
            <w:vAlign w:val="bottom"/>
          </w:tcPr>
          <w:p w14:paraId="540660C1" w14:textId="77777777" w:rsidR="00611BDD" w:rsidRDefault="00611BDD">
            <w:pPr>
              <w:jc w:val="right"/>
              <w:rPr>
                <w:rFonts w:ascii="宋体"/>
              </w:rPr>
            </w:pPr>
          </w:p>
        </w:tc>
      </w:tr>
      <w:tr w:rsidR="00611BDD" w14:paraId="540660D3" w14:textId="77777777">
        <w:trPr>
          <w:jc w:val="center"/>
        </w:trPr>
        <w:tc>
          <w:tcPr>
            <w:tcW w:w="0" w:type="auto"/>
            <w:gridSpan w:val="3"/>
            <w:shd w:val="clear" w:color="auto" w:fill="E2EFD9"/>
            <w:tcMar>
              <w:top w:w="40" w:type="dxa"/>
              <w:left w:w="515" w:type="dxa"/>
              <w:bottom w:w="40" w:type="dxa"/>
              <w:right w:w="20" w:type="dxa"/>
            </w:tcMar>
            <w:vAlign w:val="bottom"/>
          </w:tcPr>
          <w:p w14:paraId="540660C3" w14:textId="77777777" w:rsidR="00611BDD" w:rsidRDefault="002E18C7">
            <w:pPr>
              <w:textAlignment w:val="bottom"/>
            </w:pPr>
            <w:r>
              <w:rPr>
                <w:rFonts w:ascii="sans-serif" w:eastAsia="sans-serif" w:hAnsi="sans-serif" w:cs="sans-serif"/>
                <w:color w:val="000000"/>
                <w:sz w:val="20"/>
                <w:szCs w:val="20"/>
              </w:rPr>
              <w:t>Diluted</w:t>
            </w:r>
          </w:p>
        </w:tc>
        <w:tc>
          <w:tcPr>
            <w:tcW w:w="0" w:type="auto"/>
            <w:tcBorders>
              <w:top w:val="double" w:sz="6" w:space="0" w:color="000000"/>
            </w:tcBorders>
            <w:shd w:val="clear" w:color="auto" w:fill="E2EFD9"/>
            <w:tcMar>
              <w:top w:w="40" w:type="dxa"/>
              <w:left w:w="20" w:type="dxa"/>
              <w:bottom w:w="40" w:type="dxa"/>
              <w:right w:w="0" w:type="dxa"/>
            </w:tcMar>
            <w:vAlign w:val="bottom"/>
          </w:tcPr>
          <w:p w14:paraId="540660C4"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40660C5" w14:textId="77777777" w:rsidR="00611BDD" w:rsidRDefault="002E18C7">
            <w:pPr>
              <w:jc w:val="right"/>
              <w:textAlignment w:val="bottom"/>
            </w:pPr>
            <w:r>
              <w:rPr>
                <w:rFonts w:ascii="sans-serif" w:eastAsia="sans-serif" w:hAnsi="sans-serif" w:cs="sans-serif"/>
                <w:color w:val="000000"/>
                <w:sz w:val="20"/>
                <w:szCs w:val="20"/>
              </w:rPr>
              <w:t>0.94 </w:t>
            </w:r>
          </w:p>
        </w:tc>
        <w:tc>
          <w:tcPr>
            <w:tcW w:w="0" w:type="auto"/>
            <w:tcBorders>
              <w:top w:val="double" w:sz="6" w:space="0" w:color="000000"/>
            </w:tcBorders>
            <w:shd w:val="clear" w:color="auto" w:fill="E2EFD9"/>
            <w:tcMar>
              <w:top w:w="40" w:type="dxa"/>
              <w:left w:w="0" w:type="dxa"/>
              <w:bottom w:w="40" w:type="dxa"/>
              <w:right w:w="20" w:type="dxa"/>
            </w:tcMar>
            <w:vAlign w:val="bottom"/>
          </w:tcPr>
          <w:p w14:paraId="540660C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0C7" w14:textId="77777777" w:rsidR="00611BDD" w:rsidRDefault="00611BDD">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540660C8"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40660C9" w14:textId="77777777" w:rsidR="00611BDD" w:rsidRDefault="002E18C7">
            <w:pPr>
              <w:jc w:val="right"/>
              <w:textAlignment w:val="bottom"/>
            </w:pPr>
            <w:r>
              <w:rPr>
                <w:rFonts w:ascii="sans-serif" w:eastAsia="sans-serif" w:hAnsi="sans-serif" w:cs="sans-serif"/>
                <w:color w:val="000000"/>
                <w:sz w:val="20"/>
                <w:szCs w:val="20"/>
              </w:rPr>
              <w:t>0.25 </w:t>
            </w:r>
          </w:p>
        </w:tc>
        <w:tc>
          <w:tcPr>
            <w:tcW w:w="0" w:type="auto"/>
            <w:tcBorders>
              <w:top w:val="double" w:sz="6" w:space="0" w:color="000000"/>
            </w:tcBorders>
            <w:shd w:val="clear" w:color="auto" w:fill="E2EFD9"/>
            <w:tcMar>
              <w:top w:w="40" w:type="dxa"/>
              <w:left w:w="0" w:type="dxa"/>
              <w:bottom w:w="40" w:type="dxa"/>
              <w:right w:w="20" w:type="dxa"/>
            </w:tcMar>
            <w:vAlign w:val="bottom"/>
          </w:tcPr>
          <w:p w14:paraId="540660C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0CB" w14:textId="77777777" w:rsidR="00611BDD" w:rsidRDefault="00611BDD">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540660CC"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40660CD" w14:textId="77777777" w:rsidR="00611BDD" w:rsidRDefault="002E18C7">
            <w:pPr>
              <w:jc w:val="right"/>
              <w:textAlignment w:val="bottom"/>
            </w:pPr>
            <w:r>
              <w:rPr>
                <w:rFonts w:ascii="sans-serif" w:eastAsia="sans-serif" w:hAnsi="sans-serif" w:cs="sans-serif"/>
                <w:color w:val="000000"/>
                <w:sz w:val="20"/>
                <w:szCs w:val="20"/>
              </w:rPr>
              <w:t>1.69 </w:t>
            </w:r>
          </w:p>
        </w:tc>
        <w:tc>
          <w:tcPr>
            <w:tcW w:w="0" w:type="auto"/>
            <w:tcBorders>
              <w:top w:val="double" w:sz="6" w:space="0" w:color="000000"/>
            </w:tcBorders>
            <w:shd w:val="clear" w:color="auto" w:fill="E2EFD9"/>
            <w:tcMar>
              <w:top w:w="40" w:type="dxa"/>
              <w:left w:w="0" w:type="dxa"/>
              <w:bottom w:w="40" w:type="dxa"/>
              <w:right w:w="20" w:type="dxa"/>
            </w:tcMar>
            <w:vAlign w:val="bottom"/>
          </w:tcPr>
          <w:p w14:paraId="540660CE"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0CF" w14:textId="77777777" w:rsidR="00611BDD" w:rsidRDefault="00611BDD">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540660D0"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40660D1" w14:textId="77777777" w:rsidR="00611BDD" w:rsidRDefault="002E18C7">
            <w:pPr>
              <w:jc w:val="right"/>
              <w:textAlignment w:val="bottom"/>
            </w:pPr>
            <w:r>
              <w:rPr>
                <w:rFonts w:ascii="sans-serif" w:eastAsia="sans-serif" w:hAnsi="sans-serif" w:cs="sans-serif"/>
                <w:color w:val="000000"/>
                <w:sz w:val="20"/>
                <w:szCs w:val="20"/>
              </w:rPr>
              <w:t>0.62 </w:t>
            </w:r>
          </w:p>
        </w:tc>
        <w:tc>
          <w:tcPr>
            <w:tcW w:w="0" w:type="auto"/>
            <w:tcBorders>
              <w:top w:val="double" w:sz="6" w:space="0" w:color="000000"/>
            </w:tcBorders>
            <w:shd w:val="clear" w:color="auto" w:fill="E2EFD9"/>
            <w:tcMar>
              <w:top w:w="40" w:type="dxa"/>
              <w:left w:w="0" w:type="dxa"/>
              <w:bottom w:w="40" w:type="dxa"/>
              <w:right w:w="20" w:type="dxa"/>
            </w:tcMar>
            <w:vAlign w:val="bottom"/>
          </w:tcPr>
          <w:p w14:paraId="540660D2" w14:textId="77777777" w:rsidR="00611BDD" w:rsidRDefault="00611BDD">
            <w:pPr>
              <w:jc w:val="right"/>
              <w:rPr>
                <w:rFonts w:ascii="宋体"/>
              </w:rPr>
            </w:pPr>
          </w:p>
        </w:tc>
      </w:tr>
      <w:tr w:rsidR="00611BDD" w14:paraId="540660DC" w14:textId="77777777">
        <w:trPr>
          <w:trHeight w:val="300"/>
          <w:jc w:val="center"/>
        </w:trPr>
        <w:tc>
          <w:tcPr>
            <w:tcW w:w="0" w:type="auto"/>
            <w:gridSpan w:val="3"/>
            <w:shd w:val="clear" w:color="auto" w:fill="FFFFFF"/>
            <w:tcMar>
              <w:top w:w="0" w:type="dxa"/>
              <w:left w:w="20" w:type="dxa"/>
              <w:bottom w:w="0" w:type="dxa"/>
              <w:right w:w="20" w:type="dxa"/>
            </w:tcMar>
            <w:vAlign w:val="bottom"/>
          </w:tcPr>
          <w:p w14:paraId="540660D4" w14:textId="77777777" w:rsidR="00611BDD" w:rsidRDefault="00611BD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40660D5"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0D6" w14:textId="77777777" w:rsidR="00611BDD" w:rsidRDefault="00611BD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40660D7"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0D8" w14:textId="77777777" w:rsidR="00611BDD" w:rsidRDefault="00611BD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40660D9"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0DA" w14:textId="77777777" w:rsidR="00611BDD" w:rsidRDefault="00611BD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40660DB" w14:textId="77777777" w:rsidR="00611BDD" w:rsidRDefault="00611BDD">
            <w:pPr>
              <w:rPr>
                <w:rFonts w:ascii="宋体"/>
              </w:rPr>
            </w:pPr>
          </w:p>
        </w:tc>
      </w:tr>
      <w:tr w:rsidR="00611BDD" w14:paraId="540660E5" w14:textId="77777777">
        <w:trPr>
          <w:jc w:val="center"/>
        </w:trPr>
        <w:tc>
          <w:tcPr>
            <w:tcW w:w="0" w:type="auto"/>
            <w:gridSpan w:val="3"/>
            <w:shd w:val="clear" w:color="auto" w:fill="E2EFD9"/>
            <w:tcMar>
              <w:top w:w="40" w:type="dxa"/>
              <w:left w:w="20" w:type="dxa"/>
              <w:bottom w:w="40" w:type="dxa"/>
              <w:right w:w="20" w:type="dxa"/>
            </w:tcMar>
            <w:vAlign w:val="bottom"/>
          </w:tcPr>
          <w:p w14:paraId="540660DD" w14:textId="77777777" w:rsidR="00611BDD" w:rsidRDefault="002E18C7">
            <w:pPr>
              <w:textAlignment w:val="bottom"/>
            </w:pPr>
            <w:r>
              <w:rPr>
                <w:rFonts w:ascii="sans-serif" w:eastAsia="sans-serif" w:hAnsi="sans-serif" w:cs="sans-serif"/>
                <w:color w:val="000000"/>
                <w:sz w:val="20"/>
                <w:szCs w:val="20"/>
              </w:rPr>
              <w:t>Weighted average shares used in per share computation:</w:t>
            </w:r>
          </w:p>
        </w:tc>
        <w:tc>
          <w:tcPr>
            <w:tcW w:w="0" w:type="auto"/>
            <w:gridSpan w:val="3"/>
            <w:shd w:val="clear" w:color="auto" w:fill="E2EFD9"/>
            <w:tcMar>
              <w:top w:w="0" w:type="dxa"/>
              <w:left w:w="20" w:type="dxa"/>
              <w:bottom w:w="0" w:type="dxa"/>
              <w:right w:w="20" w:type="dxa"/>
            </w:tcMar>
            <w:vAlign w:val="bottom"/>
          </w:tcPr>
          <w:p w14:paraId="540660DE"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0DF"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0E0"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0E1"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0E2"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0E3"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0E4" w14:textId="77777777" w:rsidR="00611BDD" w:rsidRDefault="00611BDD">
            <w:pPr>
              <w:rPr>
                <w:rFonts w:ascii="宋体"/>
              </w:rPr>
            </w:pPr>
          </w:p>
        </w:tc>
      </w:tr>
      <w:tr w:rsidR="00611BDD" w14:paraId="540660F2" w14:textId="77777777">
        <w:trPr>
          <w:jc w:val="center"/>
        </w:trPr>
        <w:tc>
          <w:tcPr>
            <w:tcW w:w="0" w:type="auto"/>
            <w:gridSpan w:val="3"/>
            <w:shd w:val="clear" w:color="auto" w:fill="FFFFFF"/>
            <w:tcMar>
              <w:top w:w="40" w:type="dxa"/>
              <w:left w:w="515" w:type="dxa"/>
              <w:bottom w:w="40" w:type="dxa"/>
              <w:right w:w="20" w:type="dxa"/>
            </w:tcMar>
            <w:vAlign w:val="bottom"/>
          </w:tcPr>
          <w:p w14:paraId="540660E6" w14:textId="77777777" w:rsidR="00611BDD" w:rsidRDefault="002E18C7">
            <w:pPr>
              <w:textAlignment w:val="bottom"/>
            </w:pPr>
            <w:r>
              <w:rPr>
                <w:rFonts w:ascii="sans-serif" w:eastAsia="sans-serif" w:hAnsi="sans-serif" w:cs="sans-serif"/>
                <w:color w:val="000000"/>
                <w:sz w:val="20"/>
                <w:szCs w:val="20"/>
              </w:rPr>
              <w:t>Basic</w:t>
            </w:r>
          </w:p>
        </w:tc>
        <w:tc>
          <w:tcPr>
            <w:tcW w:w="0" w:type="auto"/>
            <w:gridSpan w:val="2"/>
            <w:shd w:val="clear" w:color="auto" w:fill="FFFFFF"/>
            <w:tcMar>
              <w:top w:w="40" w:type="dxa"/>
              <w:left w:w="20" w:type="dxa"/>
              <w:bottom w:w="40" w:type="dxa"/>
              <w:right w:w="0" w:type="dxa"/>
            </w:tcMar>
            <w:vAlign w:val="bottom"/>
          </w:tcPr>
          <w:p w14:paraId="540660E7" w14:textId="77777777" w:rsidR="00611BDD" w:rsidRDefault="002E18C7">
            <w:pPr>
              <w:jc w:val="right"/>
              <w:textAlignment w:val="bottom"/>
            </w:pPr>
            <w:r>
              <w:rPr>
                <w:rFonts w:ascii="sans-serif" w:eastAsia="sans-serif" w:hAnsi="sans-serif" w:cs="sans-serif"/>
                <w:color w:val="000000"/>
                <w:sz w:val="20"/>
                <w:szCs w:val="20"/>
              </w:rPr>
              <w:t>2,493 </w:t>
            </w:r>
          </w:p>
        </w:tc>
        <w:tc>
          <w:tcPr>
            <w:tcW w:w="0" w:type="auto"/>
            <w:shd w:val="clear" w:color="auto" w:fill="FFFFFF"/>
            <w:tcMar>
              <w:top w:w="40" w:type="dxa"/>
              <w:left w:w="0" w:type="dxa"/>
              <w:bottom w:w="40" w:type="dxa"/>
              <w:right w:w="20" w:type="dxa"/>
            </w:tcMar>
            <w:vAlign w:val="bottom"/>
          </w:tcPr>
          <w:p w14:paraId="540660E8"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0E9"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0EA" w14:textId="77777777" w:rsidR="00611BDD" w:rsidRDefault="002E18C7">
            <w:pPr>
              <w:jc w:val="right"/>
              <w:textAlignment w:val="bottom"/>
            </w:pPr>
            <w:r>
              <w:rPr>
                <w:rFonts w:ascii="sans-serif" w:eastAsia="sans-serif" w:hAnsi="sans-serif" w:cs="sans-serif"/>
                <w:color w:val="000000"/>
                <w:sz w:val="20"/>
                <w:szCs w:val="20"/>
              </w:rPr>
              <w:t>2,464 </w:t>
            </w:r>
          </w:p>
        </w:tc>
        <w:tc>
          <w:tcPr>
            <w:tcW w:w="0" w:type="auto"/>
            <w:shd w:val="clear" w:color="auto" w:fill="FFFFFF"/>
            <w:tcMar>
              <w:top w:w="40" w:type="dxa"/>
              <w:left w:w="0" w:type="dxa"/>
              <w:bottom w:w="40" w:type="dxa"/>
              <w:right w:w="20" w:type="dxa"/>
            </w:tcMar>
            <w:vAlign w:val="bottom"/>
          </w:tcPr>
          <w:p w14:paraId="540660EB"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0EC"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0ED" w14:textId="77777777" w:rsidR="00611BDD" w:rsidRDefault="002E18C7">
            <w:pPr>
              <w:jc w:val="right"/>
              <w:textAlignment w:val="bottom"/>
            </w:pPr>
            <w:r>
              <w:rPr>
                <w:rFonts w:ascii="sans-serif" w:eastAsia="sans-serif" w:hAnsi="sans-serif" w:cs="sans-serif"/>
                <w:color w:val="000000"/>
                <w:sz w:val="20"/>
                <w:szCs w:val="20"/>
              </w:rPr>
              <w:t>2,489 </w:t>
            </w:r>
          </w:p>
        </w:tc>
        <w:tc>
          <w:tcPr>
            <w:tcW w:w="0" w:type="auto"/>
            <w:shd w:val="clear" w:color="auto" w:fill="FFFFFF"/>
            <w:tcMar>
              <w:top w:w="40" w:type="dxa"/>
              <w:left w:w="0" w:type="dxa"/>
              <w:bottom w:w="40" w:type="dxa"/>
              <w:right w:w="20" w:type="dxa"/>
            </w:tcMar>
            <w:vAlign w:val="bottom"/>
          </w:tcPr>
          <w:p w14:paraId="540660EE"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0EF"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0F0" w14:textId="77777777" w:rsidR="00611BDD" w:rsidRDefault="002E18C7">
            <w:pPr>
              <w:jc w:val="right"/>
              <w:textAlignment w:val="bottom"/>
            </w:pPr>
            <w:r>
              <w:rPr>
                <w:rFonts w:ascii="sans-serif" w:eastAsia="sans-serif" w:hAnsi="sans-serif" w:cs="sans-serif"/>
                <w:color w:val="000000"/>
                <w:sz w:val="20"/>
                <w:szCs w:val="20"/>
              </w:rPr>
              <w:t>2,460 </w:t>
            </w:r>
          </w:p>
        </w:tc>
        <w:tc>
          <w:tcPr>
            <w:tcW w:w="0" w:type="auto"/>
            <w:shd w:val="clear" w:color="auto" w:fill="FFFFFF"/>
            <w:tcMar>
              <w:top w:w="40" w:type="dxa"/>
              <w:left w:w="0" w:type="dxa"/>
              <w:bottom w:w="40" w:type="dxa"/>
              <w:right w:w="20" w:type="dxa"/>
            </w:tcMar>
            <w:vAlign w:val="bottom"/>
          </w:tcPr>
          <w:p w14:paraId="540660F1" w14:textId="77777777" w:rsidR="00611BDD" w:rsidRDefault="00611BDD">
            <w:pPr>
              <w:jc w:val="right"/>
              <w:rPr>
                <w:rFonts w:ascii="宋体"/>
              </w:rPr>
            </w:pPr>
          </w:p>
        </w:tc>
      </w:tr>
      <w:tr w:rsidR="00611BDD" w14:paraId="540660FF" w14:textId="77777777">
        <w:trPr>
          <w:jc w:val="center"/>
        </w:trPr>
        <w:tc>
          <w:tcPr>
            <w:tcW w:w="0" w:type="auto"/>
            <w:gridSpan w:val="3"/>
            <w:shd w:val="clear" w:color="auto" w:fill="E2EFD9"/>
            <w:tcMar>
              <w:top w:w="40" w:type="dxa"/>
              <w:left w:w="515" w:type="dxa"/>
              <w:bottom w:w="40" w:type="dxa"/>
              <w:right w:w="20" w:type="dxa"/>
            </w:tcMar>
            <w:vAlign w:val="bottom"/>
          </w:tcPr>
          <w:p w14:paraId="540660F3" w14:textId="77777777" w:rsidR="00611BDD" w:rsidRDefault="002E18C7">
            <w:pPr>
              <w:textAlignment w:val="bottom"/>
            </w:pPr>
            <w:r>
              <w:rPr>
                <w:rFonts w:ascii="sans-serif" w:eastAsia="sans-serif" w:hAnsi="sans-serif" w:cs="sans-serif"/>
                <w:color w:val="000000"/>
                <w:sz w:val="20"/>
                <w:szCs w:val="20"/>
              </w:rPr>
              <w:t>Diluted</w:t>
            </w:r>
          </w:p>
        </w:tc>
        <w:tc>
          <w:tcPr>
            <w:tcW w:w="0" w:type="auto"/>
            <w:gridSpan w:val="2"/>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540660F4" w14:textId="77777777" w:rsidR="00611BDD" w:rsidRDefault="002E18C7">
            <w:pPr>
              <w:jc w:val="right"/>
              <w:textAlignment w:val="bottom"/>
            </w:pPr>
            <w:r>
              <w:rPr>
                <w:rFonts w:ascii="sans-serif" w:eastAsia="sans-serif" w:hAnsi="sans-serif" w:cs="sans-serif"/>
                <w:color w:val="000000"/>
                <w:sz w:val="20"/>
                <w:szCs w:val="20"/>
              </w:rPr>
              <w:t>2,532 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540660F5"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0F6" w14:textId="77777777" w:rsidR="00611BDD" w:rsidRDefault="00611BDD">
            <w:pPr>
              <w:rPr>
                <w:rFonts w:ascii="宋体"/>
              </w:rPr>
            </w:pPr>
          </w:p>
        </w:tc>
        <w:tc>
          <w:tcPr>
            <w:tcW w:w="0" w:type="auto"/>
            <w:gridSpan w:val="2"/>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540660F7" w14:textId="77777777" w:rsidR="00611BDD" w:rsidRDefault="002E18C7">
            <w:pPr>
              <w:jc w:val="right"/>
              <w:textAlignment w:val="bottom"/>
            </w:pPr>
            <w:r>
              <w:rPr>
                <w:rFonts w:ascii="sans-serif" w:eastAsia="sans-serif" w:hAnsi="sans-serif" w:cs="sans-serif"/>
                <w:color w:val="000000"/>
                <w:sz w:val="20"/>
                <w:szCs w:val="20"/>
              </w:rPr>
              <w:t>2,504 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540660F8"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0F9" w14:textId="77777777" w:rsidR="00611BDD" w:rsidRDefault="00611BDD">
            <w:pPr>
              <w:rPr>
                <w:rFonts w:ascii="宋体"/>
              </w:rPr>
            </w:pPr>
          </w:p>
        </w:tc>
        <w:tc>
          <w:tcPr>
            <w:tcW w:w="0" w:type="auto"/>
            <w:gridSpan w:val="2"/>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540660FA" w14:textId="77777777" w:rsidR="00611BDD" w:rsidRDefault="002E18C7">
            <w:pPr>
              <w:jc w:val="right"/>
              <w:textAlignment w:val="bottom"/>
            </w:pPr>
            <w:r>
              <w:rPr>
                <w:rFonts w:ascii="sans-serif" w:eastAsia="sans-serif" w:hAnsi="sans-serif" w:cs="sans-serif"/>
                <w:color w:val="000000"/>
                <w:sz w:val="20"/>
                <w:szCs w:val="20"/>
              </w:rPr>
              <w:t>2,529 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540660F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0FC" w14:textId="77777777" w:rsidR="00611BDD" w:rsidRDefault="00611BDD">
            <w:pPr>
              <w:rPr>
                <w:rFonts w:ascii="宋体"/>
              </w:rPr>
            </w:pPr>
          </w:p>
        </w:tc>
        <w:tc>
          <w:tcPr>
            <w:tcW w:w="0" w:type="auto"/>
            <w:gridSpan w:val="2"/>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540660FD" w14:textId="77777777" w:rsidR="00611BDD" w:rsidRDefault="002E18C7">
            <w:pPr>
              <w:jc w:val="right"/>
              <w:textAlignment w:val="bottom"/>
            </w:pPr>
            <w:r>
              <w:rPr>
                <w:rFonts w:ascii="sans-serif" w:eastAsia="sans-serif" w:hAnsi="sans-serif" w:cs="sans-serif"/>
                <w:color w:val="000000"/>
                <w:sz w:val="20"/>
                <w:szCs w:val="20"/>
              </w:rPr>
              <w:t>2,496 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540660FE" w14:textId="77777777" w:rsidR="00611BDD" w:rsidRDefault="00611BDD">
            <w:pPr>
              <w:jc w:val="right"/>
              <w:rPr>
                <w:rFonts w:ascii="宋体"/>
              </w:rPr>
            </w:pPr>
          </w:p>
        </w:tc>
      </w:tr>
      <w:tr w:rsidR="00611BDD" w14:paraId="54066108" w14:textId="77777777">
        <w:trPr>
          <w:jc w:val="center"/>
          <w:hidden/>
        </w:trPr>
        <w:tc>
          <w:tcPr>
            <w:tcW w:w="0" w:type="auto"/>
            <w:gridSpan w:val="3"/>
            <w:shd w:val="clear" w:color="auto" w:fill="auto"/>
            <w:vAlign w:val="bottom"/>
          </w:tcPr>
          <w:p w14:paraId="54066100" w14:textId="77777777" w:rsidR="00611BDD" w:rsidRDefault="00611BDD">
            <w:pPr>
              <w:rPr>
                <w:rFonts w:ascii="宋体"/>
                <w:vanish/>
              </w:rPr>
            </w:pPr>
          </w:p>
        </w:tc>
        <w:tc>
          <w:tcPr>
            <w:tcW w:w="0" w:type="auto"/>
            <w:gridSpan w:val="3"/>
            <w:shd w:val="clear" w:color="auto" w:fill="auto"/>
            <w:vAlign w:val="bottom"/>
          </w:tcPr>
          <w:p w14:paraId="54066101" w14:textId="77777777" w:rsidR="00611BDD" w:rsidRDefault="00611BDD">
            <w:pPr>
              <w:rPr>
                <w:rFonts w:ascii="宋体"/>
                <w:vanish/>
              </w:rPr>
            </w:pPr>
          </w:p>
        </w:tc>
        <w:tc>
          <w:tcPr>
            <w:tcW w:w="0" w:type="auto"/>
            <w:gridSpan w:val="3"/>
            <w:shd w:val="clear" w:color="auto" w:fill="auto"/>
            <w:vAlign w:val="bottom"/>
          </w:tcPr>
          <w:p w14:paraId="54066102" w14:textId="77777777" w:rsidR="00611BDD" w:rsidRDefault="00611BDD">
            <w:pPr>
              <w:rPr>
                <w:rFonts w:ascii="宋体"/>
                <w:vanish/>
              </w:rPr>
            </w:pPr>
          </w:p>
        </w:tc>
        <w:tc>
          <w:tcPr>
            <w:tcW w:w="0" w:type="auto"/>
            <w:gridSpan w:val="3"/>
            <w:shd w:val="clear" w:color="auto" w:fill="auto"/>
            <w:vAlign w:val="bottom"/>
          </w:tcPr>
          <w:p w14:paraId="54066103" w14:textId="77777777" w:rsidR="00611BDD" w:rsidRDefault="00611BDD">
            <w:pPr>
              <w:rPr>
                <w:rFonts w:ascii="宋体"/>
                <w:vanish/>
              </w:rPr>
            </w:pPr>
          </w:p>
        </w:tc>
        <w:tc>
          <w:tcPr>
            <w:tcW w:w="0" w:type="auto"/>
            <w:gridSpan w:val="3"/>
            <w:shd w:val="clear" w:color="auto" w:fill="auto"/>
            <w:vAlign w:val="bottom"/>
          </w:tcPr>
          <w:p w14:paraId="54066104" w14:textId="77777777" w:rsidR="00611BDD" w:rsidRDefault="00611BDD">
            <w:pPr>
              <w:rPr>
                <w:rFonts w:ascii="宋体"/>
                <w:vanish/>
              </w:rPr>
            </w:pPr>
          </w:p>
        </w:tc>
        <w:tc>
          <w:tcPr>
            <w:tcW w:w="0" w:type="auto"/>
            <w:gridSpan w:val="3"/>
            <w:shd w:val="clear" w:color="auto" w:fill="auto"/>
            <w:vAlign w:val="bottom"/>
          </w:tcPr>
          <w:p w14:paraId="54066105" w14:textId="77777777" w:rsidR="00611BDD" w:rsidRDefault="00611BDD">
            <w:pPr>
              <w:rPr>
                <w:rFonts w:ascii="宋体"/>
                <w:vanish/>
              </w:rPr>
            </w:pPr>
          </w:p>
        </w:tc>
        <w:tc>
          <w:tcPr>
            <w:tcW w:w="0" w:type="auto"/>
            <w:gridSpan w:val="3"/>
            <w:shd w:val="clear" w:color="auto" w:fill="auto"/>
            <w:vAlign w:val="bottom"/>
          </w:tcPr>
          <w:p w14:paraId="54066106" w14:textId="77777777" w:rsidR="00611BDD" w:rsidRDefault="00611BDD">
            <w:pPr>
              <w:rPr>
                <w:rFonts w:ascii="宋体"/>
                <w:vanish/>
              </w:rPr>
            </w:pPr>
          </w:p>
        </w:tc>
        <w:tc>
          <w:tcPr>
            <w:tcW w:w="0" w:type="auto"/>
            <w:gridSpan w:val="3"/>
            <w:shd w:val="clear" w:color="auto" w:fill="auto"/>
            <w:vAlign w:val="bottom"/>
          </w:tcPr>
          <w:p w14:paraId="54066107" w14:textId="77777777" w:rsidR="00611BDD" w:rsidRDefault="00611BDD">
            <w:pPr>
              <w:rPr>
                <w:rFonts w:ascii="宋体"/>
                <w:vanish/>
              </w:rPr>
            </w:pPr>
          </w:p>
        </w:tc>
      </w:tr>
      <w:tr w:rsidR="00611BDD" w14:paraId="54066111" w14:textId="77777777">
        <w:trPr>
          <w:jc w:val="center"/>
          <w:hidden/>
        </w:trPr>
        <w:tc>
          <w:tcPr>
            <w:tcW w:w="0" w:type="auto"/>
            <w:gridSpan w:val="3"/>
            <w:shd w:val="clear" w:color="auto" w:fill="auto"/>
            <w:vAlign w:val="bottom"/>
          </w:tcPr>
          <w:p w14:paraId="54066109" w14:textId="77777777" w:rsidR="00611BDD" w:rsidRDefault="00611BDD">
            <w:pPr>
              <w:rPr>
                <w:rFonts w:ascii="宋体"/>
                <w:vanish/>
              </w:rPr>
            </w:pPr>
          </w:p>
        </w:tc>
        <w:tc>
          <w:tcPr>
            <w:tcW w:w="0" w:type="auto"/>
            <w:gridSpan w:val="3"/>
            <w:shd w:val="clear" w:color="auto" w:fill="auto"/>
            <w:vAlign w:val="bottom"/>
          </w:tcPr>
          <w:p w14:paraId="5406610A" w14:textId="77777777" w:rsidR="00611BDD" w:rsidRDefault="00611BDD">
            <w:pPr>
              <w:rPr>
                <w:rFonts w:ascii="宋体"/>
                <w:vanish/>
              </w:rPr>
            </w:pPr>
          </w:p>
        </w:tc>
        <w:tc>
          <w:tcPr>
            <w:tcW w:w="0" w:type="auto"/>
            <w:gridSpan w:val="3"/>
            <w:shd w:val="clear" w:color="auto" w:fill="auto"/>
            <w:vAlign w:val="bottom"/>
          </w:tcPr>
          <w:p w14:paraId="5406610B" w14:textId="77777777" w:rsidR="00611BDD" w:rsidRDefault="00611BDD">
            <w:pPr>
              <w:rPr>
                <w:rFonts w:ascii="宋体"/>
                <w:vanish/>
              </w:rPr>
            </w:pPr>
          </w:p>
        </w:tc>
        <w:tc>
          <w:tcPr>
            <w:tcW w:w="0" w:type="auto"/>
            <w:gridSpan w:val="3"/>
            <w:shd w:val="clear" w:color="auto" w:fill="auto"/>
            <w:vAlign w:val="bottom"/>
          </w:tcPr>
          <w:p w14:paraId="5406610C" w14:textId="77777777" w:rsidR="00611BDD" w:rsidRDefault="00611BDD">
            <w:pPr>
              <w:rPr>
                <w:rFonts w:ascii="宋体"/>
                <w:vanish/>
              </w:rPr>
            </w:pPr>
          </w:p>
        </w:tc>
        <w:tc>
          <w:tcPr>
            <w:tcW w:w="0" w:type="auto"/>
            <w:gridSpan w:val="3"/>
            <w:shd w:val="clear" w:color="auto" w:fill="auto"/>
            <w:vAlign w:val="bottom"/>
          </w:tcPr>
          <w:p w14:paraId="5406610D" w14:textId="77777777" w:rsidR="00611BDD" w:rsidRDefault="00611BDD">
            <w:pPr>
              <w:rPr>
                <w:rFonts w:ascii="宋体"/>
                <w:vanish/>
              </w:rPr>
            </w:pPr>
          </w:p>
        </w:tc>
        <w:tc>
          <w:tcPr>
            <w:tcW w:w="0" w:type="auto"/>
            <w:gridSpan w:val="3"/>
            <w:shd w:val="clear" w:color="auto" w:fill="auto"/>
            <w:vAlign w:val="bottom"/>
          </w:tcPr>
          <w:p w14:paraId="5406610E" w14:textId="77777777" w:rsidR="00611BDD" w:rsidRDefault="00611BDD">
            <w:pPr>
              <w:rPr>
                <w:rFonts w:ascii="宋体"/>
                <w:vanish/>
              </w:rPr>
            </w:pPr>
          </w:p>
        </w:tc>
        <w:tc>
          <w:tcPr>
            <w:tcW w:w="0" w:type="auto"/>
            <w:gridSpan w:val="3"/>
            <w:shd w:val="clear" w:color="auto" w:fill="auto"/>
            <w:vAlign w:val="bottom"/>
          </w:tcPr>
          <w:p w14:paraId="5406610F" w14:textId="77777777" w:rsidR="00611BDD" w:rsidRDefault="00611BDD">
            <w:pPr>
              <w:rPr>
                <w:rFonts w:ascii="宋体"/>
                <w:vanish/>
              </w:rPr>
            </w:pPr>
          </w:p>
        </w:tc>
        <w:tc>
          <w:tcPr>
            <w:tcW w:w="0" w:type="auto"/>
            <w:gridSpan w:val="3"/>
            <w:shd w:val="clear" w:color="auto" w:fill="auto"/>
            <w:vAlign w:val="bottom"/>
          </w:tcPr>
          <w:p w14:paraId="54066110" w14:textId="77777777" w:rsidR="00611BDD" w:rsidRDefault="00611BDD">
            <w:pPr>
              <w:rPr>
                <w:rFonts w:ascii="宋体"/>
                <w:vanish/>
              </w:rPr>
            </w:pPr>
          </w:p>
        </w:tc>
      </w:tr>
    </w:tbl>
    <w:p w14:paraId="54066112" w14:textId="77777777" w:rsidR="00611BDD" w:rsidRDefault="002E18C7">
      <w:pPr>
        <w:spacing w:after="180"/>
        <w:jc w:val="center"/>
      </w:pPr>
      <w:r>
        <w:rPr>
          <w:rFonts w:ascii="sans-serif" w:eastAsia="sans-serif" w:hAnsi="sans-serif" w:cs="sans-serif"/>
          <w:color w:val="000000"/>
          <w:sz w:val="20"/>
          <w:szCs w:val="20"/>
        </w:rPr>
        <w:t>See accompanying Notes to Condensed Consolidated Financial Statements.</w:t>
      </w:r>
    </w:p>
    <w:p w14:paraId="54066113" w14:textId="77777777" w:rsidR="00611BDD" w:rsidRDefault="00611BDD">
      <w:pPr>
        <w:spacing w:after="180"/>
        <w:jc w:val="center"/>
      </w:pPr>
    </w:p>
    <w:p w14:paraId="54066114" w14:textId="77777777" w:rsidR="00611BDD" w:rsidRDefault="002E18C7">
      <w:pPr>
        <w:spacing w:after="180"/>
        <w:jc w:val="center"/>
      </w:pPr>
      <w:r>
        <w:rPr>
          <w:rFonts w:ascii="sans-serif" w:eastAsia="sans-serif" w:hAnsi="sans-serif" w:cs="sans-serif"/>
          <w:color w:val="000000"/>
          <w:sz w:val="20"/>
          <w:szCs w:val="20"/>
        </w:rPr>
        <w:t>3</w:t>
      </w:r>
    </w:p>
    <w:p w14:paraId="54066115" w14:textId="77777777" w:rsidR="00611BDD" w:rsidRDefault="002E18C7">
      <w:r>
        <w:pict w14:anchorId="54067C27">
          <v:rect id="_x0000_i1027" style="width:415.3pt;height:1.5pt" o:hralign="center" o:hrstd="t" o:hr="t" fillcolor="#a0a0a0" stroked="f"/>
        </w:pict>
      </w:r>
    </w:p>
    <w:p w14:paraId="54066116" w14:textId="77777777" w:rsidR="00611BDD" w:rsidRDefault="00611BDD">
      <w:pPr>
        <w:spacing w:after="180"/>
        <w:jc w:val="both"/>
      </w:pPr>
    </w:p>
    <w:p w14:paraId="54066117" w14:textId="77777777" w:rsidR="00611BDD" w:rsidRDefault="002E18C7">
      <w:pPr>
        <w:jc w:val="center"/>
      </w:pPr>
      <w:r>
        <w:rPr>
          <w:rFonts w:ascii="sans-serif" w:eastAsia="sans-serif" w:hAnsi="sans-serif" w:cs="sans-serif"/>
          <w:b/>
          <w:bCs/>
          <w:color w:val="000000"/>
          <w:sz w:val="20"/>
          <w:szCs w:val="20"/>
        </w:rPr>
        <w:t xml:space="preserve">NVIDIA CORPORATION AND </w:t>
      </w:r>
      <w:r>
        <w:rPr>
          <w:rFonts w:ascii="sans-serif" w:eastAsia="sans-serif" w:hAnsi="sans-serif" w:cs="sans-serif"/>
          <w:b/>
          <w:bCs/>
          <w:color w:val="000000"/>
          <w:sz w:val="20"/>
          <w:szCs w:val="20"/>
        </w:rPr>
        <w:t>SUBSIDIARIES</w:t>
      </w:r>
    </w:p>
    <w:p w14:paraId="54066118" w14:textId="77777777" w:rsidR="00611BDD" w:rsidRDefault="002E18C7">
      <w:pPr>
        <w:jc w:val="center"/>
      </w:pPr>
      <w:r>
        <w:rPr>
          <w:rFonts w:ascii="sans-serif" w:eastAsia="sans-serif" w:hAnsi="sans-serif" w:cs="sans-serif"/>
          <w:b/>
          <w:bCs/>
          <w:color w:val="000000"/>
          <w:sz w:val="20"/>
          <w:szCs w:val="20"/>
        </w:rPr>
        <w:t>CONDENSED CONSOLIDATED STATEMENTS OF COMPREHENSIVE INCOME</w:t>
      </w:r>
    </w:p>
    <w:p w14:paraId="54066119" w14:textId="77777777" w:rsidR="00611BDD" w:rsidRDefault="002E18C7">
      <w:pPr>
        <w:jc w:val="center"/>
      </w:pPr>
      <w:r>
        <w:rPr>
          <w:rFonts w:ascii="sans-serif" w:eastAsia="sans-serif" w:hAnsi="sans-serif" w:cs="sans-serif"/>
          <w:b/>
          <w:bCs/>
          <w:color w:val="000000"/>
          <w:sz w:val="20"/>
          <w:szCs w:val="20"/>
        </w:rPr>
        <w:t>(In millions)</w:t>
      </w:r>
    </w:p>
    <w:p w14:paraId="5406611A" w14:textId="77777777" w:rsidR="00611BDD" w:rsidRDefault="002E18C7">
      <w:pPr>
        <w:jc w:val="center"/>
      </w:pPr>
      <w:r>
        <w:rPr>
          <w:rFonts w:ascii="sans-serif" w:eastAsia="sans-serif" w:hAnsi="sans-serif" w:cs="sans-serif"/>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762"/>
        <w:gridCol w:w="38"/>
        <w:gridCol w:w="122"/>
        <w:gridCol w:w="917"/>
        <w:gridCol w:w="36"/>
        <w:gridCol w:w="36"/>
        <w:gridCol w:w="36"/>
        <w:gridCol w:w="36"/>
        <w:gridCol w:w="122"/>
        <w:gridCol w:w="874"/>
        <w:gridCol w:w="36"/>
        <w:gridCol w:w="36"/>
        <w:gridCol w:w="36"/>
        <w:gridCol w:w="36"/>
        <w:gridCol w:w="122"/>
        <w:gridCol w:w="874"/>
        <w:gridCol w:w="36"/>
        <w:gridCol w:w="36"/>
        <w:gridCol w:w="36"/>
        <w:gridCol w:w="36"/>
        <w:gridCol w:w="122"/>
        <w:gridCol w:w="875"/>
        <w:gridCol w:w="36"/>
      </w:tblGrid>
      <w:tr w:rsidR="00611BDD" w14:paraId="54066133" w14:textId="77777777">
        <w:trPr>
          <w:jc w:val="center"/>
        </w:trPr>
        <w:tc>
          <w:tcPr>
            <w:tcW w:w="50" w:type="pct"/>
            <w:shd w:val="clear" w:color="auto" w:fill="auto"/>
            <w:vAlign w:val="bottom"/>
          </w:tcPr>
          <w:p w14:paraId="5406611B" w14:textId="77777777" w:rsidR="00611BDD" w:rsidRDefault="00611BDD">
            <w:pPr>
              <w:rPr>
                <w:rFonts w:ascii="宋体"/>
              </w:rPr>
            </w:pPr>
          </w:p>
        </w:tc>
        <w:tc>
          <w:tcPr>
            <w:tcW w:w="2291" w:type="pct"/>
            <w:shd w:val="clear" w:color="auto" w:fill="auto"/>
            <w:vAlign w:val="bottom"/>
          </w:tcPr>
          <w:p w14:paraId="5406611C" w14:textId="77777777" w:rsidR="00611BDD" w:rsidRDefault="00611BDD">
            <w:pPr>
              <w:rPr>
                <w:rFonts w:ascii="宋体"/>
              </w:rPr>
            </w:pPr>
          </w:p>
        </w:tc>
        <w:tc>
          <w:tcPr>
            <w:tcW w:w="5" w:type="pct"/>
            <w:shd w:val="clear" w:color="auto" w:fill="auto"/>
            <w:vAlign w:val="bottom"/>
          </w:tcPr>
          <w:p w14:paraId="5406611D" w14:textId="77777777" w:rsidR="00611BDD" w:rsidRDefault="00611BDD">
            <w:pPr>
              <w:rPr>
                <w:rFonts w:ascii="宋体"/>
              </w:rPr>
            </w:pPr>
          </w:p>
        </w:tc>
        <w:tc>
          <w:tcPr>
            <w:tcW w:w="50" w:type="pct"/>
            <w:shd w:val="clear" w:color="auto" w:fill="auto"/>
            <w:vAlign w:val="bottom"/>
          </w:tcPr>
          <w:p w14:paraId="5406611E" w14:textId="77777777" w:rsidR="00611BDD" w:rsidRDefault="00611BDD">
            <w:pPr>
              <w:rPr>
                <w:rFonts w:ascii="宋体"/>
              </w:rPr>
            </w:pPr>
          </w:p>
        </w:tc>
        <w:tc>
          <w:tcPr>
            <w:tcW w:w="580" w:type="pct"/>
            <w:shd w:val="clear" w:color="auto" w:fill="auto"/>
            <w:vAlign w:val="bottom"/>
          </w:tcPr>
          <w:p w14:paraId="5406611F" w14:textId="77777777" w:rsidR="00611BDD" w:rsidRDefault="00611BDD">
            <w:pPr>
              <w:rPr>
                <w:rFonts w:ascii="宋体"/>
              </w:rPr>
            </w:pPr>
          </w:p>
        </w:tc>
        <w:tc>
          <w:tcPr>
            <w:tcW w:w="5" w:type="pct"/>
            <w:shd w:val="clear" w:color="auto" w:fill="auto"/>
            <w:vAlign w:val="bottom"/>
          </w:tcPr>
          <w:p w14:paraId="54066120" w14:textId="77777777" w:rsidR="00611BDD" w:rsidRDefault="00611BDD">
            <w:pPr>
              <w:rPr>
                <w:rFonts w:ascii="宋体"/>
              </w:rPr>
            </w:pPr>
          </w:p>
        </w:tc>
        <w:tc>
          <w:tcPr>
            <w:tcW w:w="5" w:type="pct"/>
            <w:shd w:val="clear" w:color="auto" w:fill="auto"/>
            <w:vAlign w:val="bottom"/>
          </w:tcPr>
          <w:p w14:paraId="54066121" w14:textId="77777777" w:rsidR="00611BDD" w:rsidRDefault="00611BDD">
            <w:pPr>
              <w:rPr>
                <w:rFonts w:ascii="宋体"/>
              </w:rPr>
            </w:pPr>
          </w:p>
        </w:tc>
        <w:tc>
          <w:tcPr>
            <w:tcW w:w="26" w:type="pct"/>
            <w:shd w:val="clear" w:color="auto" w:fill="auto"/>
            <w:vAlign w:val="bottom"/>
          </w:tcPr>
          <w:p w14:paraId="54066122" w14:textId="77777777" w:rsidR="00611BDD" w:rsidRDefault="00611BDD">
            <w:pPr>
              <w:rPr>
                <w:rFonts w:ascii="宋体"/>
              </w:rPr>
            </w:pPr>
          </w:p>
        </w:tc>
        <w:tc>
          <w:tcPr>
            <w:tcW w:w="5" w:type="pct"/>
            <w:shd w:val="clear" w:color="auto" w:fill="auto"/>
            <w:vAlign w:val="bottom"/>
          </w:tcPr>
          <w:p w14:paraId="54066123" w14:textId="77777777" w:rsidR="00611BDD" w:rsidRDefault="00611BDD">
            <w:pPr>
              <w:rPr>
                <w:rFonts w:ascii="宋体"/>
              </w:rPr>
            </w:pPr>
          </w:p>
        </w:tc>
        <w:tc>
          <w:tcPr>
            <w:tcW w:w="50" w:type="pct"/>
            <w:shd w:val="clear" w:color="auto" w:fill="auto"/>
            <w:vAlign w:val="bottom"/>
          </w:tcPr>
          <w:p w14:paraId="54066124" w14:textId="77777777" w:rsidR="00611BDD" w:rsidRDefault="00611BDD">
            <w:pPr>
              <w:rPr>
                <w:rFonts w:ascii="宋体"/>
              </w:rPr>
            </w:pPr>
          </w:p>
        </w:tc>
        <w:tc>
          <w:tcPr>
            <w:tcW w:w="580" w:type="pct"/>
            <w:shd w:val="clear" w:color="auto" w:fill="auto"/>
            <w:vAlign w:val="bottom"/>
          </w:tcPr>
          <w:p w14:paraId="54066125" w14:textId="77777777" w:rsidR="00611BDD" w:rsidRDefault="00611BDD">
            <w:pPr>
              <w:rPr>
                <w:rFonts w:ascii="宋体"/>
              </w:rPr>
            </w:pPr>
          </w:p>
        </w:tc>
        <w:tc>
          <w:tcPr>
            <w:tcW w:w="5" w:type="pct"/>
            <w:shd w:val="clear" w:color="auto" w:fill="auto"/>
            <w:vAlign w:val="bottom"/>
          </w:tcPr>
          <w:p w14:paraId="54066126" w14:textId="77777777" w:rsidR="00611BDD" w:rsidRDefault="00611BDD">
            <w:pPr>
              <w:rPr>
                <w:rFonts w:ascii="宋体"/>
              </w:rPr>
            </w:pPr>
          </w:p>
        </w:tc>
        <w:tc>
          <w:tcPr>
            <w:tcW w:w="5" w:type="pct"/>
            <w:shd w:val="clear" w:color="auto" w:fill="auto"/>
            <w:vAlign w:val="bottom"/>
          </w:tcPr>
          <w:p w14:paraId="54066127" w14:textId="77777777" w:rsidR="00611BDD" w:rsidRDefault="00611BDD">
            <w:pPr>
              <w:rPr>
                <w:rFonts w:ascii="宋体"/>
              </w:rPr>
            </w:pPr>
          </w:p>
        </w:tc>
        <w:tc>
          <w:tcPr>
            <w:tcW w:w="26" w:type="pct"/>
            <w:shd w:val="clear" w:color="auto" w:fill="auto"/>
            <w:vAlign w:val="bottom"/>
          </w:tcPr>
          <w:p w14:paraId="54066128" w14:textId="77777777" w:rsidR="00611BDD" w:rsidRDefault="00611BDD">
            <w:pPr>
              <w:rPr>
                <w:rFonts w:ascii="宋体"/>
              </w:rPr>
            </w:pPr>
          </w:p>
        </w:tc>
        <w:tc>
          <w:tcPr>
            <w:tcW w:w="5" w:type="pct"/>
            <w:shd w:val="clear" w:color="auto" w:fill="auto"/>
            <w:vAlign w:val="bottom"/>
          </w:tcPr>
          <w:p w14:paraId="54066129" w14:textId="77777777" w:rsidR="00611BDD" w:rsidRDefault="00611BDD">
            <w:pPr>
              <w:rPr>
                <w:rFonts w:ascii="宋体"/>
              </w:rPr>
            </w:pPr>
          </w:p>
        </w:tc>
        <w:tc>
          <w:tcPr>
            <w:tcW w:w="50" w:type="pct"/>
            <w:shd w:val="clear" w:color="auto" w:fill="auto"/>
            <w:vAlign w:val="bottom"/>
          </w:tcPr>
          <w:p w14:paraId="5406612A" w14:textId="77777777" w:rsidR="00611BDD" w:rsidRDefault="00611BDD">
            <w:pPr>
              <w:rPr>
                <w:rFonts w:ascii="宋体"/>
              </w:rPr>
            </w:pPr>
          </w:p>
        </w:tc>
        <w:tc>
          <w:tcPr>
            <w:tcW w:w="580" w:type="pct"/>
            <w:shd w:val="clear" w:color="auto" w:fill="auto"/>
            <w:vAlign w:val="bottom"/>
          </w:tcPr>
          <w:p w14:paraId="5406612B" w14:textId="77777777" w:rsidR="00611BDD" w:rsidRDefault="00611BDD">
            <w:pPr>
              <w:rPr>
                <w:rFonts w:ascii="宋体"/>
              </w:rPr>
            </w:pPr>
          </w:p>
        </w:tc>
        <w:tc>
          <w:tcPr>
            <w:tcW w:w="5" w:type="pct"/>
            <w:shd w:val="clear" w:color="auto" w:fill="auto"/>
            <w:vAlign w:val="bottom"/>
          </w:tcPr>
          <w:p w14:paraId="5406612C" w14:textId="77777777" w:rsidR="00611BDD" w:rsidRDefault="00611BDD">
            <w:pPr>
              <w:rPr>
                <w:rFonts w:ascii="宋体"/>
              </w:rPr>
            </w:pPr>
          </w:p>
        </w:tc>
        <w:tc>
          <w:tcPr>
            <w:tcW w:w="5" w:type="pct"/>
            <w:shd w:val="clear" w:color="auto" w:fill="auto"/>
            <w:vAlign w:val="bottom"/>
          </w:tcPr>
          <w:p w14:paraId="5406612D" w14:textId="77777777" w:rsidR="00611BDD" w:rsidRDefault="00611BDD">
            <w:pPr>
              <w:rPr>
                <w:rFonts w:ascii="宋体"/>
              </w:rPr>
            </w:pPr>
          </w:p>
        </w:tc>
        <w:tc>
          <w:tcPr>
            <w:tcW w:w="26" w:type="pct"/>
            <w:shd w:val="clear" w:color="auto" w:fill="auto"/>
            <w:vAlign w:val="bottom"/>
          </w:tcPr>
          <w:p w14:paraId="5406612E" w14:textId="77777777" w:rsidR="00611BDD" w:rsidRDefault="00611BDD">
            <w:pPr>
              <w:rPr>
                <w:rFonts w:ascii="宋体"/>
              </w:rPr>
            </w:pPr>
          </w:p>
        </w:tc>
        <w:tc>
          <w:tcPr>
            <w:tcW w:w="5" w:type="pct"/>
            <w:shd w:val="clear" w:color="auto" w:fill="auto"/>
            <w:vAlign w:val="bottom"/>
          </w:tcPr>
          <w:p w14:paraId="5406612F" w14:textId="77777777" w:rsidR="00611BDD" w:rsidRDefault="00611BDD">
            <w:pPr>
              <w:rPr>
                <w:rFonts w:ascii="宋体"/>
              </w:rPr>
            </w:pPr>
          </w:p>
        </w:tc>
        <w:tc>
          <w:tcPr>
            <w:tcW w:w="50" w:type="pct"/>
            <w:shd w:val="clear" w:color="auto" w:fill="auto"/>
            <w:vAlign w:val="bottom"/>
          </w:tcPr>
          <w:p w14:paraId="54066130" w14:textId="77777777" w:rsidR="00611BDD" w:rsidRDefault="00611BDD">
            <w:pPr>
              <w:rPr>
                <w:rFonts w:ascii="宋体"/>
              </w:rPr>
            </w:pPr>
          </w:p>
        </w:tc>
        <w:tc>
          <w:tcPr>
            <w:tcW w:w="581" w:type="pct"/>
            <w:shd w:val="clear" w:color="auto" w:fill="auto"/>
            <w:vAlign w:val="bottom"/>
          </w:tcPr>
          <w:p w14:paraId="54066131" w14:textId="77777777" w:rsidR="00611BDD" w:rsidRDefault="00611BDD">
            <w:pPr>
              <w:rPr>
                <w:rFonts w:ascii="宋体"/>
              </w:rPr>
            </w:pPr>
          </w:p>
        </w:tc>
        <w:tc>
          <w:tcPr>
            <w:tcW w:w="5" w:type="pct"/>
            <w:shd w:val="clear" w:color="auto" w:fill="auto"/>
            <w:vAlign w:val="bottom"/>
          </w:tcPr>
          <w:p w14:paraId="54066132" w14:textId="77777777" w:rsidR="00611BDD" w:rsidRDefault="00611BDD">
            <w:pPr>
              <w:rPr>
                <w:rFonts w:ascii="宋体"/>
              </w:rPr>
            </w:pPr>
          </w:p>
        </w:tc>
      </w:tr>
      <w:tr w:rsidR="00611BDD" w14:paraId="54066138" w14:textId="77777777">
        <w:trPr>
          <w:jc w:val="center"/>
        </w:trPr>
        <w:tc>
          <w:tcPr>
            <w:tcW w:w="0" w:type="auto"/>
            <w:gridSpan w:val="3"/>
            <w:shd w:val="clear" w:color="auto" w:fill="auto"/>
            <w:tcMar>
              <w:top w:w="40" w:type="dxa"/>
              <w:left w:w="20" w:type="dxa"/>
              <w:bottom w:w="40" w:type="dxa"/>
              <w:right w:w="20" w:type="dxa"/>
            </w:tcMar>
            <w:vAlign w:val="bottom"/>
          </w:tcPr>
          <w:p w14:paraId="54066134" w14:textId="77777777" w:rsidR="00611BDD" w:rsidRDefault="002E18C7">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54066135" w14:textId="77777777" w:rsidR="00611BDD" w:rsidRDefault="002E18C7">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54066136" w14:textId="77777777" w:rsidR="00611BDD" w:rsidRDefault="00611BDD">
            <w:pPr>
              <w:rPr>
                <w:rFonts w:ascii="宋体"/>
              </w:rPr>
            </w:pPr>
          </w:p>
        </w:tc>
        <w:tc>
          <w:tcPr>
            <w:tcW w:w="0" w:type="auto"/>
            <w:gridSpan w:val="9"/>
            <w:shd w:val="clear" w:color="auto" w:fill="auto"/>
            <w:tcMar>
              <w:top w:w="40" w:type="dxa"/>
              <w:left w:w="20" w:type="dxa"/>
              <w:bottom w:w="40" w:type="dxa"/>
              <w:right w:w="20" w:type="dxa"/>
            </w:tcMar>
            <w:vAlign w:val="bottom"/>
          </w:tcPr>
          <w:p w14:paraId="54066137" w14:textId="77777777" w:rsidR="00611BDD" w:rsidRDefault="002E18C7">
            <w:pPr>
              <w:jc w:val="center"/>
              <w:textAlignment w:val="bottom"/>
            </w:pPr>
            <w:r>
              <w:rPr>
                <w:rFonts w:ascii="sans-serif" w:eastAsia="sans-serif" w:hAnsi="sans-serif" w:cs="sans-serif"/>
                <w:b/>
                <w:bCs/>
                <w:color w:val="000000"/>
                <w:sz w:val="20"/>
                <w:szCs w:val="20"/>
              </w:rPr>
              <w:t>Six Months Ended</w:t>
            </w:r>
          </w:p>
        </w:tc>
      </w:tr>
      <w:tr w:rsidR="00611BDD" w14:paraId="54066141" w14:textId="77777777">
        <w:trPr>
          <w:jc w:val="center"/>
        </w:trPr>
        <w:tc>
          <w:tcPr>
            <w:tcW w:w="0" w:type="auto"/>
            <w:gridSpan w:val="3"/>
            <w:shd w:val="clear" w:color="auto" w:fill="auto"/>
            <w:tcMar>
              <w:top w:w="40" w:type="dxa"/>
              <w:left w:w="20" w:type="dxa"/>
              <w:bottom w:w="40" w:type="dxa"/>
              <w:right w:w="20" w:type="dxa"/>
            </w:tcMar>
            <w:vAlign w:val="bottom"/>
          </w:tcPr>
          <w:p w14:paraId="54066139"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13A" w14:textId="77777777" w:rsidR="00611BDD" w:rsidRDefault="002E18C7">
            <w:pPr>
              <w:jc w:val="center"/>
              <w:textAlignment w:val="bottom"/>
            </w:pPr>
            <w:r>
              <w:rPr>
                <w:rFonts w:ascii="sans-serif" w:eastAsia="sans-serif" w:hAnsi="sans-serif" w:cs="sans-serif"/>
                <w:b/>
                <w:bCs/>
                <w:color w:val="000000"/>
                <w:sz w:val="20"/>
                <w:szCs w:val="20"/>
              </w:rPr>
              <w:t>August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13B"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13C" w14:textId="77777777" w:rsidR="00611BDD" w:rsidRDefault="002E18C7">
            <w:pPr>
              <w:jc w:val="center"/>
              <w:textAlignment w:val="bottom"/>
            </w:pPr>
            <w:r>
              <w:rPr>
                <w:rFonts w:ascii="sans-serif" w:eastAsia="sans-serif" w:hAnsi="sans-serif" w:cs="sans-serif"/>
                <w:b/>
                <w:bCs/>
                <w:color w:val="000000"/>
                <w:sz w:val="20"/>
                <w:szCs w:val="20"/>
              </w:rPr>
              <w:t>July 26,</w:t>
            </w:r>
          </w:p>
        </w:tc>
        <w:tc>
          <w:tcPr>
            <w:tcW w:w="0" w:type="auto"/>
            <w:gridSpan w:val="3"/>
            <w:shd w:val="clear" w:color="auto" w:fill="auto"/>
            <w:tcMar>
              <w:top w:w="0" w:type="dxa"/>
              <w:left w:w="20" w:type="dxa"/>
              <w:bottom w:w="0" w:type="dxa"/>
              <w:right w:w="20" w:type="dxa"/>
            </w:tcMar>
            <w:vAlign w:val="bottom"/>
          </w:tcPr>
          <w:p w14:paraId="5406613D"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13E" w14:textId="77777777" w:rsidR="00611BDD" w:rsidRDefault="002E18C7">
            <w:pPr>
              <w:jc w:val="center"/>
              <w:textAlignment w:val="bottom"/>
            </w:pPr>
            <w:r>
              <w:rPr>
                <w:rFonts w:ascii="sans-serif" w:eastAsia="sans-serif" w:hAnsi="sans-serif" w:cs="sans-serif"/>
                <w:b/>
                <w:bCs/>
                <w:color w:val="000000"/>
                <w:sz w:val="20"/>
                <w:szCs w:val="20"/>
              </w:rPr>
              <w:t>August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13F"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140" w14:textId="77777777" w:rsidR="00611BDD" w:rsidRDefault="002E18C7">
            <w:pPr>
              <w:jc w:val="center"/>
              <w:textAlignment w:val="bottom"/>
            </w:pPr>
            <w:r>
              <w:rPr>
                <w:rFonts w:ascii="sans-serif" w:eastAsia="sans-serif" w:hAnsi="sans-serif" w:cs="sans-serif"/>
                <w:b/>
                <w:bCs/>
                <w:color w:val="000000"/>
                <w:sz w:val="20"/>
                <w:szCs w:val="20"/>
              </w:rPr>
              <w:t>July 26,</w:t>
            </w:r>
          </w:p>
        </w:tc>
      </w:tr>
      <w:tr w:rsidR="00611BDD" w14:paraId="5406614A" w14:textId="77777777">
        <w:trPr>
          <w:jc w:val="center"/>
        </w:trPr>
        <w:tc>
          <w:tcPr>
            <w:tcW w:w="0" w:type="auto"/>
            <w:gridSpan w:val="3"/>
            <w:shd w:val="clear" w:color="auto" w:fill="auto"/>
            <w:tcMar>
              <w:top w:w="0" w:type="dxa"/>
              <w:left w:w="20" w:type="dxa"/>
              <w:bottom w:w="0" w:type="dxa"/>
              <w:right w:w="20" w:type="dxa"/>
            </w:tcMar>
            <w:vAlign w:val="bottom"/>
          </w:tcPr>
          <w:p w14:paraId="54066142"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6143" w14:textId="77777777" w:rsidR="00611BDD" w:rsidRDefault="002E18C7">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4066144"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6145" w14:textId="77777777" w:rsidR="00611BDD" w:rsidRDefault="002E18C7">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vAlign w:val="bottom"/>
          </w:tcPr>
          <w:p w14:paraId="54066146"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6147" w14:textId="77777777" w:rsidR="00611BDD" w:rsidRDefault="002E18C7">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4066148"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6149" w14:textId="77777777" w:rsidR="00611BDD" w:rsidRDefault="002E18C7">
            <w:pPr>
              <w:jc w:val="center"/>
              <w:textAlignment w:val="bottom"/>
            </w:pPr>
            <w:r>
              <w:rPr>
                <w:rFonts w:ascii="sans-serif" w:eastAsia="sans-serif" w:hAnsi="sans-serif" w:cs="sans-serif"/>
                <w:b/>
                <w:bCs/>
                <w:color w:val="000000"/>
                <w:sz w:val="20"/>
                <w:szCs w:val="20"/>
              </w:rPr>
              <w:t>2020</w:t>
            </w:r>
          </w:p>
        </w:tc>
      </w:tr>
      <w:tr w:rsidR="00611BDD" w14:paraId="54066153" w14:textId="77777777">
        <w:trPr>
          <w:jc w:val="center"/>
        </w:trPr>
        <w:tc>
          <w:tcPr>
            <w:tcW w:w="0" w:type="auto"/>
            <w:gridSpan w:val="3"/>
            <w:shd w:val="clear" w:color="auto" w:fill="auto"/>
            <w:tcMar>
              <w:top w:w="40" w:type="dxa"/>
              <w:left w:w="20" w:type="dxa"/>
              <w:bottom w:w="40" w:type="dxa"/>
              <w:right w:w="20" w:type="dxa"/>
            </w:tcMar>
            <w:vAlign w:val="bottom"/>
          </w:tcPr>
          <w:p w14:paraId="5406614B"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14C"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14D"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14E"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14F"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150"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151"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152" w14:textId="77777777" w:rsidR="00611BDD" w:rsidRDefault="00611BDD">
            <w:pPr>
              <w:rPr>
                <w:rFonts w:ascii="宋体"/>
              </w:rPr>
            </w:pPr>
          </w:p>
        </w:tc>
      </w:tr>
      <w:tr w:rsidR="00611BDD" w14:paraId="54066164" w14:textId="77777777">
        <w:trPr>
          <w:jc w:val="center"/>
        </w:trPr>
        <w:tc>
          <w:tcPr>
            <w:tcW w:w="0" w:type="auto"/>
            <w:gridSpan w:val="3"/>
            <w:shd w:val="clear" w:color="auto" w:fill="E2EFD9"/>
            <w:tcMar>
              <w:top w:w="40" w:type="dxa"/>
              <w:left w:w="20" w:type="dxa"/>
              <w:bottom w:w="40" w:type="dxa"/>
              <w:right w:w="20" w:type="dxa"/>
            </w:tcMar>
            <w:vAlign w:val="bottom"/>
          </w:tcPr>
          <w:p w14:paraId="54066154" w14:textId="77777777" w:rsidR="00611BDD" w:rsidRDefault="002E18C7">
            <w:pPr>
              <w:textAlignment w:val="bottom"/>
            </w:pPr>
            <w:r>
              <w:rPr>
                <w:rFonts w:ascii="sans-serif" w:eastAsia="sans-serif" w:hAnsi="sans-serif" w:cs="sans-serif"/>
                <w:color w:val="000000"/>
                <w:sz w:val="20"/>
                <w:szCs w:val="20"/>
              </w:rPr>
              <w:t>Net income</w:t>
            </w:r>
          </w:p>
        </w:tc>
        <w:tc>
          <w:tcPr>
            <w:tcW w:w="0" w:type="auto"/>
            <w:shd w:val="clear" w:color="auto" w:fill="E2EFD9"/>
            <w:tcMar>
              <w:top w:w="40" w:type="dxa"/>
              <w:left w:w="20" w:type="dxa"/>
              <w:bottom w:w="40" w:type="dxa"/>
              <w:right w:w="0" w:type="dxa"/>
            </w:tcMar>
            <w:vAlign w:val="bottom"/>
          </w:tcPr>
          <w:p w14:paraId="54066155"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156" w14:textId="77777777" w:rsidR="00611BDD" w:rsidRDefault="002E18C7">
            <w:pPr>
              <w:jc w:val="right"/>
              <w:textAlignment w:val="bottom"/>
            </w:pPr>
            <w:r>
              <w:rPr>
                <w:rFonts w:ascii="sans-serif" w:eastAsia="sans-serif" w:hAnsi="sans-serif" w:cs="sans-serif"/>
                <w:color w:val="000000"/>
                <w:sz w:val="20"/>
                <w:szCs w:val="20"/>
              </w:rPr>
              <w:t>2,374 </w:t>
            </w:r>
          </w:p>
        </w:tc>
        <w:tc>
          <w:tcPr>
            <w:tcW w:w="0" w:type="auto"/>
            <w:shd w:val="clear" w:color="auto" w:fill="E2EFD9"/>
            <w:tcMar>
              <w:top w:w="40" w:type="dxa"/>
              <w:left w:w="0" w:type="dxa"/>
              <w:bottom w:w="40" w:type="dxa"/>
              <w:right w:w="20" w:type="dxa"/>
            </w:tcMar>
            <w:vAlign w:val="bottom"/>
          </w:tcPr>
          <w:p w14:paraId="54066157"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158"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159"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15A" w14:textId="77777777" w:rsidR="00611BDD" w:rsidRDefault="002E18C7">
            <w:pPr>
              <w:jc w:val="right"/>
              <w:textAlignment w:val="bottom"/>
            </w:pPr>
            <w:r>
              <w:rPr>
                <w:rFonts w:ascii="sans-serif" w:eastAsia="sans-serif" w:hAnsi="sans-serif" w:cs="sans-serif"/>
                <w:color w:val="000000"/>
                <w:sz w:val="20"/>
                <w:szCs w:val="20"/>
              </w:rPr>
              <w:t>622 </w:t>
            </w:r>
          </w:p>
        </w:tc>
        <w:tc>
          <w:tcPr>
            <w:tcW w:w="0" w:type="auto"/>
            <w:shd w:val="clear" w:color="auto" w:fill="E2EFD9"/>
            <w:tcMar>
              <w:top w:w="40" w:type="dxa"/>
              <w:left w:w="0" w:type="dxa"/>
              <w:bottom w:w="40" w:type="dxa"/>
              <w:right w:w="20" w:type="dxa"/>
            </w:tcMar>
            <w:vAlign w:val="bottom"/>
          </w:tcPr>
          <w:p w14:paraId="5406615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15C"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15D"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15E" w14:textId="77777777" w:rsidR="00611BDD" w:rsidRDefault="002E18C7">
            <w:pPr>
              <w:jc w:val="right"/>
              <w:textAlignment w:val="bottom"/>
            </w:pPr>
            <w:r>
              <w:rPr>
                <w:rFonts w:ascii="sans-serif" w:eastAsia="sans-serif" w:hAnsi="sans-serif" w:cs="sans-serif"/>
                <w:color w:val="000000"/>
                <w:sz w:val="20"/>
                <w:szCs w:val="20"/>
              </w:rPr>
              <w:t>4,285 </w:t>
            </w:r>
          </w:p>
        </w:tc>
        <w:tc>
          <w:tcPr>
            <w:tcW w:w="0" w:type="auto"/>
            <w:shd w:val="clear" w:color="auto" w:fill="E2EFD9"/>
            <w:tcMar>
              <w:top w:w="40" w:type="dxa"/>
              <w:left w:w="0" w:type="dxa"/>
              <w:bottom w:w="40" w:type="dxa"/>
              <w:right w:w="20" w:type="dxa"/>
            </w:tcMar>
            <w:vAlign w:val="bottom"/>
          </w:tcPr>
          <w:p w14:paraId="5406615F"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160"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161"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162" w14:textId="77777777" w:rsidR="00611BDD" w:rsidRDefault="002E18C7">
            <w:pPr>
              <w:jc w:val="right"/>
              <w:textAlignment w:val="bottom"/>
            </w:pPr>
            <w:r>
              <w:rPr>
                <w:rFonts w:ascii="sans-serif" w:eastAsia="sans-serif" w:hAnsi="sans-serif" w:cs="sans-serif"/>
                <w:color w:val="000000"/>
                <w:sz w:val="20"/>
                <w:szCs w:val="20"/>
              </w:rPr>
              <w:t>1,539 </w:t>
            </w:r>
          </w:p>
        </w:tc>
        <w:tc>
          <w:tcPr>
            <w:tcW w:w="0" w:type="auto"/>
            <w:shd w:val="clear" w:color="auto" w:fill="E2EFD9"/>
            <w:tcMar>
              <w:top w:w="40" w:type="dxa"/>
              <w:left w:w="0" w:type="dxa"/>
              <w:bottom w:w="40" w:type="dxa"/>
              <w:right w:w="20" w:type="dxa"/>
            </w:tcMar>
            <w:vAlign w:val="bottom"/>
          </w:tcPr>
          <w:p w14:paraId="54066163" w14:textId="77777777" w:rsidR="00611BDD" w:rsidRDefault="00611BDD">
            <w:pPr>
              <w:jc w:val="right"/>
              <w:rPr>
                <w:rFonts w:ascii="宋体"/>
              </w:rPr>
            </w:pPr>
          </w:p>
        </w:tc>
      </w:tr>
      <w:tr w:rsidR="00611BDD" w14:paraId="5406616D" w14:textId="77777777">
        <w:trPr>
          <w:jc w:val="center"/>
        </w:trPr>
        <w:tc>
          <w:tcPr>
            <w:tcW w:w="0" w:type="auto"/>
            <w:gridSpan w:val="3"/>
            <w:shd w:val="clear" w:color="auto" w:fill="FFFFFF"/>
            <w:tcMar>
              <w:top w:w="40" w:type="dxa"/>
              <w:left w:w="20" w:type="dxa"/>
              <w:bottom w:w="40" w:type="dxa"/>
              <w:right w:w="20" w:type="dxa"/>
            </w:tcMar>
            <w:vAlign w:val="bottom"/>
          </w:tcPr>
          <w:p w14:paraId="54066165" w14:textId="77777777" w:rsidR="00611BDD" w:rsidRDefault="002E18C7">
            <w:pPr>
              <w:textAlignment w:val="bottom"/>
            </w:pPr>
            <w:r>
              <w:rPr>
                <w:rFonts w:ascii="sans-serif" w:eastAsia="sans-serif" w:hAnsi="sans-serif" w:cs="sans-serif"/>
                <w:color w:val="000000"/>
                <w:sz w:val="20"/>
                <w:szCs w:val="20"/>
              </w:rPr>
              <w:t>Other comprehensive income (loss), net of tax</w:t>
            </w:r>
          </w:p>
        </w:tc>
        <w:tc>
          <w:tcPr>
            <w:tcW w:w="0" w:type="auto"/>
            <w:gridSpan w:val="3"/>
            <w:shd w:val="clear" w:color="auto" w:fill="FFFFFF"/>
            <w:tcMar>
              <w:top w:w="0" w:type="dxa"/>
              <w:left w:w="20" w:type="dxa"/>
              <w:bottom w:w="0" w:type="dxa"/>
              <w:right w:w="20" w:type="dxa"/>
            </w:tcMar>
            <w:vAlign w:val="bottom"/>
          </w:tcPr>
          <w:p w14:paraId="54066166"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167"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168"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169"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16A"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16B"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16C" w14:textId="77777777" w:rsidR="00611BDD" w:rsidRDefault="00611BDD">
            <w:pPr>
              <w:rPr>
                <w:rFonts w:ascii="宋体"/>
              </w:rPr>
            </w:pPr>
          </w:p>
        </w:tc>
      </w:tr>
      <w:tr w:rsidR="00611BDD" w14:paraId="54066176" w14:textId="77777777">
        <w:trPr>
          <w:jc w:val="center"/>
        </w:trPr>
        <w:tc>
          <w:tcPr>
            <w:tcW w:w="0" w:type="auto"/>
            <w:gridSpan w:val="3"/>
            <w:shd w:val="clear" w:color="auto" w:fill="E2EFD9"/>
            <w:tcMar>
              <w:top w:w="40" w:type="dxa"/>
              <w:left w:w="20" w:type="dxa"/>
              <w:bottom w:w="40" w:type="dxa"/>
              <w:right w:w="20" w:type="dxa"/>
            </w:tcMar>
            <w:vAlign w:val="bottom"/>
          </w:tcPr>
          <w:p w14:paraId="5406616E" w14:textId="77777777" w:rsidR="00611BDD" w:rsidRDefault="002E18C7">
            <w:pPr>
              <w:textAlignment w:val="bottom"/>
            </w:pPr>
            <w:r>
              <w:rPr>
                <w:rFonts w:ascii="sans-serif" w:eastAsia="sans-serif" w:hAnsi="sans-serif" w:cs="sans-serif"/>
                <w:color w:val="000000"/>
                <w:sz w:val="20"/>
                <w:szCs w:val="20"/>
              </w:rPr>
              <w:t>Available-for-sale securities:</w:t>
            </w:r>
          </w:p>
        </w:tc>
        <w:tc>
          <w:tcPr>
            <w:tcW w:w="0" w:type="auto"/>
            <w:gridSpan w:val="3"/>
            <w:shd w:val="clear" w:color="auto" w:fill="E2EFD9"/>
            <w:tcMar>
              <w:top w:w="0" w:type="dxa"/>
              <w:left w:w="20" w:type="dxa"/>
              <w:bottom w:w="0" w:type="dxa"/>
              <w:right w:w="20" w:type="dxa"/>
            </w:tcMar>
            <w:vAlign w:val="bottom"/>
          </w:tcPr>
          <w:p w14:paraId="5406616F"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170"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171"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172"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173"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174"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175" w14:textId="77777777" w:rsidR="00611BDD" w:rsidRDefault="00611BDD">
            <w:pPr>
              <w:rPr>
                <w:rFonts w:ascii="宋体"/>
              </w:rPr>
            </w:pPr>
          </w:p>
        </w:tc>
      </w:tr>
      <w:tr w:rsidR="00611BDD" w14:paraId="54066183" w14:textId="77777777">
        <w:trPr>
          <w:jc w:val="center"/>
        </w:trPr>
        <w:tc>
          <w:tcPr>
            <w:tcW w:w="0" w:type="auto"/>
            <w:gridSpan w:val="3"/>
            <w:shd w:val="clear" w:color="auto" w:fill="FFFFFF"/>
            <w:tcMar>
              <w:top w:w="40" w:type="dxa"/>
              <w:left w:w="245" w:type="dxa"/>
              <w:bottom w:w="40" w:type="dxa"/>
              <w:right w:w="20" w:type="dxa"/>
            </w:tcMar>
            <w:vAlign w:val="bottom"/>
          </w:tcPr>
          <w:p w14:paraId="54066177" w14:textId="77777777" w:rsidR="00611BDD" w:rsidRDefault="002E18C7">
            <w:pPr>
              <w:textAlignment w:val="bottom"/>
            </w:pPr>
            <w:r>
              <w:rPr>
                <w:rFonts w:ascii="sans-serif" w:eastAsia="sans-serif" w:hAnsi="sans-serif" w:cs="sans-serif"/>
                <w:color w:val="000000"/>
                <w:sz w:val="20"/>
                <w:szCs w:val="20"/>
              </w:rPr>
              <w:t>Net change in unrealized gain (loss)</w:t>
            </w:r>
          </w:p>
        </w:tc>
        <w:tc>
          <w:tcPr>
            <w:tcW w:w="0" w:type="auto"/>
            <w:gridSpan w:val="2"/>
            <w:shd w:val="clear" w:color="auto" w:fill="FFFFFF"/>
            <w:tcMar>
              <w:top w:w="40" w:type="dxa"/>
              <w:left w:w="20" w:type="dxa"/>
              <w:bottom w:w="40" w:type="dxa"/>
              <w:right w:w="0" w:type="dxa"/>
            </w:tcMar>
            <w:vAlign w:val="bottom"/>
          </w:tcPr>
          <w:p w14:paraId="54066178"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406617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17A"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17B" w14:textId="77777777" w:rsidR="00611BDD" w:rsidRDefault="002E18C7">
            <w:pPr>
              <w:jc w:val="right"/>
              <w:textAlignment w:val="bottom"/>
            </w:pPr>
            <w:r>
              <w:rPr>
                <w:rFonts w:ascii="sans-serif" w:eastAsia="sans-serif" w:hAnsi="sans-serif" w:cs="sans-serif"/>
                <w:color w:val="000000"/>
                <w:sz w:val="20"/>
                <w:szCs w:val="20"/>
              </w:rPr>
              <w:t>3 </w:t>
            </w:r>
          </w:p>
        </w:tc>
        <w:tc>
          <w:tcPr>
            <w:tcW w:w="0" w:type="auto"/>
            <w:shd w:val="clear" w:color="auto" w:fill="FFFFFF"/>
            <w:tcMar>
              <w:top w:w="40" w:type="dxa"/>
              <w:left w:w="0" w:type="dxa"/>
              <w:bottom w:w="40" w:type="dxa"/>
              <w:right w:w="20" w:type="dxa"/>
            </w:tcMar>
            <w:vAlign w:val="bottom"/>
          </w:tcPr>
          <w:p w14:paraId="5406617C"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17D"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17E" w14:textId="77777777" w:rsidR="00611BDD" w:rsidRDefault="002E18C7">
            <w:pPr>
              <w:jc w:val="right"/>
              <w:textAlignment w:val="bottom"/>
            </w:pPr>
            <w:r>
              <w:rPr>
                <w:rFonts w:ascii="sans-serif" w:eastAsia="sans-serif" w:hAnsi="sans-serif" w:cs="sans-serif"/>
                <w:color w:val="000000"/>
                <w:sz w:val="20"/>
                <w:szCs w:val="20"/>
              </w:rPr>
              <w:t>(1)</w:t>
            </w:r>
          </w:p>
        </w:tc>
        <w:tc>
          <w:tcPr>
            <w:tcW w:w="0" w:type="auto"/>
            <w:shd w:val="clear" w:color="auto" w:fill="FFFFFF"/>
            <w:tcMar>
              <w:top w:w="40" w:type="dxa"/>
              <w:left w:w="0" w:type="dxa"/>
              <w:bottom w:w="40" w:type="dxa"/>
              <w:right w:w="20" w:type="dxa"/>
            </w:tcMar>
            <w:vAlign w:val="bottom"/>
          </w:tcPr>
          <w:p w14:paraId="5406617F"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180"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181" w14:textId="77777777" w:rsidR="00611BDD" w:rsidRDefault="002E18C7">
            <w:pPr>
              <w:jc w:val="right"/>
              <w:textAlignment w:val="bottom"/>
            </w:pPr>
            <w:r>
              <w:rPr>
                <w:rFonts w:ascii="sans-serif" w:eastAsia="sans-serif" w:hAnsi="sans-serif" w:cs="sans-serif"/>
                <w:color w:val="000000"/>
                <w:sz w:val="20"/>
                <w:szCs w:val="20"/>
              </w:rPr>
              <w:t>3 </w:t>
            </w:r>
          </w:p>
        </w:tc>
        <w:tc>
          <w:tcPr>
            <w:tcW w:w="0" w:type="auto"/>
            <w:shd w:val="clear" w:color="auto" w:fill="FFFFFF"/>
            <w:tcMar>
              <w:top w:w="40" w:type="dxa"/>
              <w:left w:w="0" w:type="dxa"/>
              <w:bottom w:w="40" w:type="dxa"/>
              <w:right w:w="20" w:type="dxa"/>
            </w:tcMar>
            <w:vAlign w:val="bottom"/>
          </w:tcPr>
          <w:p w14:paraId="54066182" w14:textId="77777777" w:rsidR="00611BDD" w:rsidRDefault="00611BDD">
            <w:pPr>
              <w:jc w:val="right"/>
              <w:rPr>
                <w:rFonts w:ascii="宋体"/>
              </w:rPr>
            </w:pPr>
          </w:p>
        </w:tc>
      </w:tr>
      <w:tr w:rsidR="00611BDD" w14:paraId="54066190" w14:textId="77777777">
        <w:trPr>
          <w:jc w:val="center"/>
        </w:trPr>
        <w:tc>
          <w:tcPr>
            <w:tcW w:w="0" w:type="auto"/>
            <w:gridSpan w:val="3"/>
            <w:shd w:val="clear" w:color="auto" w:fill="E2EFD9"/>
            <w:tcMar>
              <w:top w:w="40" w:type="dxa"/>
              <w:left w:w="245" w:type="dxa"/>
              <w:bottom w:w="40" w:type="dxa"/>
              <w:right w:w="20" w:type="dxa"/>
            </w:tcMar>
            <w:vAlign w:val="bottom"/>
          </w:tcPr>
          <w:p w14:paraId="54066184" w14:textId="77777777" w:rsidR="00611BDD" w:rsidRDefault="002E18C7">
            <w:pPr>
              <w:textAlignment w:val="bottom"/>
            </w:pPr>
            <w:r>
              <w:rPr>
                <w:rFonts w:ascii="sans-serif" w:eastAsia="sans-serif" w:hAnsi="sans-serif" w:cs="sans-serif"/>
                <w:color w:val="000000"/>
                <w:sz w:val="20"/>
                <w:szCs w:val="20"/>
              </w:rPr>
              <w:t>Reclassification adjustments for net realized gain (loss) included in net income</w:t>
            </w:r>
          </w:p>
        </w:tc>
        <w:tc>
          <w:tcPr>
            <w:tcW w:w="0" w:type="auto"/>
            <w:gridSpan w:val="2"/>
            <w:shd w:val="clear" w:color="auto" w:fill="E2EFD9"/>
            <w:tcMar>
              <w:top w:w="40" w:type="dxa"/>
              <w:left w:w="20" w:type="dxa"/>
              <w:bottom w:w="40" w:type="dxa"/>
              <w:right w:w="0" w:type="dxa"/>
            </w:tcMar>
            <w:vAlign w:val="bottom"/>
          </w:tcPr>
          <w:p w14:paraId="54066185"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406618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187"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188" w14:textId="77777777" w:rsidR="00611BDD" w:rsidRDefault="002E18C7">
            <w:pPr>
              <w:jc w:val="right"/>
              <w:textAlignment w:val="bottom"/>
            </w:pPr>
            <w:r>
              <w:rPr>
                <w:rFonts w:ascii="sans-serif" w:eastAsia="sans-serif" w:hAnsi="sans-serif" w:cs="sans-serif"/>
                <w:color w:val="000000"/>
                <w:sz w:val="20"/>
                <w:szCs w:val="20"/>
              </w:rPr>
              <w:t>(2)</w:t>
            </w:r>
          </w:p>
        </w:tc>
        <w:tc>
          <w:tcPr>
            <w:tcW w:w="0" w:type="auto"/>
            <w:shd w:val="clear" w:color="auto" w:fill="E2EFD9"/>
            <w:tcMar>
              <w:top w:w="40" w:type="dxa"/>
              <w:left w:w="0" w:type="dxa"/>
              <w:bottom w:w="40" w:type="dxa"/>
              <w:right w:w="20" w:type="dxa"/>
            </w:tcMar>
            <w:vAlign w:val="bottom"/>
          </w:tcPr>
          <w:p w14:paraId="5406618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18A"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18B"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406618C"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18D"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18E" w14:textId="77777777" w:rsidR="00611BDD" w:rsidRDefault="002E18C7">
            <w:pPr>
              <w:jc w:val="right"/>
              <w:textAlignment w:val="bottom"/>
            </w:pPr>
            <w:r>
              <w:rPr>
                <w:rFonts w:ascii="sans-serif" w:eastAsia="sans-serif" w:hAnsi="sans-serif" w:cs="sans-serif"/>
                <w:color w:val="000000"/>
                <w:sz w:val="20"/>
                <w:szCs w:val="20"/>
              </w:rPr>
              <w:t>(2)</w:t>
            </w:r>
          </w:p>
        </w:tc>
        <w:tc>
          <w:tcPr>
            <w:tcW w:w="0" w:type="auto"/>
            <w:shd w:val="clear" w:color="auto" w:fill="E2EFD9"/>
            <w:tcMar>
              <w:top w:w="40" w:type="dxa"/>
              <w:left w:w="0" w:type="dxa"/>
              <w:bottom w:w="40" w:type="dxa"/>
              <w:right w:w="20" w:type="dxa"/>
            </w:tcMar>
            <w:vAlign w:val="bottom"/>
          </w:tcPr>
          <w:p w14:paraId="5406618F" w14:textId="77777777" w:rsidR="00611BDD" w:rsidRDefault="00611BDD">
            <w:pPr>
              <w:jc w:val="right"/>
              <w:rPr>
                <w:rFonts w:ascii="宋体"/>
              </w:rPr>
            </w:pPr>
          </w:p>
        </w:tc>
      </w:tr>
      <w:tr w:rsidR="00611BDD" w14:paraId="5406619D" w14:textId="77777777">
        <w:trPr>
          <w:jc w:val="center"/>
        </w:trPr>
        <w:tc>
          <w:tcPr>
            <w:tcW w:w="0" w:type="auto"/>
            <w:gridSpan w:val="3"/>
            <w:shd w:val="clear" w:color="auto" w:fill="FFFFFF"/>
            <w:tcMar>
              <w:top w:w="40" w:type="dxa"/>
              <w:left w:w="245" w:type="dxa"/>
              <w:bottom w:w="40" w:type="dxa"/>
              <w:right w:w="20" w:type="dxa"/>
            </w:tcMar>
            <w:vAlign w:val="bottom"/>
          </w:tcPr>
          <w:p w14:paraId="54066191" w14:textId="77777777" w:rsidR="00611BDD" w:rsidRDefault="002E18C7">
            <w:pPr>
              <w:textAlignment w:val="bottom"/>
            </w:pPr>
            <w:r>
              <w:rPr>
                <w:rFonts w:ascii="sans-serif" w:eastAsia="sans-serif" w:hAnsi="sans-serif" w:cs="sans-serif"/>
                <w:color w:val="000000"/>
                <w:sz w:val="20"/>
                <w:szCs w:val="20"/>
              </w:rPr>
              <w:t>Net change in unrealized gain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192" w14:textId="77777777" w:rsidR="00611BDD" w:rsidRDefault="002E18C7">
            <w:pPr>
              <w:jc w:val="right"/>
              <w:textAlignment w:val="bottom"/>
            </w:pPr>
            <w:r>
              <w:rPr>
                <w:rFonts w:ascii="sans-serif" w:eastAsia="sans-serif" w:hAnsi="sans-serif" w:cs="sans-serif"/>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19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194"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195" w14:textId="77777777" w:rsidR="00611BDD" w:rsidRDefault="002E18C7">
            <w:pPr>
              <w:jc w:val="right"/>
              <w:textAlignment w:val="bottom"/>
            </w:pPr>
            <w:r>
              <w:rPr>
                <w:rFonts w:ascii="sans-serif" w:eastAsia="sans-serif" w:hAnsi="sans-serif" w:cs="sans-serif"/>
                <w:color w:val="000000"/>
                <w:sz w:val="20"/>
                <w:szCs w:val="20"/>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19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197"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198" w14:textId="77777777" w:rsidR="00611BDD" w:rsidRDefault="002E18C7">
            <w:pPr>
              <w:jc w:val="right"/>
              <w:textAlignment w:val="bottom"/>
            </w:pPr>
            <w:r>
              <w:rPr>
                <w:rFonts w:ascii="sans-serif" w:eastAsia="sans-serif" w:hAnsi="sans-serif" w:cs="sans-serif"/>
                <w:color w:val="000000"/>
                <w:sz w:val="20"/>
                <w:szCs w:val="20"/>
              </w:rPr>
              <w:t>(1)</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19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19A"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19B" w14:textId="77777777" w:rsidR="00611BDD" w:rsidRDefault="002E18C7">
            <w:pPr>
              <w:jc w:val="right"/>
              <w:textAlignment w:val="bottom"/>
            </w:pPr>
            <w:r>
              <w:rPr>
                <w:rFonts w:ascii="sans-serif" w:eastAsia="sans-serif" w:hAnsi="sans-serif" w:cs="sans-serif"/>
                <w:color w:val="000000"/>
                <w:sz w:val="20"/>
                <w:szCs w:val="20"/>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19C" w14:textId="77777777" w:rsidR="00611BDD" w:rsidRDefault="00611BDD">
            <w:pPr>
              <w:jc w:val="right"/>
              <w:rPr>
                <w:rFonts w:ascii="宋体"/>
              </w:rPr>
            </w:pPr>
          </w:p>
        </w:tc>
      </w:tr>
      <w:tr w:rsidR="00611BDD" w14:paraId="540661A6" w14:textId="77777777">
        <w:trPr>
          <w:jc w:val="center"/>
        </w:trPr>
        <w:tc>
          <w:tcPr>
            <w:tcW w:w="0" w:type="auto"/>
            <w:gridSpan w:val="3"/>
            <w:shd w:val="clear" w:color="auto" w:fill="E2EFD9"/>
            <w:tcMar>
              <w:top w:w="40" w:type="dxa"/>
              <w:left w:w="20" w:type="dxa"/>
              <w:bottom w:w="40" w:type="dxa"/>
              <w:right w:w="20" w:type="dxa"/>
            </w:tcMar>
            <w:vAlign w:val="bottom"/>
          </w:tcPr>
          <w:p w14:paraId="5406619E" w14:textId="77777777" w:rsidR="00611BDD" w:rsidRDefault="002E18C7">
            <w:pPr>
              <w:textAlignment w:val="bottom"/>
            </w:pPr>
            <w:r>
              <w:rPr>
                <w:rFonts w:ascii="sans-serif" w:eastAsia="sans-serif" w:hAnsi="sans-serif" w:cs="sans-serif"/>
                <w:color w:val="000000"/>
                <w:sz w:val="20"/>
                <w:szCs w:val="20"/>
              </w:rPr>
              <w:t>Cash flow hedges:</w:t>
            </w: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5406619F"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1A0" w14:textId="77777777" w:rsidR="00611BDD" w:rsidRDefault="00611BDD">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540661A1"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1A2" w14:textId="77777777" w:rsidR="00611BDD" w:rsidRDefault="00611BDD">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540661A3"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1A4" w14:textId="77777777" w:rsidR="00611BDD" w:rsidRDefault="00611BDD">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540661A5" w14:textId="77777777" w:rsidR="00611BDD" w:rsidRDefault="00611BDD">
            <w:pPr>
              <w:rPr>
                <w:rFonts w:ascii="宋体"/>
              </w:rPr>
            </w:pPr>
          </w:p>
        </w:tc>
      </w:tr>
      <w:tr w:rsidR="00611BDD" w14:paraId="540661B3" w14:textId="77777777">
        <w:trPr>
          <w:jc w:val="center"/>
        </w:trPr>
        <w:tc>
          <w:tcPr>
            <w:tcW w:w="0" w:type="auto"/>
            <w:gridSpan w:val="3"/>
            <w:shd w:val="clear" w:color="auto" w:fill="FFFFFF"/>
            <w:tcMar>
              <w:top w:w="40" w:type="dxa"/>
              <w:left w:w="245" w:type="dxa"/>
              <w:bottom w:w="40" w:type="dxa"/>
              <w:right w:w="20" w:type="dxa"/>
            </w:tcMar>
            <w:vAlign w:val="bottom"/>
          </w:tcPr>
          <w:p w14:paraId="540661A7" w14:textId="77777777" w:rsidR="00611BDD" w:rsidRDefault="002E18C7">
            <w:pPr>
              <w:textAlignment w:val="bottom"/>
            </w:pPr>
            <w:r>
              <w:rPr>
                <w:rFonts w:ascii="sans-serif" w:eastAsia="sans-serif" w:hAnsi="sans-serif" w:cs="sans-serif"/>
                <w:color w:val="000000"/>
                <w:sz w:val="20"/>
                <w:szCs w:val="20"/>
              </w:rPr>
              <w:t>Net unrealized gain (loss)</w:t>
            </w:r>
          </w:p>
        </w:tc>
        <w:tc>
          <w:tcPr>
            <w:tcW w:w="0" w:type="auto"/>
            <w:gridSpan w:val="2"/>
            <w:shd w:val="clear" w:color="auto" w:fill="FFFFFF"/>
            <w:tcMar>
              <w:top w:w="40" w:type="dxa"/>
              <w:left w:w="20" w:type="dxa"/>
              <w:bottom w:w="40" w:type="dxa"/>
              <w:right w:w="0" w:type="dxa"/>
            </w:tcMar>
            <w:vAlign w:val="bottom"/>
          </w:tcPr>
          <w:p w14:paraId="540661A8" w14:textId="77777777" w:rsidR="00611BDD" w:rsidRDefault="002E18C7">
            <w:pPr>
              <w:jc w:val="right"/>
              <w:textAlignment w:val="bottom"/>
            </w:pPr>
            <w:r>
              <w:rPr>
                <w:rFonts w:ascii="sans-serif" w:eastAsia="sans-serif" w:hAnsi="sans-serif" w:cs="sans-serif"/>
                <w:color w:val="000000"/>
                <w:sz w:val="20"/>
                <w:szCs w:val="20"/>
              </w:rPr>
              <w:t>(14)</w:t>
            </w:r>
          </w:p>
        </w:tc>
        <w:tc>
          <w:tcPr>
            <w:tcW w:w="0" w:type="auto"/>
            <w:shd w:val="clear" w:color="auto" w:fill="FFFFFF"/>
            <w:tcMar>
              <w:top w:w="40" w:type="dxa"/>
              <w:left w:w="0" w:type="dxa"/>
              <w:bottom w:w="40" w:type="dxa"/>
              <w:right w:w="20" w:type="dxa"/>
            </w:tcMar>
            <w:vAlign w:val="bottom"/>
          </w:tcPr>
          <w:p w14:paraId="540661A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1AA"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1AB" w14:textId="77777777" w:rsidR="00611BDD" w:rsidRDefault="002E18C7">
            <w:pPr>
              <w:jc w:val="right"/>
              <w:textAlignment w:val="bottom"/>
            </w:pPr>
            <w:r>
              <w:rPr>
                <w:rFonts w:ascii="sans-serif" w:eastAsia="sans-serif" w:hAnsi="sans-serif" w:cs="sans-serif"/>
                <w:color w:val="000000"/>
                <w:sz w:val="20"/>
                <w:szCs w:val="20"/>
              </w:rPr>
              <w:t>16 </w:t>
            </w:r>
          </w:p>
        </w:tc>
        <w:tc>
          <w:tcPr>
            <w:tcW w:w="0" w:type="auto"/>
            <w:shd w:val="clear" w:color="auto" w:fill="FFFFFF"/>
            <w:tcMar>
              <w:top w:w="40" w:type="dxa"/>
              <w:left w:w="0" w:type="dxa"/>
              <w:bottom w:w="40" w:type="dxa"/>
              <w:right w:w="20" w:type="dxa"/>
            </w:tcMar>
            <w:vAlign w:val="bottom"/>
          </w:tcPr>
          <w:p w14:paraId="540661AC"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1AD"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1AE" w14:textId="77777777" w:rsidR="00611BDD" w:rsidRDefault="002E18C7">
            <w:pPr>
              <w:jc w:val="right"/>
              <w:textAlignment w:val="bottom"/>
            </w:pPr>
            <w:r>
              <w:rPr>
                <w:rFonts w:ascii="sans-serif" w:eastAsia="sans-serif" w:hAnsi="sans-serif" w:cs="sans-serif"/>
                <w:color w:val="000000"/>
                <w:sz w:val="20"/>
                <w:szCs w:val="20"/>
              </w:rPr>
              <w:t>(27)</w:t>
            </w:r>
          </w:p>
        </w:tc>
        <w:tc>
          <w:tcPr>
            <w:tcW w:w="0" w:type="auto"/>
            <w:shd w:val="clear" w:color="auto" w:fill="FFFFFF"/>
            <w:tcMar>
              <w:top w:w="40" w:type="dxa"/>
              <w:left w:w="0" w:type="dxa"/>
              <w:bottom w:w="40" w:type="dxa"/>
              <w:right w:w="20" w:type="dxa"/>
            </w:tcMar>
            <w:vAlign w:val="bottom"/>
          </w:tcPr>
          <w:p w14:paraId="540661AF"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1B0"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1B1" w14:textId="77777777" w:rsidR="00611BDD" w:rsidRDefault="002E18C7">
            <w:pPr>
              <w:jc w:val="right"/>
              <w:textAlignment w:val="bottom"/>
            </w:pPr>
            <w:r>
              <w:rPr>
                <w:rFonts w:ascii="sans-serif" w:eastAsia="sans-serif" w:hAnsi="sans-serif" w:cs="sans-serif"/>
                <w:color w:val="000000"/>
                <w:sz w:val="20"/>
                <w:szCs w:val="20"/>
              </w:rPr>
              <w:t>6 </w:t>
            </w:r>
          </w:p>
        </w:tc>
        <w:tc>
          <w:tcPr>
            <w:tcW w:w="0" w:type="auto"/>
            <w:shd w:val="clear" w:color="auto" w:fill="FFFFFF"/>
            <w:tcMar>
              <w:top w:w="40" w:type="dxa"/>
              <w:left w:w="0" w:type="dxa"/>
              <w:bottom w:w="40" w:type="dxa"/>
              <w:right w:w="20" w:type="dxa"/>
            </w:tcMar>
            <w:vAlign w:val="bottom"/>
          </w:tcPr>
          <w:p w14:paraId="540661B2" w14:textId="77777777" w:rsidR="00611BDD" w:rsidRDefault="00611BDD">
            <w:pPr>
              <w:jc w:val="right"/>
              <w:rPr>
                <w:rFonts w:ascii="宋体"/>
              </w:rPr>
            </w:pPr>
          </w:p>
        </w:tc>
      </w:tr>
      <w:tr w:rsidR="00611BDD" w14:paraId="540661C0" w14:textId="77777777">
        <w:trPr>
          <w:jc w:val="center"/>
        </w:trPr>
        <w:tc>
          <w:tcPr>
            <w:tcW w:w="0" w:type="auto"/>
            <w:gridSpan w:val="3"/>
            <w:shd w:val="clear" w:color="auto" w:fill="E2EFD9"/>
            <w:tcMar>
              <w:top w:w="40" w:type="dxa"/>
              <w:left w:w="245" w:type="dxa"/>
              <w:bottom w:w="40" w:type="dxa"/>
              <w:right w:w="20" w:type="dxa"/>
            </w:tcMar>
            <w:vAlign w:val="bottom"/>
          </w:tcPr>
          <w:p w14:paraId="540661B4" w14:textId="77777777" w:rsidR="00611BDD" w:rsidRDefault="002E18C7">
            <w:pPr>
              <w:textAlignment w:val="bottom"/>
            </w:pPr>
            <w:r>
              <w:rPr>
                <w:rFonts w:ascii="sans-serif" w:eastAsia="sans-serif" w:hAnsi="sans-serif" w:cs="sans-serif"/>
                <w:color w:val="000000"/>
                <w:sz w:val="20"/>
                <w:szCs w:val="20"/>
              </w:rPr>
              <w:t>Reclassification adjustments for net realized gain (loss) included in net income</w:t>
            </w:r>
          </w:p>
        </w:tc>
        <w:tc>
          <w:tcPr>
            <w:tcW w:w="0" w:type="auto"/>
            <w:gridSpan w:val="2"/>
            <w:shd w:val="clear" w:color="auto" w:fill="E2EFD9"/>
            <w:tcMar>
              <w:top w:w="40" w:type="dxa"/>
              <w:left w:w="20" w:type="dxa"/>
              <w:bottom w:w="40" w:type="dxa"/>
              <w:right w:w="0" w:type="dxa"/>
            </w:tcMar>
            <w:vAlign w:val="bottom"/>
          </w:tcPr>
          <w:p w14:paraId="540661B5" w14:textId="77777777" w:rsidR="00611BDD" w:rsidRDefault="002E18C7">
            <w:pPr>
              <w:jc w:val="right"/>
              <w:textAlignment w:val="bottom"/>
            </w:pPr>
            <w:r>
              <w:rPr>
                <w:rFonts w:ascii="sans-serif" w:eastAsia="sans-serif" w:hAnsi="sans-serif" w:cs="sans-serif"/>
                <w:color w:val="000000"/>
                <w:sz w:val="20"/>
                <w:szCs w:val="20"/>
              </w:rPr>
              <w:t>8 </w:t>
            </w:r>
          </w:p>
        </w:tc>
        <w:tc>
          <w:tcPr>
            <w:tcW w:w="0" w:type="auto"/>
            <w:shd w:val="clear" w:color="auto" w:fill="E2EFD9"/>
            <w:tcMar>
              <w:top w:w="40" w:type="dxa"/>
              <w:left w:w="0" w:type="dxa"/>
              <w:bottom w:w="40" w:type="dxa"/>
              <w:right w:w="20" w:type="dxa"/>
            </w:tcMar>
            <w:vAlign w:val="bottom"/>
          </w:tcPr>
          <w:p w14:paraId="540661B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1B7"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1B8" w14:textId="77777777" w:rsidR="00611BDD" w:rsidRDefault="002E18C7">
            <w:pPr>
              <w:jc w:val="right"/>
              <w:textAlignment w:val="bottom"/>
            </w:pPr>
            <w:r>
              <w:rPr>
                <w:rFonts w:ascii="sans-serif" w:eastAsia="sans-serif" w:hAnsi="sans-serif" w:cs="sans-serif"/>
                <w:color w:val="000000"/>
                <w:sz w:val="20"/>
                <w:szCs w:val="20"/>
              </w:rPr>
              <w:t>(3)</w:t>
            </w:r>
          </w:p>
        </w:tc>
        <w:tc>
          <w:tcPr>
            <w:tcW w:w="0" w:type="auto"/>
            <w:shd w:val="clear" w:color="auto" w:fill="E2EFD9"/>
            <w:tcMar>
              <w:top w:w="40" w:type="dxa"/>
              <w:left w:w="0" w:type="dxa"/>
              <w:bottom w:w="40" w:type="dxa"/>
              <w:right w:w="20" w:type="dxa"/>
            </w:tcMar>
            <w:vAlign w:val="bottom"/>
          </w:tcPr>
          <w:p w14:paraId="540661B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1BA"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1BB" w14:textId="77777777" w:rsidR="00611BDD" w:rsidRDefault="002E18C7">
            <w:pPr>
              <w:jc w:val="right"/>
              <w:textAlignment w:val="bottom"/>
            </w:pPr>
            <w:r>
              <w:rPr>
                <w:rFonts w:ascii="sans-serif" w:eastAsia="sans-serif" w:hAnsi="sans-serif" w:cs="sans-serif"/>
                <w:color w:val="000000"/>
                <w:sz w:val="20"/>
                <w:szCs w:val="20"/>
              </w:rPr>
              <w:t>17 </w:t>
            </w:r>
          </w:p>
        </w:tc>
        <w:tc>
          <w:tcPr>
            <w:tcW w:w="0" w:type="auto"/>
            <w:shd w:val="clear" w:color="auto" w:fill="E2EFD9"/>
            <w:tcMar>
              <w:top w:w="40" w:type="dxa"/>
              <w:left w:w="0" w:type="dxa"/>
              <w:bottom w:w="40" w:type="dxa"/>
              <w:right w:w="20" w:type="dxa"/>
            </w:tcMar>
            <w:vAlign w:val="bottom"/>
          </w:tcPr>
          <w:p w14:paraId="540661BC"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1BD"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1BE" w14:textId="77777777" w:rsidR="00611BDD" w:rsidRDefault="002E18C7">
            <w:pPr>
              <w:jc w:val="right"/>
              <w:textAlignment w:val="bottom"/>
            </w:pPr>
            <w:r>
              <w:rPr>
                <w:rFonts w:ascii="sans-serif" w:eastAsia="sans-serif" w:hAnsi="sans-serif" w:cs="sans-serif"/>
                <w:color w:val="000000"/>
                <w:sz w:val="20"/>
                <w:szCs w:val="20"/>
              </w:rPr>
              <w:t>(4)</w:t>
            </w:r>
          </w:p>
        </w:tc>
        <w:tc>
          <w:tcPr>
            <w:tcW w:w="0" w:type="auto"/>
            <w:shd w:val="clear" w:color="auto" w:fill="E2EFD9"/>
            <w:tcMar>
              <w:top w:w="40" w:type="dxa"/>
              <w:left w:w="0" w:type="dxa"/>
              <w:bottom w:w="40" w:type="dxa"/>
              <w:right w:w="20" w:type="dxa"/>
            </w:tcMar>
            <w:vAlign w:val="bottom"/>
          </w:tcPr>
          <w:p w14:paraId="540661BF" w14:textId="77777777" w:rsidR="00611BDD" w:rsidRDefault="00611BDD">
            <w:pPr>
              <w:jc w:val="right"/>
              <w:rPr>
                <w:rFonts w:ascii="宋体"/>
              </w:rPr>
            </w:pPr>
          </w:p>
        </w:tc>
      </w:tr>
      <w:tr w:rsidR="00611BDD" w14:paraId="540661CD" w14:textId="77777777">
        <w:trPr>
          <w:jc w:val="center"/>
        </w:trPr>
        <w:tc>
          <w:tcPr>
            <w:tcW w:w="0" w:type="auto"/>
            <w:gridSpan w:val="3"/>
            <w:shd w:val="clear" w:color="auto" w:fill="FFFFFF"/>
            <w:tcMar>
              <w:top w:w="40" w:type="dxa"/>
              <w:left w:w="245" w:type="dxa"/>
              <w:bottom w:w="40" w:type="dxa"/>
              <w:right w:w="20" w:type="dxa"/>
            </w:tcMar>
            <w:vAlign w:val="bottom"/>
          </w:tcPr>
          <w:p w14:paraId="540661C1" w14:textId="77777777" w:rsidR="00611BDD" w:rsidRDefault="002E18C7">
            <w:pPr>
              <w:textAlignment w:val="bottom"/>
            </w:pPr>
            <w:r>
              <w:rPr>
                <w:rFonts w:ascii="sans-serif" w:eastAsia="sans-serif" w:hAnsi="sans-serif" w:cs="sans-serif"/>
                <w:color w:val="000000"/>
                <w:sz w:val="20"/>
                <w:szCs w:val="20"/>
              </w:rPr>
              <w:t>Net change in unrealized gain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1C2" w14:textId="77777777" w:rsidR="00611BDD" w:rsidRDefault="002E18C7">
            <w:pPr>
              <w:jc w:val="right"/>
              <w:textAlignment w:val="bottom"/>
            </w:pPr>
            <w:r>
              <w:rPr>
                <w:rFonts w:ascii="sans-serif" w:eastAsia="sans-serif" w:hAnsi="sans-serif" w:cs="sans-serif"/>
                <w:color w:val="000000"/>
                <w:sz w:val="20"/>
                <w:szCs w:val="20"/>
              </w:rPr>
              <w:t>(6)</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1C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1C4"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1C5" w14:textId="77777777" w:rsidR="00611BDD" w:rsidRDefault="002E18C7">
            <w:pPr>
              <w:jc w:val="right"/>
              <w:textAlignment w:val="bottom"/>
            </w:pPr>
            <w:r>
              <w:rPr>
                <w:rFonts w:ascii="sans-serif" w:eastAsia="sans-serif" w:hAnsi="sans-serif" w:cs="sans-serif"/>
                <w:color w:val="000000"/>
                <w:sz w:val="20"/>
                <w:szCs w:val="20"/>
              </w:rPr>
              <w:t>13 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1C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1C7"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1C8" w14:textId="77777777" w:rsidR="00611BDD" w:rsidRDefault="002E18C7">
            <w:pPr>
              <w:jc w:val="right"/>
              <w:textAlignment w:val="bottom"/>
            </w:pPr>
            <w:r>
              <w:rPr>
                <w:rFonts w:ascii="sans-serif" w:eastAsia="sans-serif" w:hAnsi="sans-serif" w:cs="sans-serif"/>
                <w:color w:val="000000"/>
                <w:sz w:val="20"/>
                <w:szCs w:val="20"/>
              </w:rPr>
              <w:t>(10)</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1C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1CA"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1CB" w14:textId="77777777" w:rsidR="00611BDD" w:rsidRDefault="002E18C7">
            <w:pPr>
              <w:jc w:val="right"/>
              <w:textAlignment w:val="bottom"/>
            </w:pPr>
            <w:r>
              <w:rPr>
                <w:rFonts w:ascii="sans-serif" w:eastAsia="sans-serif" w:hAnsi="sans-serif" w:cs="sans-serif"/>
                <w:color w:val="000000"/>
                <w:sz w:val="20"/>
                <w:szCs w:val="20"/>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1CC" w14:textId="77777777" w:rsidR="00611BDD" w:rsidRDefault="00611BDD">
            <w:pPr>
              <w:jc w:val="right"/>
              <w:rPr>
                <w:rFonts w:ascii="宋体"/>
              </w:rPr>
            </w:pPr>
          </w:p>
        </w:tc>
      </w:tr>
      <w:tr w:rsidR="00611BDD" w14:paraId="540661DA" w14:textId="77777777">
        <w:trPr>
          <w:jc w:val="center"/>
        </w:trPr>
        <w:tc>
          <w:tcPr>
            <w:tcW w:w="0" w:type="auto"/>
            <w:gridSpan w:val="3"/>
            <w:shd w:val="clear" w:color="auto" w:fill="E2EFD9"/>
            <w:tcMar>
              <w:top w:w="40" w:type="dxa"/>
              <w:left w:w="20" w:type="dxa"/>
              <w:bottom w:w="40" w:type="dxa"/>
              <w:right w:w="20" w:type="dxa"/>
            </w:tcMar>
            <w:vAlign w:val="bottom"/>
          </w:tcPr>
          <w:p w14:paraId="540661CE" w14:textId="77777777" w:rsidR="00611BDD" w:rsidRDefault="002E18C7">
            <w:pPr>
              <w:textAlignment w:val="bottom"/>
            </w:pPr>
            <w:r>
              <w:rPr>
                <w:rFonts w:ascii="sans-serif" w:eastAsia="sans-serif" w:hAnsi="sans-serif" w:cs="sans-serif"/>
                <w:color w:val="000000"/>
                <w:sz w:val="20"/>
                <w:szCs w:val="20"/>
              </w:rPr>
              <w:t>Other comprehensive income (loss), net of tax</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61CF" w14:textId="77777777" w:rsidR="00611BDD" w:rsidRDefault="002E18C7">
            <w:pPr>
              <w:jc w:val="right"/>
              <w:textAlignment w:val="bottom"/>
            </w:pPr>
            <w:r>
              <w:rPr>
                <w:rFonts w:ascii="sans-serif" w:eastAsia="sans-serif" w:hAnsi="sans-serif" w:cs="sans-serif"/>
                <w:color w:val="000000"/>
                <w:sz w:val="20"/>
                <w:szCs w:val="20"/>
              </w:rPr>
              <w:t>(6)</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1D0"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1D1" w14:textId="77777777" w:rsidR="00611BDD" w:rsidRDefault="00611BD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61D2" w14:textId="77777777" w:rsidR="00611BDD" w:rsidRDefault="002E18C7">
            <w:pPr>
              <w:jc w:val="right"/>
              <w:textAlignment w:val="bottom"/>
            </w:pPr>
            <w:r>
              <w:rPr>
                <w:rFonts w:ascii="sans-serif" w:eastAsia="sans-serif" w:hAnsi="sans-serif" w:cs="sans-serif"/>
                <w:color w:val="000000"/>
                <w:sz w:val="20"/>
                <w:szCs w:val="20"/>
              </w:rPr>
              <w:t>14 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1D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1D4" w14:textId="77777777" w:rsidR="00611BDD" w:rsidRDefault="00611BD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61D5" w14:textId="77777777" w:rsidR="00611BDD" w:rsidRDefault="002E18C7">
            <w:pPr>
              <w:jc w:val="right"/>
              <w:textAlignment w:val="bottom"/>
            </w:pPr>
            <w:r>
              <w:rPr>
                <w:rFonts w:ascii="sans-serif" w:eastAsia="sans-serif" w:hAnsi="sans-serif" w:cs="sans-serif"/>
                <w:color w:val="000000"/>
                <w:sz w:val="20"/>
                <w:szCs w:val="20"/>
              </w:rPr>
              <w:t>(11)</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1D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1D7" w14:textId="77777777" w:rsidR="00611BDD" w:rsidRDefault="00611BD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61D8" w14:textId="77777777" w:rsidR="00611BDD" w:rsidRDefault="002E18C7">
            <w:pPr>
              <w:jc w:val="right"/>
              <w:textAlignment w:val="bottom"/>
            </w:pPr>
            <w:r>
              <w:rPr>
                <w:rFonts w:ascii="sans-serif" w:eastAsia="sans-serif" w:hAnsi="sans-serif" w:cs="sans-serif"/>
                <w:color w:val="000000"/>
                <w:sz w:val="20"/>
                <w:szCs w:val="20"/>
              </w:rPr>
              <w:t>3 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1D9" w14:textId="77777777" w:rsidR="00611BDD" w:rsidRDefault="00611BDD">
            <w:pPr>
              <w:jc w:val="right"/>
              <w:rPr>
                <w:rFonts w:ascii="宋体"/>
              </w:rPr>
            </w:pPr>
          </w:p>
        </w:tc>
      </w:tr>
      <w:tr w:rsidR="00611BDD" w14:paraId="540661EB" w14:textId="77777777">
        <w:trPr>
          <w:jc w:val="center"/>
        </w:trPr>
        <w:tc>
          <w:tcPr>
            <w:tcW w:w="0" w:type="auto"/>
            <w:gridSpan w:val="3"/>
            <w:shd w:val="clear" w:color="auto" w:fill="FFFFFF"/>
            <w:tcMar>
              <w:top w:w="40" w:type="dxa"/>
              <w:left w:w="20" w:type="dxa"/>
              <w:bottom w:w="40" w:type="dxa"/>
              <w:right w:w="20" w:type="dxa"/>
            </w:tcMar>
            <w:vAlign w:val="bottom"/>
          </w:tcPr>
          <w:p w14:paraId="540661DB" w14:textId="77777777" w:rsidR="00611BDD" w:rsidRDefault="002E18C7">
            <w:pPr>
              <w:textAlignment w:val="bottom"/>
            </w:pPr>
            <w:r>
              <w:rPr>
                <w:rFonts w:ascii="sans-serif" w:eastAsia="sans-serif" w:hAnsi="sans-serif" w:cs="sans-serif"/>
                <w:color w:val="000000"/>
                <w:sz w:val="20"/>
                <w:szCs w:val="20"/>
              </w:rPr>
              <w:t>Total comprehensive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40661DC"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40661DD" w14:textId="77777777" w:rsidR="00611BDD" w:rsidRDefault="002E18C7">
            <w:pPr>
              <w:jc w:val="right"/>
              <w:textAlignment w:val="bottom"/>
            </w:pPr>
            <w:r>
              <w:rPr>
                <w:rFonts w:ascii="sans-serif" w:eastAsia="sans-serif" w:hAnsi="sans-serif" w:cs="sans-serif"/>
                <w:color w:val="000000"/>
                <w:sz w:val="20"/>
                <w:szCs w:val="20"/>
              </w:rPr>
              <w:t>2,368 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40661DE"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1DF" w14:textId="77777777" w:rsidR="00611BDD" w:rsidRDefault="00611BD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40661E0"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40661E1" w14:textId="77777777" w:rsidR="00611BDD" w:rsidRDefault="002E18C7">
            <w:pPr>
              <w:jc w:val="right"/>
              <w:textAlignment w:val="bottom"/>
            </w:pPr>
            <w:r>
              <w:rPr>
                <w:rFonts w:ascii="sans-serif" w:eastAsia="sans-serif" w:hAnsi="sans-serif" w:cs="sans-serif"/>
                <w:color w:val="000000"/>
                <w:sz w:val="20"/>
                <w:szCs w:val="20"/>
              </w:rPr>
              <w:t>636 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40661E2"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1E3" w14:textId="77777777" w:rsidR="00611BDD" w:rsidRDefault="00611BD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40661E4"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40661E5" w14:textId="77777777" w:rsidR="00611BDD" w:rsidRDefault="002E18C7">
            <w:pPr>
              <w:jc w:val="right"/>
              <w:textAlignment w:val="bottom"/>
            </w:pPr>
            <w:r>
              <w:rPr>
                <w:rFonts w:ascii="sans-serif" w:eastAsia="sans-serif" w:hAnsi="sans-serif" w:cs="sans-serif"/>
                <w:color w:val="000000"/>
                <w:sz w:val="20"/>
                <w:szCs w:val="20"/>
              </w:rPr>
              <w:t>4,274 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40661E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1E7" w14:textId="77777777" w:rsidR="00611BDD" w:rsidRDefault="00611BD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40661E8"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40661E9" w14:textId="77777777" w:rsidR="00611BDD" w:rsidRDefault="002E18C7">
            <w:pPr>
              <w:jc w:val="right"/>
              <w:textAlignment w:val="bottom"/>
            </w:pPr>
            <w:r>
              <w:rPr>
                <w:rFonts w:ascii="sans-serif" w:eastAsia="sans-serif" w:hAnsi="sans-serif" w:cs="sans-serif"/>
                <w:color w:val="000000"/>
                <w:sz w:val="20"/>
                <w:szCs w:val="20"/>
              </w:rPr>
              <w:t>1,542 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40661EA" w14:textId="77777777" w:rsidR="00611BDD" w:rsidRDefault="00611BDD">
            <w:pPr>
              <w:jc w:val="right"/>
              <w:rPr>
                <w:rFonts w:ascii="宋体"/>
              </w:rPr>
            </w:pPr>
          </w:p>
        </w:tc>
      </w:tr>
    </w:tbl>
    <w:p w14:paraId="540661EC" w14:textId="77777777" w:rsidR="00611BDD" w:rsidRDefault="002E18C7">
      <w:pPr>
        <w:spacing w:after="180"/>
        <w:jc w:val="center"/>
      </w:pPr>
      <w:r>
        <w:rPr>
          <w:rFonts w:ascii="sans-serif" w:eastAsia="sans-serif" w:hAnsi="sans-serif" w:cs="sans-serif"/>
          <w:color w:val="000000"/>
          <w:sz w:val="20"/>
          <w:szCs w:val="20"/>
        </w:rPr>
        <w:t>See accompanying Notes to Condensed Consolidated Financial Statements.</w:t>
      </w:r>
    </w:p>
    <w:p w14:paraId="540661ED" w14:textId="77777777" w:rsidR="00611BDD" w:rsidRDefault="00611BDD">
      <w:pPr>
        <w:spacing w:after="180"/>
        <w:jc w:val="both"/>
      </w:pPr>
    </w:p>
    <w:p w14:paraId="540661EE" w14:textId="77777777" w:rsidR="00611BDD" w:rsidRDefault="002E18C7">
      <w:pPr>
        <w:spacing w:after="180"/>
        <w:jc w:val="center"/>
      </w:pPr>
      <w:r>
        <w:rPr>
          <w:rFonts w:ascii="sans-serif" w:eastAsia="sans-serif" w:hAnsi="sans-serif" w:cs="sans-serif"/>
          <w:color w:val="000000"/>
          <w:sz w:val="20"/>
          <w:szCs w:val="20"/>
        </w:rPr>
        <w:t>4</w:t>
      </w:r>
    </w:p>
    <w:p w14:paraId="540661EF" w14:textId="77777777" w:rsidR="00611BDD" w:rsidRDefault="002E18C7">
      <w:r>
        <w:pict w14:anchorId="54067C28">
          <v:rect id="_x0000_i1028" style="width:415.3pt;height:1.5pt" o:hralign="center" o:hrstd="t" o:hr="t" fillcolor="#a0a0a0" stroked="f"/>
        </w:pict>
      </w:r>
    </w:p>
    <w:p w14:paraId="540661F0" w14:textId="77777777" w:rsidR="00611BDD" w:rsidRDefault="00611BDD">
      <w:pPr>
        <w:spacing w:after="180"/>
        <w:jc w:val="both"/>
      </w:pPr>
    </w:p>
    <w:p w14:paraId="540661F1" w14:textId="77777777" w:rsidR="00611BDD" w:rsidRDefault="002E18C7">
      <w:pPr>
        <w:jc w:val="center"/>
      </w:pPr>
      <w:r>
        <w:rPr>
          <w:rFonts w:ascii="sans-serif" w:eastAsia="sans-serif" w:hAnsi="sans-serif" w:cs="sans-serif"/>
          <w:b/>
          <w:bCs/>
          <w:color w:val="000000"/>
          <w:sz w:val="20"/>
          <w:szCs w:val="20"/>
        </w:rPr>
        <w:t>NVIDIA CORPORATION AND SUBSIDIARIES </w:t>
      </w:r>
    </w:p>
    <w:p w14:paraId="540661F2" w14:textId="77777777" w:rsidR="00611BDD" w:rsidRDefault="002E18C7">
      <w:pPr>
        <w:jc w:val="center"/>
      </w:pPr>
      <w:r>
        <w:rPr>
          <w:rFonts w:ascii="sans-serif" w:eastAsia="sans-serif" w:hAnsi="sans-serif" w:cs="sans-serif"/>
          <w:b/>
          <w:bCs/>
          <w:color w:val="000000"/>
          <w:sz w:val="20"/>
          <w:szCs w:val="20"/>
        </w:rPr>
        <w:t>CONDENSED CONSOLIDATED BALANCE SHEETS</w:t>
      </w:r>
    </w:p>
    <w:p w14:paraId="540661F3" w14:textId="77777777" w:rsidR="00611BDD" w:rsidRDefault="002E18C7">
      <w:pPr>
        <w:jc w:val="center"/>
      </w:pPr>
      <w:r>
        <w:rPr>
          <w:rFonts w:ascii="sans-serif" w:eastAsia="sans-serif" w:hAnsi="sans-serif" w:cs="sans-serif"/>
          <w:b/>
          <w:bCs/>
          <w:color w:val="000000"/>
          <w:sz w:val="20"/>
          <w:szCs w:val="20"/>
        </w:rPr>
        <w:t>(In millions)</w:t>
      </w:r>
    </w:p>
    <w:p w14:paraId="540661F4" w14:textId="77777777" w:rsidR="00611BDD" w:rsidRDefault="002E18C7">
      <w:pPr>
        <w:jc w:val="center"/>
      </w:pPr>
      <w:r>
        <w:rPr>
          <w:rFonts w:ascii="sans-serif" w:eastAsia="sans-serif" w:hAnsi="sans-serif" w:cs="sans-serif"/>
          <w:b/>
          <w:bCs/>
          <w:color w:val="000000"/>
          <w:sz w:val="20"/>
          <w:szCs w:val="20"/>
        </w:rPr>
        <w:t>(Unaudited)</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6007"/>
        <w:gridCol w:w="39"/>
        <w:gridCol w:w="122"/>
        <w:gridCol w:w="924"/>
        <w:gridCol w:w="36"/>
        <w:gridCol w:w="36"/>
        <w:gridCol w:w="36"/>
        <w:gridCol w:w="36"/>
        <w:gridCol w:w="122"/>
        <w:gridCol w:w="865"/>
        <w:gridCol w:w="36"/>
      </w:tblGrid>
      <w:tr w:rsidR="00611BDD" w14:paraId="54066201" w14:textId="77777777">
        <w:trPr>
          <w:jc w:val="center"/>
        </w:trPr>
        <w:tc>
          <w:tcPr>
            <w:tcW w:w="50" w:type="pct"/>
            <w:shd w:val="clear" w:color="auto" w:fill="auto"/>
            <w:vAlign w:val="bottom"/>
          </w:tcPr>
          <w:p w14:paraId="540661F5" w14:textId="77777777" w:rsidR="00611BDD" w:rsidRDefault="00611BDD">
            <w:pPr>
              <w:rPr>
                <w:rFonts w:ascii="宋体"/>
              </w:rPr>
            </w:pPr>
          </w:p>
        </w:tc>
        <w:tc>
          <w:tcPr>
            <w:tcW w:w="3645" w:type="pct"/>
            <w:shd w:val="clear" w:color="auto" w:fill="auto"/>
            <w:vAlign w:val="bottom"/>
          </w:tcPr>
          <w:p w14:paraId="540661F6" w14:textId="77777777" w:rsidR="00611BDD" w:rsidRDefault="00611BDD">
            <w:pPr>
              <w:rPr>
                <w:rFonts w:ascii="宋体"/>
              </w:rPr>
            </w:pPr>
          </w:p>
        </w:tc>
        <w:tc>
          <w:tcPr>
            <w:tcW w:w="5" w:type="pct"/>
            <w:shd w:val="clear" w:color="auto" w:fill="auto"/>
            <w:vAlign w:val="bottom"/>
          </w:tcPr>
          <w:p w14:paraId="540661F7" w14:textId="77777777" w:rsidR="00611BDD" w:rsidRDefault="00611BDD">
            <w:pPr>
              <w:rPr>
                <w:rFonts w:ascii="宋体"/>
              </w:rPr>
            </w:pPr>
          </w:p>
        </w:tc>
        <w:tc>
          <w:tcPr>
            <w:tcW w:w="50" w:type="pct"/>
            <w:shd w:val="clear" w:color="auto" w:fill="auto"/>
            <w:vAlign w:val="bottom"/>
          </w:tcPr>
          <w:p w14:paraId="540661F8" w14:textId="77777777" w:rsidR="00611BDD" w:rsidRDefault="00611BDD">
            <w:pPr>
              <w:rPr>
                <w:rFonts w:ascii="宋体"/>
              </w:rPr>
            </w:pPr>
          </w:p>
        </w:tc>
        <w:tc>
          <w:tcPr>
            <w:tcW w:w="583" w:type="pct"/>
            <w:shd w:val="clear" w:color="auto" w:fill="auto"/>
            <w:vAlign w:val="bottom"/>
          </w:tcPr>
          <w:p w14:paraId="540661F9" w14:textId="77777777" w:rsidR="00611BDD" w:rsidRDefault="00611BDD">
            <w:pPr>
              <w:rPr>
                <w:rFonts w:ascii="宋体"/>
              </w:rPr>
            </w:pPr>
          </w:p>
        </w:tc>
        <w:tc>
          <w:tcPr>
            <w:tcW w:w="5" w:type="pct"/>
            <w:shd w:val="clear" w:color="auto" w:fill="auto"/>
            <w:vAlign w:val="bottom"/>
          </w:tcPr>
          <w:p w14:paraId="540661FA" w14:textId="77777777" w:rsidR="00611BDD" w:rsidRDefault="00611BDD">
            <w:pPr>
              <w:rPr>
                <w:rFonts w:ascii="宋体"/>
              </w:rPr>
            </w:pPr>
          </w:p>
        </w:tc>
        <w:tc>
          <w:tcPr>
            <w:tcW w:w="5" w:type="pct"/>
            <w:shd w:val="clear" w:color="auto" w:fill="auto"/>
            <w:vAlign w:val="bottom"/>
          </w:tcPr>
          <w:p w14:paraId="540661FB" w14:textId="77777777" w:rsidR="00611BDD" w:rsidRDefault="00611BDD">
            <w:pPr>
              <w:rPr>
                <w:rFonts w:ascii="宋体"/>
              </w:rPr>
            </w:pPr>
          </w:p>
        </w:tc>
        <w:tc>
          <w:tcPr>
            <w:tcW w:w="26" w:type="pct"/>
            <w:shd w:val="clear" w:color="auto" w:fill="auto"/>
            <w:vAlign w:val="bottom"/>
          </w:tcPr>
          <w:p w14:paraId="540661FC" w14:textId="77777777" w:rsidR="00611BDD" w:rsidRDefault="00611BDD">
            <w:pPr>
              <w:rPr>
                <w:rFonts w:ascii="宋体"/>
              </w:rPr>
            </w:pPr>
          </w:p>
        </w:tc>
        <w:tc>
          <w:tcPr>
            <w:tcW w:w="5" w:type="pct"/>
            <w:shd w:val="clear" w:color="auto" w:fill="auto"/>
            <w:vAlign w:val="bottom"/>
          </w:tcPr>
          <w:p w14:paraId="540661FD" w14:textId="77777777" w:rsidR="00611BDD" w:rsidRDefault="00611BDD">
            <w:pPr>
              <w:rPr>
                <w:rFonts w:ascii="宋体"/>
              </w:rPr>
            </w:pPr>
          </w:p>
        </w:tc>
        <w:tc>
          <w:tcPr>
            <w:tcW w:w="50" w:type="pct"/>
            <w:shd w:val="clear" w:color="auto" w:fill="auto"/>
            <w:vAlign w:val="bottom"/>
          </w:tcPr>
          <w:p w14:paraId="540661FE" w14:textId="77777777" w:rsidR="00611BDD" w:rsidRDefault="00611BDD">
            <w:pPr>
              <w:rPr>
                <w:rFonts w:ascii="宋体"/>
              </w:rPr>
            </w:pPr>
          </w:p>
        </w:tc>
        <w:tc>
          <w:tcPr>
            <w:tcW w:w="569" w:type="pct"/>
            <w:shd w:val="clear" w:color="auto" w:fill="auto"/>
            <w:vAlign w:val="bottom"/>
          </w:tcPr>
          <w:p w14:paraId="540661FF" w14:textId="77777777" w:rsidR="00611BDD" w:rsidRDefault="00611BDD">
            <w:pPr>
              <w:rPr>
                <w:rFonts w:ascii="宋体"/>
              </w:rPr>
            </w:pPr>
          </w:p>
        </w:tc>
        <w:tc>
          <w:tcPr>
            <w:tcW w:w="5" w:type="pct"/>
            <w:shd w:val="clear" w:color="auto" w:fill="auto"/>
            <w:vAlign w:val="bottom"/>
          </w:tcPr>
          <w:p w14:paraId="54066200" w14:textId="77777777" w:rsidR="00611BDD" w:rsidRDefault="00611BDD">
            <w:pPr>
              <w:rPr>
                <w:rFonts w:ascii="宋体"/>
              </w:rPr>
            </w:pPr>
          </w:p>
        </w:tc>
      </w:tr>
      <w:tr w:rsidR="00611BDD" w14:paraId="54066206" w14:textId="77777777">
        <w:trPr>
          <w:jc w:val="center"/>
        </w:trPr>
        <w:tc>
          <w:tcPr>
            <w:tcW w:w="0" w:type="auto"/>
            <w:gridSpan w:val="3"/>
            <w:shd w:val="clear" w:color="auto" w:fill="auto"/>
            <w:tcMar>
              <w:top w:w="0" w:type="dxa"/>
              <w:left w:w="20" w:type="dxa"/>
              <w:bottom w:w="0" w:type="dxa"/>
              <w:right w:w="20" w:type="dxa"/>
            </w:tcMar>
            <w:vAlign w:val="bottom"/>
          </w:tcPr>
          <w:p w14:paraId="54066202"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6203" w14:textId="77777777" w:rsidR="00611BDD" w:rsidRDefault="002E18C7">
            <w:pPr>
              <w:jc w:val="center"/>
              <w:textAlignment w:val="bottom"/>
            </w:pPr>
            <w:r>
              <w:rPr>
                <w:rFonts w:ascii="sans-serif" w:eastAsia="sans-serif" w:hAnsi="sans-serif" w:cs="sans-serif"/>
                <w:b/>
                <w:bCs/>
                <w:color w:val="000000"/>
                <w:sz w:val="20"/>
                <w:szCs w:val="20"/>
              </w:rPr>
              <w:t>August 1,</w:t>
            </w:r>
          </w:p>
        </w:tc>
        <w:tc>
          <w:tcPr>
            <w:tcW w:w="0" w:type="auto"/>
            <w:gridSpan w:val="3"/>
            <w:shd w:val="clear" w:color="auto" w:fill="auto"/>
            <w:tcMar>
              <w:top w:w="0" w:type="dxa"/>
              <w:left w:w="20" w:type="dxa"/>
              <w:bottom w:w="0" w:type="dxa"/>
              <w:right w:w="20" w:type="dxa"/>
            </w:tcMar>
            <w:vAlign w:val="bottom"/>
          </w:tcPr>
          <w:p w14:paraId="54066204"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6205" w14:textId="77777777" w:rsidR="00611BDD" w:rsidRDefault="002E18C7">
            <w:pPr>
              <w:jc w:val="center"/>
              <w:textAlignment w:val="bottom"/>
            </w:pPr>
            <w:r>
              <w:rPr>
                <w:rFonts w:ascii="sans-serif" w:eastAsia="sans-serif" w:hAnsi="sans-serif" w:cs="sans-serif"/>
                <w:b/>
                <w:bCs/>
                <w:color w:val="000000"/>
                <w:sz w:val="20"/>
                <w:szCs w:val="20"/>
              </w:rPr>
              <w:t>January 31,</w:t>
            </w:r>
          </w:p>
        </w:tc>
      </w:tr>
      <w:tr w:rsidR="00611BDD" w14:paraId="5406620B" w14:textId="77777777">
        <w:trPr>
          <w:jc w:val="center"/>
        </w:trPr>
        <w:tc>
          <w:tcPr>
            <w:tcW w:w="0" w:type="auto"/>
            <w:gridSpan w:val="3"/>
            <w:shd w:val="clear" w:color="auto" w:fill="auto"/>
            <w:tcMar>
              <w:top w:w="40" w:type="dxa"/>
              <w:left w:w="20" w:type="dxa"/>
              <w:bottom w:w="40" w:type="dxa"/>
              <w:right w:w="20" w:type="dxa"/>
            </w:tcMar>
            <w:vAlign w:val="bottom"/>
          </w:tcPr>
          <w:p w14:paraId="54066207"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4066208" w14:textId="77777777" w:rsidR="00611BDD" w:rsidRDefault="002E18C7">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4066209"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620A" w14:textId="77777777" w:rsidR="00611BDD" w:rsidRDefault="002E18C7">
            <w:pPr>
              <w:jc w:val="center"/>
              <w:textAlignment w:val="bottom"/>
            </w:pPr>
            <w:r>
              <w:rPr>
                <w:rFonts w:ascii="sans-serif" w:eastAsia="sans-serif" w:hAnsi="sans-serif" w:cs="sans-serif"/>
                <w:b/>
                <w:bCs/>
                <w:color w:val="000000"/>
                <w:sz w:val="20"/>
                <w:szCs w:val="20"/>
              </w:rPr>
              <w:t>2021</w:t>
            </w:r>
          </w:p>
        </w:tc>
      </w:tr>
      <w:tr w:rsidR="00611BDD" w14:paraId="54066210" w14:textId="77777777">
        <w:trPr>
          <w:jc w:val="center"/>
        </w:trPr>
        <w:tc>
          <w:tcPr>
            <w:tcW w:w="0" w:type="auto"/>
            <w:gridSpan w:val="3"/>
            <w:shd w:val="clear" w:color="auto" w:fill="E2EFD9"/>
            <w:tcMar>
              <w:top w:w="40" w:type="dxa"/>
              <w:left w:w="20" w:type="dxa"/>
              <w:bottom w:w="40" w:type="dxa"/>
              <w:right w:w="20" w:type="dxa"/>
            </w:tcMar>
            <w:vAlign w:val="bottom"/>
          </w:tcPr>
          <w:p w14:paraId="5406620C" w14:textId="77777777" w:rsidR="00611BDD" w:rsidRDefault="002E18C7">
            <w:pPr>
              <w:textAlignment w:val="bottom"/>
            </w:pPr>
            <w:r>
              <w:rPr>
                <w:rFonts w:ascii="sans-serif" w:eastAsia="sans-serif" w:hAnsi="sans-serif" w:cs="sans-serif"/>
                <w:b/>
                <w:bCs/>
                <w:color w:val="000000"/>
                <w:sz w:val="20"/>
                <w:szCs w:val="20"/>
              </w:rPr>
              <w:t>ASSETS</w:t>
            </w: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5406620D"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20E" w14:textId="77777777" w:rsidR="00611BDD" w:rsidRDefault="00611BDD">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5406620F" w14:textId="77777777" w:rsidR="00611BDD" w:rsidRDefault="00611BDD">
            <w:pPr>
              <w:rPr>
                <w:rFonts w:ascii="宋体"/>
              </w:rPr>
            </w:pPr>
          </w:p>
        </w:tc>
      </w:tr>
      <w:tr w:rsidR="00611BDD" w14:paraId="54066215" w14:textId="77777777">
        <w:trPr>
          <w:jc w:val="center"/>
        </w:trPr>
        <w:tc>
          <w:tcPr>
            <w:tcW w:w="0" w:type="auto"/>
            <w:gridSpan w:val="3"/>
            <w:shd w:val="clear" w:color="auto" w:fill="FFFFFF"/>
            <w:tcMar>
              <w:top w:w="40" w:type="dxa"/>
              <w:left w:w="20" w:type="dxa"/>
              <w:bottom w:w="40" w:type="dxa"/>
              <w:right w:w="20" w:type="dxa"/>
            </w:tcMar>
            <w:vAlign w:val="bottom"/>
          </w:tcPr>
          <w:p w14:paraId="54066211" w14:textId="77777777" w:rsidR="00611BDD" w:rsidRDefault="002E18C7">
            <w:pPr>
              <w:textAlignment w:val="bottom"/>
            </w:pPr>
            <w:r>
              <w:rPr>
                <w:rFonts w:ascii="sans-serif" w:eastAsia="sans-serif" w:hAnsi="sans-serif" w:cs="sans-serif"/>
                <w:color w:val="000000"/>
                <w:sz w:val="20"/>
                <w:szCs w:val="20"/>
              </w:rPr>
              <w:t>Current assets:</w:t>
            </w:r>
          </w:p>
        </w:tc>
        <w:tc>
          <w:tcPr>
            <w:tcW w:w="0" w:type="auto"/>
            <w:gridSpan w:val="3"/>
            <w:shd w:val="clear" w:color="auto" w:fill="FFFFFF"/>
            <w:tcMar>
              <w:top w:w="40" w:type="dxa"/>
              <w:left w:w="20" w:type="dxa"/>
              <w:bottom w:w="40" w:type="dxa"/>
              <w:right w:w="20" w:type="dxa"/>
            </w:tcMar>
            <w:vAlign w:val="bottom"/>
          </w:tcPr>
          <w:p w14:paraId="54066212"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54066213" w14:textId="77777777" w:rsidR="00611BDD" w:rsidRDefault="00611BDD">
            <w:pPr>
              <w:rPr>
                <w:rFonts w:ascii="宋体"/>
              </w:rPr>
            </w:pPr>
          </w:p>
        </w:tc>
        <w:tc>
          <w:tcPr>
            <w:tcW w:w="0" w:type="auto"/>
            <w:gridSpan w:val="3"/>
            <w:shd w:val="clear" w:color="auto" w:fill="FFFFFF"/>
            <w:tcMar>
              <w:top w:w="40" w:type="dxa"/>
              <w:left w:w="20" w:type="dxa"/>
              <w:bottom w:w="40" w:type="dxa"/>
              <w:right w:w="20" w:type="dxa"/>
            </w:tcMar>
            <w:vAlign w:val="bottom"/>
          </w:tcPr>
          <w:p w14:paraId="54066214" w14:textId="77777777" w:rsidR="00611BDD" w:rsidRDefault="002E18C7">
            <w:pPr>
              <w:textAlignment w:val="bottom"/>
            </w:pPr>
            <w:r>
              <w:rPr>
                <w:rFonts w:ascii="sans-serif" w:eastAsia="sans-serif" w:hAnsi="sans-serif" w:cs="sans-serif"/>
                <w:color w:val="000000"/>
                <w:sz w:val="20"/>
                <w:szCs w:val="20"/>
              </w:rPr>
              <w:t> </w:t>
            </w:r>
          </w:p>
        </w:tc>
      </w:tr>
      <w:tr w:rsidR="00611BDD" w14:paraId="5406621E" w14:textId="77777777">
        <w:trPr>
          <w:jc w:val="center"/>
        </w:trPr>
        <w:tc>
          <w:tcPr>
            <w:tcW w:w="0" w:type="auto"/>
            <w:gridSpan w:val="3"/>
            <w:shd w:val="clear" w:color="auto" w:fill="E2EFD9"/>
            <w:tcMar>
              <w:top w:w="40" w:type="dxa"/>
              <w:left w:w="245" w:type="dxa"/>
              <w:bottom w:w="40" w:type="dxa"/>
              <w:right w:w="20" w:type="dxa"/>
            </w:tcMar>
            <w:vAlign w:val="bottom"/>
          </w:tcPr>
          <w:p w14:paraId="54066216" w14:textId="77777777" w:rsidR="00611BDD" w:rsidRDefault="002E18C7">
            <w:pPr>
              <w:textAlignment w:val="bottom"/>
            </w:pPr>
            <w:r>
              <w:rPr>
                <w:rFonts w:ascii="sans-serif" w:eastAsia="sans-serif" w:hAnsi="sans-serif" w:cs="sans-serif"/>
                <w:color w:val="000000"/>
                <w:sz w:val="20"/>
                <w:szCs w:val="20"/>
              </w:rPr>
              <w:t>Cash and cash equivalents</w:t>
            </w:r>
          </w:p>
        </w:tc>
        <w:tc>
          <w:tcPr>
            <w:tcW w:w="0" w:type="auto"/>
            <w:shd w:val="clear" w:color="auto" w:fill="E2EFD9"/>
            <w:tcMar>
              <w:top w:w="40" w:type="dxa"/>
              <w:left w:w="20" w:type="dxa"/>
              <w:bottom w:w="40" w:type="dxa"/>
              <w:right w:w="0" w:type="dxa"/>
            </w:tcMar>
            <w:vAlign w:val="bottom"/>
          </w:tcPr>
          <w:p w14:paraId="54066217"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218" w14:textId="77777777" w:rsidR="00611BDD" w:rsidRDefault="002E18C7">
            <w:pPr>
              <w:jc w:val="right"/>
              <w:textAlignment w:val="bottom"/>
            </w:pPr>
            <w:r>
              <w:rPr>
                <w:rFonts w:ascii="sans-serif" w:eastAsia="sans-serif" w:hAnsi="sans-serif" w:cs="sans-serif"/>
                <w:color w:val="000000"/>
                <w:sz w:val="20"/>
                <w:szCs w:val="20"/>
              </w:rPr>
              <w:t>5,628 </w:t>
            </w:r>
          </w:p>
        </w:tc>
        <w:tc>
          <w:tcPr>
            <w:tcW w:w="0" w:type="auto"/>
            <w:shd w:val="clear" w:color="auto" w:fill="E2EFD9"/>
            <w:tcMar>
              <w:top w:w="40" w:type="dxa"/>
              <w:left w:w="0" w:type="dxa"/>
              <w:bottom w:w="40" w:type="dxa"/>
              <w:right w:w="20" w:type="dxa"/>
            </w:tcMar>
            <w:vAlign w:val="bottom"/>
          </w:tcPr>
          <w:p w14:paraId="5406621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21A"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21B"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21C" w14:textId="77777777" w:rsidR="00611BDD" w:rsidRDefault="002E18C7">
            <w:pPr>
              <w:jc w:val="right"/>
              <w:textAlignment w:val="bottom"/>
            </w:pPr>
            <w:r>
              <w:rPr>
                <w:rFonts w:ascii="sans-serif" w:eastAsia="sans-serif" w:hAnsi="sans-serif" w:cs="sans-serif"/>
                <w:color w:val="000000"/>
                <w:sz w:val="20"/>
                <w:szCs w:val="20"/>
              </w:rPr>
              <w:t>847 </w:t>
            </w:r>
          </w:p>
        </w:tc>
        <w:tc>
          <w:tcPr>
            <w:tcW w:w="0" w:type="auto"/>
            <w:shd w:val="clear" w:color="auto" w:fill="E2EFD9"/>
            <w:tcMar>
              <w:top w:w="40" w:type="dxa"/>
              <w:left w:w="0" w:type="dxa"/>
              <w:bottom w:w="40" w:type="dxa"/>
              <w:right w:w="20" w:type="dxa"/>
            </w:tcMar>
            <w:vAlign w:val="bottom"/>
          </w:tcPr>
          <w:p w14:paraId="5406621D" w14:textId="77777777" w:rsidR="00611BDD" w:rsidRDefault="00611BDD">
            <w:pPr>
              <w:jc w:val="right"/>
              <w:rPr>
                <w:rFonts w:ascii="宋体"/>
              </w:rPr>
            </w:pPr>
          </w:p>
        </w:tc>
      </w:tr>
      <w:tr w:rsidR="00611BDD" w14:paraId="54066225" w14:textId="77777777">
        <w:trPr>
          <w:jc w:val="center"/>
        </w:trPr>
        <w:tc>
          <w:tcPr>
            <w:tcW w:w="0" w:type="auto"/>
            <w:gridSpan w:val="3"/>
            <w:shd w:val="clear" w:color="auto" w:fill="FFFFFF"/>
            <w:tcMar>
              <w:top w:w="40" w:type="dxa"/>
              <w:left w:w="245" w:type="dxa"/>
              <w:bottom w:w="40" w:type="dxa"/>
              <w:right w:w="20" w:type="dxa"/>
            </w:tcMar>
            <w:vAlign w:val="bottom"/>
          </w:tcPr>
          <w:p w14:paraId="5406621F" w14:textId="77777777" w:rsidR="00611BDD" w:rsidRDefault="002E18C7">
            <w:pPr>
              <w:textAlignment w:val="bottom"/>
            </w:pPr>
            <w:r>
              <w:rPr>
                <w:rFonts w:ascii="sans-serif" w:eastAsia="sans-serif" w:hAnsi="sans-serif" w:cs="sans-serif"/>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54066220" w14:textId="77777777" w:rsidR="00611BDD" w:rsidRDefault="002E18C7">
            <w:pPr>
              <w:jc w:val="right"/>
              <w:textAlignment w:val="bottom"/>
            </w:pPr>
            <w:r>
              <w:rPr>
                <w:rFonts w:ascii="sans-serif" w:eastAsia="sans-serif" w:hAnsi="sans-serif" w:cs="sans-serif"/>
                <w:color w:val="000000"/>
                <w:sz w:val="20"/>
                <w:szCs w:val="20"/>
              </w:rPr>
              <w:t>14,026 </w:t>
            </w:r>
          </w:p>
        </w:tc>
        <w:tc>
          <w:tcPr>
            <w:tcW w:w="0" w:type="auto"/>
            <w:shd w:val="clear" w:color="auto" w:fill="FFFFFF"/>
            <w:tcMar>
              <w:top w:w="40" w:type="dxa"/>
              <w:left w:w="0" w:type="dxa"/>
              <w:bottom w:w="40" w:type="dxa"/>
              <w:right w:w="20" w:type="dxa"/>
            </w:tcMar>
            <w:vAlign w:val="bottom"/>
          </w:tcPr>
          <w:p w14:paraId="54066221"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222"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223" w14:textId="77777777" w:rsidR="00611BDD" w:rsidRDefault="002E18C7">
            <w:pPr>
              <w:jc w:val="right"/>
              <w:textAlignment w:val="bottom"/>
            </w:pPr>
            <w:r>
              <w:rPr>
                <w:rFonts w:ascii="sans-serif" w:eastAsia="sans-serif" w:hAnsi="sans-serif" w:cs="sans-serif"/>
                <w:color w:val="000000"/>
                <w:sz w:val="20"/>
                <w:szCs w:val="20"/>
              </w:rPr>
              <w:t>10,714 </w:t>
            </w:r>
          </w:p>
        </w:tc>
        <w:tc>
          <w:tcPr>
            <w:tcW w:w="0" w:type="auto"/>
            <w:shd w:val="clear" w:color="auto" w:fill="FFFFFF"/>
            <w:tcMar>
              <w:top w:w="40" w:type="dxa"/>
              <w:left w:w="0" w:type="dxa"/>
              <w:bottom w:w="40" w:type="dxa"/>
              <w:right w:w="20" w:type="dxa"/>
            </w:tcMar>
            <w:vAlign w:val="bottom"/>
          </w:tcPr>
          <w:p w14:paraId="54066224" w14:textId="77777777" w:rsidR="00611BDD" w:rsidRDefault="00611BDD">
            <w:pPr>
              <w:jc w:val="right"/>
              <w:rPr>
                <w:rFonts w:ascii="宋体"/>
              </w:rPr>
            </w:pPr>
          </w:p>
        </w:tc>
      </w:tr>
      <w:tr w:rsidR="00611BDD" w14:paraId="5406622C" w14:textId="77777777">
        <w:trPr>
          <w:jc w:val="center"/>
        </w:trPr>
        <w:tc>
          <w:tcPr>
            <w:tcW w:w="0" w:type="auto"/>
            <w:gridSpan w:val="3"/>
            <w:shd w:val="clear" w:color="auto" w:fill="E2EFD9"/>
            <w:tcMar>
              <w:top w:w="40" w:type="dxa"/>
              <w:left w:w="245" w:type="dxa"/>
              <w:bottom w:w="40" w:type="dxa"/>
              <w:right w:w="20" w:type="dxa"/>
            </w:tcMar>
            <w:vAlign w:val="bottom"/>
          </w:tcPr>
          <w:p w14:paraId="54066226" w14:textId="77777777" w:rsidR="00611BDD" w:rsidRDefault="002E18C7">
            <w:pPr>
              <w:textAlignment w:val="bottom"/>
            </w:pPr>
            <w:r>
              <w:rPr>
                <w:rFonts w:ascii="sans-serif" w:eastAsia="sans-serif" w:hAnsi="sans-serif" w:cs="sans-serif"/>
                <w:color w:val="000000"/>
                <w:sz w:val="20"/>
                <w:szCs w:val="20"/>
              </w:rPr>
              <w:t>Accounts receivable, net</w:t>
            </w:r>
          </w:p>
        </w:tc>
        <w:tc>
          <w:tcPr>
            <w:tcW w:w="0" w:type="auto"/>
            <w:gridSpan w:val="2"/>
            <w:shd w:val="clear" w:color="auto" w:fill="E2EFD9"/>
            <w:tcMar>
              <w:top w:w="40" w:type="dxa"/>
              <w:left w:w="20" w:type="dxa"/>
              <w:bottom w:w="40" w:type="dxa"/>
              <w:right w:w="0" w:type="dxa"/>
            </w:tcMar>
            <w:vAlign w:val="bottom"/>
          </w:tcPr>
          <w:p w14:paraId="54066227" w14:textId="77777777" w:rsidR="00611BDD" w:rsidRDefault="002E18C7">
            <w:pPr>
              <w:jc w:val="right"/>
              <w:textAlignment w:val="bottom"/>
            </w:pPr>
            <w:r>
              <w:rPr>
                <w:rFonts w:ascii="sans-serif" w:eastAsia="sans-serif" w:hAnsi="sans-serif" w:cs="sans-serif"/>
                <w:color w:val="000000"/>
                <w:sz w:val="20"/>
                <w:szCs w:val="20"/>
              </w:rPr>
              <w:t>3,586 </w:t>
            </w:r>
          </w:p>
        </w:tc>
        <w:tc>
          <w:tcPr>
            <w:tcW w:w="0" w:type="auto"/>
            <w:shd w:val="clear" w:color="auto" w:fill="E2EFD9"/>
            <w:tcMar>
              <w:top w:w="40" w:type="dxa"/>
              <w:left w:w="0" w:type="dxa"/>
              <w:bottom w:w="40" w:type="dxa"/>
              <w:right w:w="20" w:type="dxa"/>
            </w:tcMar>
            <w:vAlign w:val="bottom"/>
          </w:tcPr>
          <w:p w14:paraId="54066228"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229"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22A" w14:textId="77777777" w:rsidR="00611BDD" w:rsidRDefault="002E18C7">
            <w:pPr>
              <w:jc w:val="right"/>
              <w:textAlignment w:val="bottom"/>
            </w:pPr>
            <w:r>
              <w:rPr>
                <w:rFonts w:ascii="sans-serif" w:eastAsia="sans-serif" w:hAnsi="sans-serif" w:cs="sans-serif"/>
                <w:color w:val="000000"/>
                <w:sz w:val="20"/>
                <w:szCs w:val="20"/>
              </w:rPr>
              <w:t>2,429 </w:t>
            </w:r>
          </w:p>
        </w:tc>
        <w:tc>
          <w:tcPr>
            <w:tcW w:w="0" w:type="auto"/>
            <w:shd w:val="clear" w:color="auto" w:fill="E2EFD9"/>
            <w:tcMar>
              <w:top w:w="40" w:type="dxa"/>
              <w:left w:w="0" w:type="dxa"/>
              <w:bottom w:w="40" w:type="dxa"/>
              <w:right w:w="20" w:type="dxa"/>
            </w:tcMar>
            <w:vAlign w:val="bottom"/>
          </w:tcPr>
          <w:p w14:paraId="5406622B" w14:textId="77777777" w:rsidR="00611BDD" w:rsidRDefault="00611BDD">
            <w:pPr>
              <w:jc w:val="right"/>
              <w:rPr>
                <w:rFonts w:ascii="宋体"/>
              </w:rPr>
            </w:pPr>
          </w:p>
        </w:tc>
      </w:tr>
      <w:tr w:rsidR="00611BDD" w14:paraId="54066233" w14:textId="77777777">
        <w:trPr>
          <w:jc w:val="center"/>
        </w:trPr>
        <w:tc>
          <w:tcPr>
            <w:tcW w:w="0" w:type="auto"/>
            <w:gridSpan w:val="3"/>
            <w:shd w:val="clear" w:color="auto" w:fill="FFFFFF"/>
            <w:tcMar>
              <w:top w:w="40" w:type="dxa"/>
              <w:left w:w="245" w:type="dxa"/>
              <w:bottom w:w="40" w:type="dxa"/>
              <w:right w:w="20" w:type="dxa"/>
            </w:tcMar>
            <w:vAlign w:val="bottom"/>
          </w:tcPr>
          <w:p w14:paraId="5406622D" w14:textId="77777777" w:rsidR="00611BDD" w:rsidRDefault="002E18C7">
            <w:pPr>
              <w:textAlignment w:val="bottom"/>
            </w:pPr>
            <w:r>
              <w:rPr>
                <w:rFonts w:ascii="sans-serif" w:eastAsia="sans-serif" w:hAnsi="sans-serif" w:cs="sans-serif"/>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5406622E" w14:textId="77777777" w:rsidR="00611BDD" w:rsidRDefault="002E18C7">
            <w:pPr>
              <w:jc w:val="right"/>
              <w:textAlignment w:val="bottom"/>
            </w:pPr>
            <w:r>
              <w:rPr>
                <w:rFonts w:ascii="sans-serif" w:eastAsia="sans-serif" w:hAnsi="sans-serif" w:cs="sans-serif"/>
                <w:color w:val="000000"/>
                <w:sz w:val="20"/>
                <w:szCs w:val="20"/>
              </w:rPr>
              <w:t>2,114 </w:t>
            </w:r>
          </w:p>
        </w:tc>
        <w:tc>
          <w:tcPr>
            <w:tcW w:w="0" w:type="auto"/>
            <w:shd w:val="clear" w:color="auto" w:fill="FFFFFF"/>
            <w:tcMar>
              <w:top w:w="40" w:type="dxa"/>
              <w:left w:w="0" w:type="dxa"/>
              <w:bottom w:w="40" w:type="dxa"/>
              <w:right w:w="20" w:type="dxa"/>
            </w:tcMar>
            <w:vAlign w:val="bottom"/>
          </w:tcPr>
          <w:p w14:paraId="5406622F"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230"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231" w14:textId="77777777" w:rsidR="00611BDD" w:rsidRDefault="002E18C7">
            <w:pPr>
              <w:jc w:val="right"/>
              <w:textAlignment w:val="bottom"/>
            </w:pPr>
            <w:r>
              <w:rPr>
                <w:rFonts w:ascii="sans-serif" w:eastAsia="sans-serif" w:hAnsi="sans-serif" w:cs="sans-serif"/>
                <w:color w:val="000000"/>
                <w:sz w:val="20"/>
                <w:szCs w:val="20"/>
              </w:rPr>
              <w:t>1,826 </w:t>
            </w:r>
          </w:p>
        </w:tc>
        <w:tc>
          <w:tcPr>
            <w:tcW w:w="0" w:type="auto"/>
            <w:shd w:val="clear" w:color="auto" w:fill="FFFFFF"/>
            <w:tcMar>
              <w:top w:w="40" w:type="dxa"/>
              <w:left w:w="0" w:type="dxa"/>
              <w:bottom w:w="40" w:type="dxa"/>
              <w:right w:w="20" w:type="dxa"/>
            </w:tcMar>
            <w:vAlign w:val="bottom"/>
          </w:tcPr>
          <w:p w14:paraId="54066232" w14:textId="77777777" w:rsidR="00611BDD" w:rsidRDefault="00611BDD">
            <w:pPr>
              <w:jc w:val="right"/>
              <w:rPr>
                <w:rFonts w:ascii="宋体"/>
              </w:rPr>
            </w:pPr>
          </w:p>
        </w:tc>
      </w:tr>
      <w:tr w:rsidR="00611BDD" w14:paraId="5406623A" w14:textId="77777777">
        <w:trPr>
          <w:jc w:val="center"/>
        </w:trPr>
        <w:tc>
          <w:tcPr>
            <w:tcW w:w="0" w:type="auto"/>
            <w:gridSpan w:val="3"/>
            <w:shd w:val="clear" w:color="auto" w:fill="E2EFD9"/>
            <w:tcMar>
              <w:top w:w="40" w:type="dxa"/>
              <w:left w:w="245" w:type="dxa"/>
              <w:bottom w:w="40" w:type="dxa"/>
              <w:right w:w="20" w:type="dxa"/>
            </w:tcMar>
            <w:vAlign w:val="bottom"/>
          </w:tcPr>
          <w:p w14:paraId="54066234" w14:textId="77777777" w:rsidR="00611BDD" w:rsidRDefault="002E18C7">
            <w:pPr>
              <w:textAlignment w:val="bottom"/>
            </w:pPr>
            <w:r>
              <w:rPr>
                <w:rFonts w:ascii="sans-serif" w:eastAsia="sans-serif" w:hAnsi="sans-serif" w:cs="sans-serif"/>
                <w:color w:val="000000"/>
                <w:sz w:val="20"/>
                <w:szCs w:val="20"/>
              </w:rPr>
              <w:t>Prepaid expenses and other current assets</w:t>
            </w:r>
          </w:p>
        </w:tc>
        <w:tc>
          <w:tcPr>
            <w:tcW w:w="0" w:type="auto"/>
            <w:gridSpan w:val="2"/>
            <w:shd w:val="clear" w:color="auto" w:fill="E2EFD9"/>
            <w:tcMar>
              <w:top w:w="40" w:type="dxa"/>
              <w:left w:w="20" w:type="dxa"/>
              <w:bottom w:w="40" w:type="dxa"/>
              <w:right w:w="0" w:type="dxa"/>
            </w:tcMar>
            <w:vAlign w:val="bottom"/>
          </w:tcPr>
          <w:p w14:paraId="54066235" w14:textId="77777777" w:rsidR="00611BDD" w:rsidRDefault="002E18C7">
            <w:pPr>
              <w:jc w:val="right"/>
              <w:textAlignment w:val="bottom"/>
            </w:pPr>
            <w:r>
              <w:rPr>
                <w:rFonts w:ascii="sans-serif" w:eastAsia="sans-serif" w:hAnsi="sans-serif" w:cs="sans-serif"/>
                <w:color w:val="000000"/>
                <w:sz w:val="20"/>
                <w:szCs w:val="20"/>
              </w:rPr>
              <w:t>452 </w:t>
            </w:r>
          </w:p>
        </w:tc>
        <w:tc>
          <w:tcPr>
            <w:tcW w:w="0" w:type="auto"/>
            <w:shd w:val="clear" w:color="auto" w:fill="E2EFD9"/>
            <w:tcMar>
              <w:top w:w="40" w:type="dxa"/>
              <w:left w:w="0" w:type="dxa"/>
              <w:bottom w:w="40" w:type="dxa"/>
              <w:right w:w="20" w:type="dxa"/>
            </w:tcMar>
            <w:vAlign w:val="bottom"/>
          </w:tcPr>
          <w:p w14:paraId="5406623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237"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238" w14:textId="77777777" w:rsidR="00611BDD" w:rsidRDefault="002E18C7">
            <w:pPr>
              <w:jc w:val="right"/>
              <w:textAlignment w:val="bottom"/>
            </w:pPr>
            <w:r>
              <w:rPr>
                <w:rFonts w:ascii="sans-serif" w:eastAsia="sans-serif" w:hAnsi="sans-serif" w:cs="sans-serif"/>
                <w:color w:val="000000"/>
                <w:sz w:val="20"/>
                <w:szCs w:val="20"/>
              </w:rPr>
              <w:t>239 </w:t>
            </w:r>
          </w:p>
        </w:tc>
        <w:tc>
          <w:tcPr>
            <w:tcW w:w="0" w:type="auto"/>
            <w:shd w:val="clear" w:color="auto" w:fill="E2EFD9"/>
            <w:tcMar>
              <w:top w:w="40" w:type="dxa"/>
              <w:left w:w="0" w:type="dxa"/>
              <w:bottom w:w="40" w:type="dxa"/>
              <w:right w:w="20" w:type="dxa"/>
            </w:tcMar>
            <w:vAlign w:val="bottom"/>
          </w:tcPr>
          <w:p w14:paraId="54066239" w14:textId="77777777" w:rsidR="00611BDD" w:rsidRDefault="00611BDD">
            <w:pPr>
              <w:jc w:val="right"/>
              <w:rPr>
                <w:rFonts w:ascii="宋体"/>
              </w:rPr>
            </w:pPr>
          </w:p>
        </w:tc>
      </w:tr>
      <w:tr w:rsidR="00611BDD" w14:paraId="54066241" w14:textId="77777777">
        <w:trPr>
          <w:jc w:val="center"/>
        </w:trPr>
        <w:tc>
          <w:tcPr>
            <w:tcW w:w="0" w:type="auto"/>
            <w:gridSpan w:val="3"/>
            <w:shd w:val="clear" w:color="auto" w:fill="FFFFFF"/>
            <w:tcMar>
              <w:top w:w="40" w:type="dxa"/>
              <w:left w:w="20" w:type="dxa"/>
              <w:bottom w:w="40" w:type="dxa"/>
              <w:right w:w="20" w:type="dxa"/>
            </w:tcMar>
            <w:vAlign w:val="bottom"/>
          </w:tcPr>
          <w:p w14:paraId="5406623B" w14:textId="77777777" w:rsidR="00611BDD" w:rsidRDefault="002E18C7">
            <w:pPr>
              <w:textAlignment w:val="bottom"/>
            </w:pPr>
            <w:r>
              <w:rPr>
                <w:rFonts w:ascii="sans-serif" w:eastAsia="sans-serif" w:hAnsi="sans-serif" w:cs="sans-serif"/>
                <w:color w:val="000000"/>
                <w:sz w:val="20"/>
                <w:szCs w:val="20"/>
              </w:rPr>
              <w:t xml:space="preserve">Total </w:t>
            </w:r>
            <w:r>
              <w:rPr>
                <w:rFonts w:ascii="sans-serif" w:eastAsia="sans-serif" w:hAnsi="sans-serif" w:cs="sans-serif"/>
                <w:color w:val="000000"/>
                <w:sz w:val="20"/>
                <w:szCs w:val="20"/>
              </w:rPr>
              <w:t>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23C" w14:textId="77777777" w:rsidR="00611BDD" w:rsidRDefault="002E18C7">
            <w:pPr>
              <w:jc w:val="right"/>
              <w:textAlignment w:val="bottom"/>
            </w:pPr>
            <w:r>
              <w:rPr>
                <w:rFonts w:ascii="sans-serif" w:eastAsia="sans-serif" w:hAnsi="sans-serif" w:cs="sans-serif"/>
                <w:color w:val="000000"/>
                <w:sz w:val="20"/>
                <w:szCs w:val="20"/>
              </w:rPr>
              <w:t>25,806 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23D"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23E"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23F" w14:textId="77777777" w:rsidR="00611BDD" w:rsidRDefault="002E18C7">
            <w:pPr>
              <w:jc w:val="right"/>
              <w:textAlignment w:val="bottom"/>
            </w:pPr>
            <w:r>
              <w:rPr>
                <w:rFonts w:ascii="sans-serif" w:eastAsia="sans-serif" w:hAnsi="sans-serif" w:cs="sans-serif"/>
                <w:color w:val="000000"/>
                <w:sz w:val="20"/>
                <w:szCs w:val="20"/>
              </w:rPr>
              <w:t>16,055 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240" w14:textId="77777777" w:rsidR="00611BDD" w:rsidRDefault="00611BDD">
            <w:pPr>
              <w:jc w:val="right"/>
              <w:rPr>
                <w:rFonts w:ascii="宋体"/>
              </w:rPr>
            </w:pPr>
          </w:p>
        </w:tc>
      </w:tr>
      <w:tr w:rsidR="00611BDD" w14:paraId="54066248" w14:textId="77777777">
        <w:trPr>
          <w:jc w:val="center"/>
        </w:trPr>
        <w:tc>
          <w:tcPr>
            <w:tcW w:w="0" w:type="auto"/>
            <w:gridSpan w:val="3"/>
            <w:shd w:val="clear" w:color="auto" w:fill="E2EFD9"/>
            <w:tcMar>
              <w:top w:w="40" w:type="dxa"/>
              <w:left w:w="20" w:type="dxa"/>
              <w:bottom w:w="40" w:type="dxa"/>
              <w:right w:w="20" w:type="dxa"/>
            </w:tcMar>
            <w:vAlign w:val="bottom"/>
          </w:tcPr>
          <w:p w14:paraId="54066242" w14:textId="77777777" w:rsidR="00611BDD" w:rsidRDefault="002E18C7">
            <w:pPr>
              <w:textAlignment w:val="bottom"/>
            </w:pPr>
            <w:r>
              <w:rPr>
                <w:rFonts w:ascii="sans-serif" w:eastAsia="sans-serif" w:hAnsi="sans-serif" w:cs="sans-serif"/>
                <w:color w:val="000000"/>
                <w:sz w:val="20"/>
                <w:szCs w:val="20"/>
              </w:rPr>
              <w:t>Property and equipment, net</w:t>
            </w:r>
          </w:p>
        </w:tc>
        <w:tc>
          <w:tcPr>
            <w:tcW w:w="0" w:type="auto"/>
            <w:gridSpan w:val="2"/>
            <w:shd w:val="clear" w:color="auto" w:fill="E2EFD9"/>
            <w:tcMar>
              <w:top w:w="40" w:type="dxa"/>
              <w:left w:w="20" w:type="dxa"/>
              <w:bottom w:w="40" w:type="dxa"/>
              <w:right w:w="0" w:type="dxa"/>
            </w:tcMar>
            <w:vAlign w:val="bottom"/>
          </w:tcPr>
          <w:p w14:paraId="54066243" w14:textId="77777777" w:rsidR="00611BDD" w:rsidRDefault="002E18C7">
            <w:pPr>
              <w:jc w:val="right"/>
              <w:textAlignment w:val="bottom"/>
            </w:pPr>
            <w:r>
              <w:rPr>
                <w:rFonts w:ascii="sans-serif" w:eastAsia="sans-serif" w:hAnsi="sans-serif" w:cs="sans-serif"/>
                <w:color w:val="000000"/>
                <w:sz w:val="20"/>
                <w:szCs w:val="20"/>
              </w:rPr>
              <w:t>2,364 </w:t>
            </w:r>
          </w:p>
        </w:tc>
        <w:tc>
          <w:tcPr>
            <w:tcW w:w="0" w:type="auto"/>
            <w:shd w:val="clear" w:color="auto" w:fill="E2EFD9"/>
            <w:tcMar>
              <w:top w:w="40" w:type="dxa"/>
              <w:left w:w="0" w:type="dxa"/>
              <w:bottom w:w="40" w:type="dxa"/>
              <w:right w:w="20" w:type="dxa"/>
            </w:tcMar>
            <w:vAlign w:val="bottom"/>
          </w:tcPr>
          <w:p w14:paraId="54066244"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245"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246" w14:textId="77777777" w:rsidR="00611BDD" w:rsidRDefault="002E18C7">
            <w:pPr>
              <w:jc w:val="right"/>
              <w:textAlignment w:val="bottom"/>
            </w:pPr>
            <w:r>
              <w:rPr>
                <w:rFonts w:ascii="sans-serif" w:eastAsia="sans-serif" w:hAnsi="sans-serif" w:cs="sans-serif"/>
                <w:color w:val="000000"/>
                <w:sz w:val="20"/>
                <w:szCs w:val="20"/>
              </w:rPr>
              <w:t>2,149 </w:t>
            </w:r>
          </w:p>
        </w:tc>
        <w:tc>
          <w:tcPr>
            <w:tcW w:w="0" w:type="auto"/>
            <w:shd w:val="clear" w:color="auto" w:fill="E2EFD9"/>
            <w:tcMar>
              <w:top w:w="40" w:type="dxa"/>
              <w:left w:w="0" w:type="dxa"/>
              <w:bottom w:w="40" w:type="dxa"/>
              <w:right w:w="20" w:type="dxa"/>
            </w:tcMar>
            <w:vAlign w:val="bottom"/>
          </w:tcPr>
          <w:p w14:paraId="54066247" w14:textId="77777777" w:rsidR="00611BDD" w:rsidRDefault="00611BDD">
            <w:pPr>
              <w:jc w:val="right"/>
              <w:rPr>
                <w:rFonts w:ascii="宋体"/>
              </w:rPr>
            </w:pPr>
          </w:p>
        </w:tc>
      </w:tr>
      <w:tr w:rsidR="00611BDD" w14:paraId="5406624F" w14:textId="77777777">
        <w:trPr>
          <w:jc w:val="center"/>
        </w:trPr>
        <w:tc>
          <w:tcPr>
            <w:tcW w:w="0" w:type="auto"/>
            <w:gridSpan w:val="3"/>
            <w:shd w:val="clear" w:color="auto" w:fill="FFFFFF"/>
            <w:tcMar>
              <w:top w:w="40" w:type="dxa"/>
              <w:left w:w="20" w:type="dxa"/>
              <w:bottom w:w="40" w:type="dxa"/>
              <w:right w:w="20" w:type="dxa"/>
            </w:tcMar>
            <w:vAlign w:val="bottom"/>
          </w:tcPr>
          <w:p w14:paraId="54066249" w14:textId="77777777" w:rsidR="00611BDD" w:rsidRDefault="002E18C7">
            <w:pPr>
              <w:textAlignment w:val="bottom"/>
            </w:pPr>
            <w:r>
              <w:rPr>
                <w:rFonts w:ascii="sans-serif" w:eastAsia="sans-serif" w:hAnsi="sans-serif" w:cs="sans-serif"/>
                <w:color w:val="000000"/>
                <w:sz w:val="20"/>
                <w:szCs w:val="20"/>
              </w:rPr>
              <w:t>Operating lease assets</w:t>
            </w:r>
          </w:p>
        </w:tc>
        <w:tc>
          <w:tcPr>
            <w:tcW w:w="0" w:type="auto"/>
            <w:gridSpan w:val="2"/>
            <w:shd w:val="clear" w:color="auto" w:fill="FFFFFF"/>
            <w:tcMar>
              <w:top w:w="40" w:type="dxa"/>
              <w:left w:w="20" w:type="dxa"/>
              <w:bottom w:w="40" w:type="dxa"/>
              <w:right w:w="0" w:type="dxa"/>
            </w:tcMar>
            <w:vAlign w:val="bottom"/>
          </w:tcPr>
          <w:p w14:paraId="5406624A" w14:textId="77777777" w:rsidR="00611BDD" w:rsidRDefault="002E18C7">
            <w:pPr>
              <w:jc w:val="right"/>
              <w:textAlignment w:val="bottom"/>
            </w:pPr>
            <w:r>
              <w:rPr>
                <w:rFonts w:ascii="sans-serif" w:eastAsia="sans-serif" w:hAnsi="sans-serif" w:cs="sans-serif"/>
                <w:color w:val="000000"/>
                <w:sz w:val="20"/>
                <w:szCs w:val="20"/>
              </w:rPr>
              <w:t>801 </w:t>
            </w:r>
          </w:p>
        </w:tc>
        <w:tc>
          <w:tcPr>
            <w:tcW w:w="0" w:type="auto"/>
            <w:shd w:val="clear" w:color="auto" w:fill="FFFFFF"/>
            <w:tcMar>
              <w:top w:w="40" w:type="dxa"/>
              <w:left w:w="0" w:type="dxa"/>
              <w:bottom w:w="40" w:type="dxa"/>
              <w:right w:w="20" w:type="dxa"/>
            </w:tcMar>
            <w:vAlign w:val="bottom"/>
          </w:tcPr>
          <w:p w14:paraId="5406624B"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24C"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24D" w14:textId="77777777" w:rsidR="00611BDD" w:rsidRDefault="002E18C7">
            <w:pPr>
              <w:jc w:val="right"/>
              <w:textAlignment w:val="bottom"/>
            </w:pPr>
            <w:r>
              <w:rPr>
                <w:rFonts w:ascii="sans-serif" w:eastAsia="sans-serif" w:hAnsi="sans-serif" w:cs="sans-serif"/>
                <w:color w:val="000000"/>
                <w:sz w:val="20"/>
                <w:szCs w:val="20"/>
              </w:rPr>
              <w:t>707 </w:t>
            </w:r>
          </w:p>
        </w:tc>
        <w:tc>
          <w:tcPr>
            <w:tcW w:w="0" w:type="auto"/>
            <w:shd w:val="clear" w:color="auto" w:fill="FFFFFF"/>
            <w:tcMar>
              <w:top w:w="40" w:type="dxa"/>
              <w:left w:w="0" w:type="dxa"/>
              <w:bottom w:w="40" w:type="dxa"/>
              <w:right w:w="20" w:type="dxa"/>
            </w:tcMar>
            <w:vAlign w:val="bottom"/>
          </w:tcPr>
          <w:p w14:paraId="5406624E" w14:textId="77777777" w:rsidR="00611BDD" w:rsidRDefault="00611BDD">
            <w:pPr>
              <w:jc w:val="right"/>
              <w:rPr>
                <w:rFonts w:ascii="宋体"/>
              </w:rPr>
            </w:pPr>
          </w:p>
        </w:tc>
      </w:tr>
      <w:tr w:rsidR="00611BDD" w14:paraId="54066256" w14:textId="77777777">
        <w:trPr>
          <w:jc w:val="center"/>
        </w:trPr>
        <w:tc>
          <w:tcPr>
            <w:tcW w:w="0" w:type="auto"/>
            <w:gridSpan w:val="3"/>
            <w:shd w:val="clear" w:color="auto" w:fill="E2EFD9"/>
            <w:tcMar>
              <w:top w:w="40" w:type="dxa"/>
              <w:left w:w="20" w:type="dxa"/>
              <w:bottom w:w="40" w:type="dxa"/>
              <w:right w:w="20" w:type="dxa"/>
            </w:tcMar>
            <w:vAlign w:val="bottom"/>
          </w:tcPr>
          <w:p w14:paraId="54066250" w14:textId="77777777" w:rsidR="00611BDD" w:rsidRDefault="002E18C7">
            <w:pPr>
              <w:textAlignment w:val="bottom"/>
            </w:pPr>
            <w:r>
              <w:rPr>
                <w:rFonts w:ascii="sans-serif" w:eastAsia="sans-serif" w:hAnsi="sans-serif" w:cs="sans-serif"/>
                <w:color w:val="000000"/>
                <w:sz w:val="20"/>
                <w:szCs w:val="20"/>
              </w:rPr>
              <w:t>Goodwill</w:t>
            </w:r>
          </w:p>
        </w:tc>
        <w:tc>
          <w:tcPr>
            <w:tcW w:w="0" w:type="auto"/>
            <w:gridSpan w:val="2"/>
            <w:shd w:val="clear" w:color="auto" w:fill="E2EFD9"/>
            <w:tcMar>
              <w:top w:w="40" w:type="dxa"/>
              <w:left w:w="20" w:type="dxa"/>
              <w:bottom w:w="40" w:type="dxa"/>
              <w:right w:w="0" w:type="dxa"/>
            </w:tcMar>
            <w:vAlign w:val="bottom"/>
          </w:tcPr>
          <w:p w14:paraId="54066251" w14:textId="77777777" w:rsidR="00611BDD" w:rsidRDefault="002E18C7">
            <w:pPr>
              <w:jc w:val="right"/>
              <w:textAlignment w:val="bottom"/>
            </w:pPr>
            <w:r>
              <w:rPr>
                <w:rFonts w:ascii="sans-serif" w:eastAsia="sans-serif" w:hAnsi="sans-serif" w:cs="sans-serif"/>
                <w:color w:val="000000"/>
                <w:sz w:val="20"/>
                <w:szCs w:val="20"/>
              </w:rPr>
              <w:t>4,193 </w:t>
            </w:r>
          </w:p>
        </w:tc>
        <w:tc>
          <w:tcPr>
            <w:tcW w:w="0" w:type="auto"/>
            <w:shd w:val="clear" w:color="auto" w:fill="E2EFD9"/>
            <w:tcMar>
              <w:top w:w="40" w:type="dxa"/>
              <w:left w:w="0" w:type="dxa"/>
              <w:bottom w:w="40" w:type="dxa"/>
              <w:right w:w="20" w:type="dxa"/>
            </w:tcMar>
            <w:vAlign w:val="bottom"/>
          </w:tcPr>
          <w:p w14:paraId="54066252"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253"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254" w14:textId="77777777" w:rsidR="00611BDD" w:rsidRDefault="002E18C7">
            <w:pPr>
              <w:jc w:val="right"/>
              <w:textAlignment w:val="bottom"/>
            </w:pPr>
            <w:r>
              <w:rPr>
                <w:rFonts w:ascii="sans-serif" w:eastAsia="sans-serif" w:hAnsi="sans-serif" w:cs="sans-serif"/>
                <w:color w:val="000000"/>
                <w:sz w:val="20"/>
                <w:szCs w:val="20"/>
              </w:rPr>
              <w:t>4,193 </w:t>
            </w:r>
          </w:p>
        </w:tc>
        <w:tc>
          <w:tcPr>
            <w:tcW w:w="0" w:type="auto"/>
            <w:shd w:val="clear" w:color="auto" w:fill="E2EFD9"/>
            <w:tcMar>
              <w:top w:w="40" w:type="dxa"/>
              <w:left w:w="0" w:type="dxa"/>
              <w:bottom w:w="40" w:type="dxa"/>
              <w:right w:w="20" w:type="dxa"/>
            </w:tcMar>
            <w:vAlign w:val="bottom"/>
          </w:tcPr>
          <w:p w14:paraId="54066255" w14:textId="77777777" w:rsidR="00611BDD" w:rsidRDefault="00611BDD">
            <w:pPr>
              <w:jc w:val="right"/>
              <w:rPr>
                <w:rFonts w:ascii="宋体"/>
              </w:rPr>
            </w:pPr>
          </w:p>
        </w:tc>
      </w:tr>
      <w:tr w:rsidR="00611BDD" w14:paraId="5406625D" w14:textId="77777777">
        <w:trPr>
          <w:jc w:val="center"/>
        </w:trPr>
        <w:tc>
          <w:tcPr>
            <w:tcW w:w="0" w:type="auto"/>
            <w:gridSpan w:val="3"/>
            <w:shd w:val="clear" w:color="auto" w:fill="FFFFFF"/>
            <w:tcMar>
              <w:top w:w="40" w:type="dxa"/>
              <w:left w:w="20" w:type="dxa"/>
              <w:bottom w:w="40" w:type="dxa"/>
              <w:right w:w="20" w:type="dxa"/>
            </w:tcMar>
            <w:vAlign w:val="bottom"/>
          </w:tcPr>
          <w:p w14:paraId="54066257" w14:textId="77777777" w:rsidR="00611BDD" w:rsidRDefault="002E18C7">
            <w:pPr>
              <w:textAlignment w:val="bottom"/>
            </w:pPr>
            <w:r>
              <w:rPr>
                <w:rFonts w:ascii="sans-serif" w:eastAsia="sans-serif" w:hAnsi="sans-serif" w:cs="sans-serif"/>
                <w:color w:val="000000"/>
                <w:sz w:val="20"/>
                <w:szCs w:val="20"/>
              </w:rPr>
              <w:t>Intangible assets, net</w:t>
            </w:r>
          </w:p>
        </w:tc>
        <w:tc>
          <w:tcPr>
            <w:tcW w:w="0" w:type="auto"/>
            <w:gridSpan w:val="2"/>
            <w:shd w:val="clear" w:color="auto" w:fill="FFFFFF"/>
            <w:tcMar>
              <w:top w:w="40" w:type="dxa"/>
              <w:left w:w="20" w:type="dxa"/>
              <w:bottom w:w="40" w:type="dxa"/>
              <w:right w:w="0" w:type="dxa"/>
            </w:tcMar>
            <w:vAlign w:val="bottom"/>
          </w:tcPr>
          <w:p w14:paraId="54066258" w14:textId="77777777" w:rsidR="00611BDD" w:rsidRDefault="002E18C7">
            <w:pPr>
              <w:jc w:val="right"/>
              <w:textAlignment w:val="bottom"/>
            </w:pPr>
            <w:r>
              <w:rPr>
                <w:rFonts w:ascii="sans-serif" w:eastAsia="sans-serif" w:hAnsi="sans-serif" w:cs="sans-serif"/>
                <w:color w:val="000000"/>
                <w:sz w:val="20"/>
                <w:szCs w:val="20"/>
              </w:rPr>
              <w:t>2,478 </w:t>
            </w:r>
          </w:p>
        </w:tc>
        <w:tc>
          <w:tcPr>
            <w:tcW w:w="0" w:type="auto"/>
            <w:shd w:val="clear" w:color="auto" w:fill="FFFFFF"/>
            <w:tcMar>
              <w:top w:w="40" w:type="dxa"/>
              <w:left w:w="0" w:type="dxa"/>
              <w:bottom w:w="40" w:type="dxa"/>
              <w:right w:w="20" w:type="dxa"/>
            </w:tcMar>
            <w:vAlign w:val="bottom"/>
          </w:tcPr>
          <w:p w14:paraId="5406625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25A"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25B" w14:textId="77777777" w:rsidR="00611BDD" w:rsidRDefault="002E18C7">
            <w:pPr>
              <w:jc w:val="right"/>
              <w:textAlignment w:val="bottom"/>
            </w:pPr>
            <w:r>
              <w:rPr>
                <w:rFonts w:ascii="sans-serif" w:eastAsia="sans-serif" w:hAnsi="sans-serif" w:cs="sans-serif"/>
                <w:color w:val="000000"/>
                <w:sz w:val="20"/>
                <w:szCs w:val="20"/>
              </w:rPr>
              <w:t>2,737 </w:t>
            </w:r>
          </w:p>
        </w:tc>
        <w:tc>
          <w:tcPr>
            <w:tcW w:w="0" w:type="auto"/>
            <w:shd w:val="clear" w:color="auto" w:fill="FFFFFF"/>
            <w:tcMar>
              <w:top w:w="40" w:type="dxa"/>
              <w:left w:w="0" w:type="dxa"/>
              <w:bottom w:w="40" w:type="dxa"/>
              <w:right w:w="20" w:type="dxa"/>
            </w:tcMar>
            <w:vAlign w:val="bottom"/>
          </w:tcPr>
          <w:p w14:paraId="5406625C" w14:textId="77777777" w:rsidR="00611BDD" w:rsidRDefault="00611BDD">
            <w:pPr>
              <w:jc w:val="right"/>
              <w:rPr>
                <w:rFonts w:ascii="宋体"/>
              </w:rPr>
            </w:pPr>
          </w:p>
        </w:tc>
      </w:tr>
      <w:tr w:rsidR="00611BDD" w14:paraId="54066264" w14:textId="77777777">
        <w:trPr>
          <w:jc w:val="center"/>
        </w:trPr>
        <w:tc>
          <w:tcPr>
            <w:tcW w:w="0" w:type="auto"/>
            <w:gridSpan w:val="3"/>
            <w:shd w:val="clear" w:color="auto" w:fill="E2EFD9"/>
            <w:tcMar>
              <w:top w:w="40" w:type="dxa"/>
              <w:left w:w="20" w:type="dxa"/>
              <w:bottom w:w="40" w:type="dxa"/>
              <w:right w:w="20" w:type="dxa"/>
            </w:tcMar>
            <w:vAlign w:val="bottom"/>
          </w:tcPr>
          <w:p w14:paraId="5406625E" w14:textId="77777777" w:rsidR="00611BDD" w:rsidRDefault="002E18C7">
            <w:pPr>
              <w:textAlignment w:val="bottom"/>
            </w:pPr>
            <w:r>
              <w:rPr>
                <w:rFonts w:ascii="sans-serif" w:eastAsia="sans-serif" w:hAnsi="sans-serif" w:cs="sans-serif"/>
                <w:color w:val="000000"/>
                <w:sz w:val="20"/>
                <w:szCs w:val="20"/>
              </w:rPr>
              <w:t>Deferred income tax assets</w:t>
            </w:r>
          </w:p>
        </w:tc>
        <w:tc>
          <w:tcPr>
            <w:tcW w:w="0" w:type="auto"/>
            <w:gridSpan w:val="2"/>
            <w:shd w:val="clear" w:color="auto" w:fill="E2EFD9"/>
            <w:tcMar>
              <w:top w:w="40" w:type="dxa"/>
              <w:left w:w="20" w:type="dxa"/>
              <w:bottom w:w="40" w:type="dxa"/>
              <w:right w:w="0" w:type="dxa"/>
            </w:tcMar>
            <w:vAlign w:val="bottom"/>
          </w:tcPr>
          <w:p w14:paraId="5406625F" w14:textId="77777777" w:rsidR="00611BDD" w:rsidRDefault="002E18C7">
            <w:pPr>
              <w:jc w:val="right"/>
              <w:textAlignment w:val="bottom"/>
            </w:pPr>
            <w:r>
              <w:rPr>
                <w:rFonts w:ascii="sans-serif" w:eastAsia="sans-serif" w:hAnsi="sans-serif" w:cs="sans-serif"/>
                <w:color w:val="000000"/>
                <w:sz w:val="20"/>
                <w:szCs w:val="20"/>
              </w:rPr>
              <w:t>958 </w:t>
            </w:r>
          </w:p>
        </w:tc>
        <w:tc>
          <w:tcPr>
            <w:tcW w:w="0" w:type="auto"/>
            <w:shd w:val="clear" w:color="auto" w:fill="E2EFD9"/>
            <w:tcMar>
              <w:top w:w="40" w:type="dxa"/>
              <w:left w:w="0" w:type="dxa"/>
              <w:bottom w:w="40" w:type="dxa"/>
              <w:right w:w="20" w:type="dxa"/>
            </w:tcMar>
            <w:vAlign w:val="bottom"/>
          </w:tcPr>
          <w:p w14:paraId="54066260"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261"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262" w14:textId="77777777" w:rsidR="00611BDD" w:rsidRDefault="002E18C7">
            <w:pPr>
              <w:jc w:val="right"/>
              <w:textAlignment w:val="bottom"/>
            </w:pPr>
            <w:r>
              <w:rPr>
                <w:rFonts w:ascii="sans-serif" w:eastAsia="sans-serif" w:hAnsi="sans-serif" w:cs="sans-serif"/>
                <w:color w:val="000000"/>
                <w:sz w:val="20"/>
                <w:szCs w:val="20"/>
              </w:rPr>
              <w:t>806 </w:t>
            </w:r>
          </w:p>
        </w:tc>
        <w:tc>
          <w:tcPr>
            <w:tcW w:w="0" w:type="auto"/>
            <w:shd w:val="clear" w:color="auto" w:fill="E2EFD9"/>
            <w:tcMar>
              <w:top w:w="40" w:type="dxa"/>
              <w:left w:w="0" w:type="dxa"/>
              <w:bottom w:w="40" w:type="dxa"/>
              <w:right w:w="20" w:type="dxa"/>
            </w:tcMar>
            <w:vAlign w:val="bottom"/>
          </w:tcPr>
          <w:p w14:paraId="54066263" w14:textId="77777777" w:rsidR="00611BDD" w:rsidRDefault="00611BDD">
            <w:pPr>
              <w:jc w:val="right"/>
              <w:rPr>
                <w:rFonts w:ascii="宋体"/>
              </w:rPr>
            </w:pPr>
          </w:p>
        </w:tc>
      </w:tr>
      <w:tr w:rsidR="00611BDD" w14:paraId="5406626B" w14:textId="77777777">
        <w:trPr>
          <w:jc w:val="center"/>
        </w:trPr>
        <w:tc>
          <w:tcPr>
            <w:tcW w:w="0" w:type="auto"/>
            <w:gridSpan w:val="3"/>
            <w:shd w:val="clear" w:color="auto" w:fill="FFFFFF"/>
            <w:tcMar>
              <w:top w:w="40" w:type="dxa"/>
              <w:left w:w="20" w:type="dxa"/>
              <w:bottom w:w="40" w:type="dxa"/>
              <w:right w:w="20" w:type="dxa"/>
            </w:tcMar>
            <w:vAlign w:val="bottom"/>
          </w:tcPr>
          <w:p w14:paraId="54066265" w14:textId="77777777" w:rsidR="00611BDD" w:rsidRDefault="002E18C7">
            <w:pPr>
              <w:textAlignment w:val="bottom"/>
            </w:pPr>
            <w:r>
              <w:rPr>
                <w:rFonts w:ascii="sans-serif" w:eastAsia="sans-serif" w:hAnsi="sans-serif" w:cs="sans-serif"/>
                <w:color w:val="000000"/>
                <w:sz w:val="20"/>
                <w:szCs w:val="20"/>
              </w:rPr>
              <w:t>Other assets</w:t>
            </w:r>
          </w:p>
        </w:tc>
        <w:tc>
          <w:tcPr>
            <w:tcW w:w="0" w:type="auto"/>
            <w:gridSpan w:val="2"/>
            <w:shd w:val="clear" w:color="auto" w:fill="FFFFFF"/>
            <w:tcMar>
              <w:top w:w="40" w:type="dxa"/>
              <w:left w:w="20" w:type="dxa"/>
              <w:bottom w:w="40" w:type="dxa"/>
              <w:right w:w="0" w:type="dxa"/>
            </w:tcMar>
            <w:vAlign w:val="bottom"/>
          </w:tcPr>
          <w:p w14:paraId="54066266" w14:textId="77777777" w:rsidR="00611BDD" w:rsidRDefault="002E18C7">
            <w:pPr>
              <w:jc w:val="right"/>
              <w:textAlignment w:val="bottom"/>
            </w:pPr>
            <w:r>
              <w:rPr>
                <w:rFonts w:ascii="sans-serif" w:eastAsia="sans-serif" w:hAnsi="sans-serif" w:cs="sans-serif"/>
                <w:color w:val="000000"/>
                <w:sz w:val="20"/>
                <w:szCs w:val="20"/>
              </w:rPr>
              <w:t>2,050 </w:t>
            </w:r>
          </w:p>
        </w:tc>
        <w:tc>
          <w:tcPr>
            <w:tcW w:w="0" w:type="auto"/>
            <w:shd w:val="clear" w:color="auto" w:fill="FFFFFF"/>
            <w:tcMar>
              <w:top w:w="40" w:type="dxa"/>
              <w:left w:w="0" w:type="dxa"/>
              <w:bottom w:w="40" w:type="dxa"/>
              <w:right w:w="20" w:type="dxa"/>
            </w:tcMar>
            <w:vAlign w:val="bottom"/>
          </w:tcPr>
          <w:p w14:paraId="54066267"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268"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269" w14:textId="77777777" w:rsidR="00611BDD" w:rsidRDefault="002E18C7">
            <w:pPr>
              <w:jc w:val="right"/>
              <w:textAlignment w:val="bottom"/>
            </w:pPr>
            <w:r>
              <w:rPr>
                <w:rFonts w:ascii="sans-serif" w:eastAsia="sans-serif" w:hAnsi="sans-serif" w:cs="sans-serif"/>
                <w:color w:val="000000"/>
                <w:sz w:val="20"/>
                <w:szCs w:val="20"/>
              </w:rPr>
              <w:t>2,144 </w:t>
            </w:r>
          </w:p>
        </w:tc>
        <w:tc>
          <w:tcPr>
            <w:tcW w:w="0" w:type="auto"/>
            <w:shd w:val="clear" w:color="auto" w:fill="FFFFFF"/>
            <w:tcMar>
              <w:top w:w="40" w:type="dxa"/>
              <w:left w:w="0" w:type="dxa"/>
              <w:bottom w:w="40" w:type="dxa"/>
              <w:right w:w="20" w:type="dxa"/>
            </w:tcMar>
            <w:vAlign w:val="bottom"/>
          </w:tcPr>
          <w:p w14:paraId="5406626A" w14:textId="77777777" w:rsidR="00611BDD" w:rsidRDefault="00611BDD">
            <w:pPr>
              <w:jc w:val="right"/>
              <w:rPr>
                <w:rFonts w:ascii="宋体"/>
              </w:rPr>
            </w:pPr>
          </w:p>
        </w:tc>
      </w:tr>
      <w:tr w:rsidR="00611BDD" w14:paraId="54066274" w14:textId="77777777">
        <w:trPr>
          <w:jc w:val="center"/>
        </w:trPr>
        <w:tc>
          <w:tcPr>
            <w:tcW w:w="0" w:type="auto"/>
            <w:gridSpan w:val="3"/>
            <w:shd w:val="clear" w:color="auto" w:fill="E2EFD9"/>
            <w:tcMar>
              <w:top w:w="40" w:type="dxa"/>
              <w:left w:w="20" w:type="dxa"/>
              <w:bottom w:w="40" w:type="dxa"/>
              <w:right w:w="20" w:type="dxa"/>
            </w:tcMar>
            <w:vAlign w:val="bottom"/>
          </w:tcPr>
          <w:p w14:paraId="5406626C" w14:textId="77777777" w:rsidR="00611BDD" w:rsidRDefault="002E18C7">
            <w:pPr>
              <w:textAlignment w:val="bottom"/>
            </w:pPr>
            <w:r>
              <w:rPr>
                <w:rFonts w:ascii="sans-serif" w:eastAsia="sans-serif" w:hAnsi="sans-serif" w:cs="sans-serif"/>
                <w:color w:val="000000"/>
                <w:sz w:val="20"/>
                <w:szCs w:val="20"/>
              </w:rPr>
              <w:t>Total assets</w:t>
            </w:r>
          </w:p>
        </w:tc>
        <w:tc>
          <w:tcPr>
            <w:tcW w:w="0" w:type="auto"/>
            <w:tcBorders>
              <w:top w:val="single" w:sz="8" w:space="0" w:color="000000"/>
            </w:tcBorders>
            <w:shd w:val="clear" w:color="auto" w:fill="E2EFD9"/>
            <w:tcMar>
              <w:top w:w="40" w:type="dxa"/>
              <w:left w:w="20" w:type="dxa"/>
              <w:bottom w:w="40" w:type="dxa"/>
              <w:right w:w="0" w:type="dxa"/>
            </w:tcMar>
            <w:vAlign w:val="bottom"/>
          </w:tcPr>
          <w:p w14:paraId="5406626D"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406626E" w14:textId="77777777" w:rsidR="00611BDD" w:rsidRDefault="002E18C7">
            <w:pPr>
              <w:jc w:val="right"/>
              <w:textAlignment w:val="bottom"/>
            </w:pPr>
            <w:r>
              <w:rPr>
                <w:rFonts w:ascii="sans-serif" w:eastAsia="sans-serif" w:hAnsi="sans-serif" w:cs="sans-serif"/>
                <w:color w:val="000000"/>
                <w:sz w:val="20"/>
                <w:szCs w:val="20"/>
              </w:rPr>
              <w:t>38,650 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26F"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270" w14:textId="77777777" w:rsidR="00611BDD" w:rsidRDefault="00611BD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4066271"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4066272" w14:textId="77777777" w:rsidR="00611BDD" w:rsidRDefault="002E18C7">
            <w:pPr>
              <w:jc w:val="right"/>
              <w:textAlignment w:val="bottom"/>
            </w:pPr>
            <w:r>
              <w:rPr>
                <w:rFonts w:ascii="sans-serif" w:eastAsia="sans-serif" w:hAnsi="sans-serif" w:cs="sans-serif"/>
                <w:color w:val="000000"/>
                <w:sz w:val="20"/>
                <w:szCs w:val="20"/>
              </w:rPr>
              <w:t>28,791 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273" w14:textId="77777777" w:rsidR="00611BDD" w:rsidRDefault="00611BDD">
            <w:pPr>
              <w:jc w:val="right"/>
              <w:rPr>
                <w:rFonts w:ascii="宋体"/>
              </w:rPr>
            </w:pPr>
          </w:p>
        </w:tc>
      </w:tr>
      <w:tr w:rsidR="00611BDD" w14:paraId="54066279" w14:textId="77777777">
        <w:trPr>
          <w:trHeight w:val="300"/>
          <w:jc w:val="center"/>
        </w:trPr>
        <w:tc>
          <w:tcPr>
            <w:tcW w:w="0" w:type="auto"/>
            <w:gridSpan w:val="3"/>
            <w:shd w:val="clear" w:color="auto" w:fill="FFFFFF"/>
            <w:tcMar>
              <w:top w:w="0" w:type="dxa"/>
              <w:left w:w="20" w:type="dxa"/>
              <w:bottom w:w="0" w:type="dxa"/>
              <w:right w:w="20" w:type="dxa"/>
            </w:tcMar>
            <w:vAlign w:val="bottom"/>
          </w:tcPr>
          <w:p w14:paraId="54066275" w14:textId="77777777" w:rsidR="00611BDD" w:rsidRDefault="00611BD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4066276"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277" w14:textId="77777777" w:rsidR="00611BDD" w:rsidRDefault="00611BD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4066278" w14:textId="77777777" w:rsidR="00611BDD" w:rsidRDefault="00611BDD">
            <w:pPr>
              <w:rPr>
                <w:rFonts w:ascii="宋体"/>
              </w:rPr>
            </w:pPr>
          </w:p>
        </w:tc>
      </w:tr>
      <w:tr w:rsidR="00611BDD" w14:paraId="5406627E" w14:textId="77777777">
        <w:trPr>
          <w:jc w:val="center"/>
        </w:trPr>
        <w:tc>
          <w:tcPr>
            <w:tcW w:w="0" w:type="auto"/>
            <w:gridSpan w:val="3"/>
            <w:shd w:val="clear" w:color="auto" w:fill="E2EFD9"/>
            <w:tcMar>
              <w:top w:w="40" w:type="dxa"/>
              <w:left w:w="20" w:type="dxa"/>
              <w:bottom w:w="40" w:type="dxa"/>
              <w:right w:w="20" w:type="dxa"/>
            </w:tcMar>
            <w:vAlign w:val="bottom"/>
          </w:tcPr>
          <w:p w14:paraId="5406627A" w14:textId="77777777" w:rsidR="00611BDD" w:rsidRDefault="002E18C7">
            <w:pPr>
              <w:textAlignment w:val="bottom"/>
            </w:pPr>
            <w:r>
              <w:rPr>
                <w:rFonts w:ascii="sans-serif" w:eastAsia="sans-serif" w:hAnsi="sans-serif" w:cs="sans-serif"/>
                <w:b/>
                <w:bCs/>
                <w:color w:val="000000"/>
                <w:sz w:val="20"/>
                <w:szCs w:val="20"/>
              </w:rPr>
              <w:t>LIABILITIES AND SHAREHOLDERS’ EQUITY</w:t>
            </w:r>
          </w:p>
        </w:tc>
        <w:tc>
          <w:tcPr>
            <w:tcW w:w="0" w:type="auto"/>
            <w:gridSpan w:val="3"/>
            <w:shd w:val="clear" w:color="auto" w:fill="E2EFD9"/>
            <w:tcMar>
              <w:top w:w="40" w:type="dxa"/>
              <w:left w:w="20" w:type="dxa"/>
              <w:bottom w:w="40" w:type="dxa"/>
              <w:right w:w="20" w:type="dxa"/>
            </w:tcMar>
            <w:vAlign w:val="bottom"/>
          </w:tcPr>
          <w:p w14:paraId="5406627B"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5406627C" w14:textId="77777777" w:rsidR="00611BDD" w:rsidRDefault="00611BDD">
            <w:pPr>
              <w:rPr>
                <w:rFonts w:ascii="宋体"/>
              </w:rPr>
            </w:pPr>
          </w:p>
        </w:tc>
        <w:tc>
          <w:tcPr>
            <w:tcW w:w="0" w:type="auto"/>
            <w:gridSpan w:val="3"/>
            <w:shd w:val="clear" w:color="auto" w:fill="E2EFD9"/>
            <w:tcMar>
              <w:top w:w="40" w:type="dxa"/>
              <w:left w:w="20" w:type="dxa"/>
              <w:bottom w:w="40" w:type="dxa"/>
              <w:right w:w="20" w:type="dxa"/>
            </w:tcMar>
            <w:vAlign w:val="bottom"/>
          </w:tcPr>
          <w:p w14:paraId="5406627D" w14:textId="77777777" w:rsidR="00611BDD" w:rsidRDefault="002E18C7">
            <w:pPr>
              <w:textAlignment w:val="bottom"/>
            </w:pPr>
            <w:r>
              <w:rPr>
                <w:rFonts w:ascii="sans-serif" w:eastAsia="sans-serif" w:hAnsi="sans-serif" w:cs="sans-serif"/>
                <w:color w:val="000000"/>
                <w:sz w:val="20"/>
                <w:szCs w:val="20"/>
              </w:rPr>
              <w:t> </w:t>
            </w:r>
          </w:p>
        </w:tc>
      </w:tr>
      <w:tr w:rsidR="00611BDD" w14:paraId="54066283" w14:textId="77777777">
        <w:trPr>
          <w:jc w:val="center"/>
        </w:trPr>
        <w:tc>
          <w:tcPr>
            <w:tcW w:w="0" w:type="auto"/>
            <w:gridSpan w:val="3"/>
            <w:shd w:val="clear" w:color="auto" w:fill="FFFFFF"/>
            <w:tcMar>
              <w:top w:w="40" w:type="dxa"/>
              <w:left w:w="20" w:type="dxa"/>
              <w:bottom w:w="40" w:type="dxa"/>
              <w:right w:w="20" w:type="dxa"/>
            </w:tcMar>
            <w:vAlign w:val="bottom"/>
          </w:tcPr>
          <w:p w14:paraId="5406627F" w14:textId="77777777" w:rsidR="00611BDD" w:rsidRDefault="002E18C7">
            <w:pPr>
              <w:textAlignment w:val="bottom"/>
            </w:pPr>
            <w:r>
              <w:rPr>
                <w:rFonts w:ascii="sans-serif" w:eastAsia="sans-serif" w:hAnsi="sans-serif" w:cs="sans-serif"/>
                <w:color w:val="000000"/>
                <w:sz w:val="20"/>
                <w:szCs w:val="20"/>
              </w:rPr>
              <w:t>Current liabilities:</w:t>
            </w:r>
          </w:p>
        </w:tc>
        <w:tc>
          <w:tcPr>
            <w:tcW w:w="0" w:type="auto"/>
            <w:gridSpan w:val="3"/>
            <w:shd w:val="clear" w:color="auto" w:fill="FFFFFF"/>
            <w:tcMar>
              <w:top w:w="40" w:type="dxa"/>
              <w:left w:w="20" w:type="dxa"/>
              <w:bottom w:w="40" w:type="dxa"/>
              <w:right w:w="20" w:type="dxa"/>
            </w:tcMar>
            <w:vAlign w:val="bottom"/>
          </w:tcPr>
          <w:p w14:paraId="54066280"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54066281" w14:textId="77777777" w:rsidR="00611BDD" w:rsidRDefault="00611BDD">
            <w:pPr>
              <w:rPr>
                <w:rFonts w:ascii="宋体"/>
              </w:rPr>
            </w:pPr>
          </w:p>
        </w:tc>
        <w:tc>
          <w:tcPr>
            <w:tcW w:w="0" w:type="auto"/>
            <w:gridSpan w:val="3"/>
            <w:shd w:val="clear" w:color="auto" w:fill="FFFFFF"/>
            <w:tcMar>
              <w:top w:w="40" w:type="dxa"/>
              <w:left w:w="20" w:type="dxa"/>
              <w:bottom w:w="40" w:type="dxa"/>
              <w:right w:w="20" w:type="dxa"/>
            </w:tcMar>
            <w:vAlign w:val="bottom"/>
          </w:tcPr>
          <w:p w14:paraId="54066282" w14:textId="77777777" w:rsidR="00611BDD" w:rsidRDefault="002E18C7">
            <w:pPr>
              <w:textAlignment w:val="bottom"/>
            </w:pPr>
            <w:r>
              <w:rPr>
                <w:rFonts w:ascii="sans-serif" w:eastAsia="sans-serif" w:hAnsi="sans-serif" w:cs="sans-serif"/>
                <w:color w:val="000000"/>
                <w:sz w:val="20"/>
                <w:szCs w:val="20"/>
              </w:rPr>
              <w:t> </w:t>
            </w:r>
          </w:p>
        </w:tc>
      </w:tr>
      <w:tr w:rsidR="00611BDD" w14:paraId="5406628C" w14:textId="77777777">
        <w:trPr>
          <w:jc w:val="center"/>
        </w:trPr>
        <w:tc>
          <w:tcPr>
            <w:tcW w:w="0" w:type="auto"/>
            <w:gridSpan w:val="3"/>
            <w:shd w:val="clear" w:color="auto" w:fill="E2EFD9"/>
            <w:tcMar>
              <w:top w:w="40" w:type="dxa"/>
              <w:left w:w="245" w:type="dxa"/>
              <w:bottom w:w="40" w:type="dxa"/>
              <w:right w:w="20" w:type="dxa"/>
            </w:tcMar>
            <w:vAlign w:val="bottom"/>
          </w:tcPr>
          <w:p w14:paraId="54066284" w14:textId="77777777" w:rsidR="00611BDD" w:rsidRDefault="002E18C7">
            <w:pPr>
              <w:textAlignment w:val="bottom"/>
            </w:pPr>
            <w:r>
              <w:rPr>
                <w:rFonts w:ascii="sans-serif" w:eastAsia="sans-serif" w:hAnsi="sans-serif" w:cs="sans-serif"/>
                <w:color w:val="000000"/>
                <w:sz w:val="20"/>
                <w:szCs w:val="20"/>
              </w:rPr>
              <w:t>Accounts payable</w:t>
            </w:r>
          </w:p>
        </w:tc>
        <w:tc>
          <w:tcPr>
            <w:tcW w:w="0" w:type="auto"/>
            <w:shd w:val="clear" w:color="auto" w:fill="E2EFD9"/>
            <w:tcMar>
              <w:top w:w="40" w:type="dxa"/>
              <w:left w:w="20" w:type="dxa"/>
              <w:bottom w:w="40" w:type="dxa"/>
              <w:right w:w="0" w:type="dxa"/>
            </w:tcMar>
            <w:vAlign w:val="bottom"/>
          </w:tcPr>
          <w:p w14:paraId="54066285"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286" w14:textId="77777777" w:rsidR="00611BDD" w:rsidRDefault="002E18C7">
            <w:pPr>
              <w:jc w:val="right"/>
              <w:textAlignment w:val="bottom"/>
            </w:pPr>
            <w:r>
              <w:rPr>
                <w:rFonts w:ascii="sans-serif" w:eastAsia="sans-serif" w:hAnsi="sans-serif" w:cs="sans-serif"/>
                <w:color w:val="000000"/>
                <w:sz w:val="20"/>
                <w:szCs w:val="20"/>
              </w:rPr>
              <w:t>1,474 </w:t>
            </w:r>
          </w:p>
        </w:tc>
        <w:tc>
          <w:tcPr>
            <w:tcW w:w="0" w:type="auto"/>
            <w:shd w:val="clear" w:color="auto" w:fill="E2EFD9"/>
            <w:tcMar>
              <w:top w:w="40" w:type="dxa"/>
              <w:left w:w="0" w:type="dxa"/>
              <w:bottom w:w="40" w:type="dxa"/>
              <w:right w:w="20" w:type="dxa"/>
            </w:tcMar>
            <w:vAlign w:val="bottom"/>
          </w:tcPr>
          <w:p w14:paraId="54066287"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288"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289"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28A" w14:textId="77777777" w:rsidR="00611BDD" w:rsidRDefault="002E18C7">
            <w:pPr>
              <w:jc w:val="right"/>
              <w:textAlignment w:val="bottom"/>
            </w:pPr>
            <w:r>
              <w:rPr>
                <w:rFonts w:ascii="sans-serif" w:eastAsia="sans-serif" w:hAnsi="sans-serif" w:cs="sans-serif"/>
                <w:color w:val="000000"/>
                <w:sz w:val="20"/>
                <w:szCs w:val="20"/>
              </w:rPr>
              <w:t>1,201 </w:t>
            </w:r>
          </w:p>
        </w:tc>
        <w:tc>
          <w:tcPr>
            <w:tcW w:w="0" w:type="auto"/>
            <w:shd w:val="clear" w:color="auto" w:fill="E2EFD9"/>
            <w:tcMar>
              <w:top w:w="40" w:type="dxa"/>
              <w:left w:w="0" w:type="dxa"/>
              <w:bottom w:w="40" w:type="dxa"/>
              <w:right w:w="20" w:type="dxa"/>
            </w:tcMar>
            <w:vAlign w:val="bottom"/>
          </w:tcPr>
          <w:p w14:paraId="5406628B" w14:textId="77777777" w:rsidR="00611BDD" w:rsidRDefault="00611BDD">
            <w:pPr>
              <w:jc w:val="right"/>
              <w:rPr>
                <w:rFonts w:ascii="宋体"/>
              </w:rPr>
            </w:pPr>
          </w:p>
        </w:tc>
      </w:tr>
      <w:tr w:rsidR="00611BDD" w14:paraId="54066293" w14:textId="77777777">
        <w:trPr>
          <w:jc w:val="center"/>
        </w:trPr>
        <w:tc>
          <w:tcPr>
            <w:tcW w:w="0" w:type="auto"/>
            <w:gridSpan w:val="3"/>
            <w:shd w:val="clear" w:color="auto" w:fill="FFFFFF"/>
            <w:tcMar>
              <w:top w:w="40" w:type="dxa"/>
              <w:left w:w="245" w:type="dxa"/>
              <w:bottom w:w="40" w:type="dxa"/>
              <w:right w:w="20" w:type="dxa"/>
            </w:tcMar>
            <w:vAlign w:val="bottom"/>
          </w:tcPr>
          <w:p w14:paraId="5406628D" w14:textId="77777777" w:rsidR="00611BDD" w:rsidRDefault="002E18C7">
            <w:pPr>
              <w:textAlignment w:val="bottom"/>
            </w:pPr>
            <w:r>
              <w:rPr>
                <w:rFonts w:ascii="sans-serif" w:eastAsia="sans-serif" w:hAnsi="sans-serif" w:cs="sans-serif"/>
                <w:color w:val="000000"/>
                <w:sz w:val="20"/>
                <w:szCs w:val="20"/>
              </w:rPr>
              <w:t>Accrued and other current liabilities</w:t>
            </w:r>
          </w:p>
        </w:tc>
        <w:tc>
          <w:tcPr>
            <w:tcW w:w="0" w:type="auto"/>
            <w:gridSpan w:val="2"/>
            <w:shd w:val="clear" w:color="auto" w:fill="FFFFFF"/>
            <w:tcMar>
              <w:top w:w="40" w:type="dxa"/>
              <w:left w:w="20" w:type="dxa"/>
              <w:bottom w:w="40" w:type="dxa"/>
              <w:right w:w="0" w:type="dxa"/>
            </w:tcMar>
            <w:vAlign w:val="bottom"/>
          </w:tcPr>
          <w:p w14:paraId="5406628E" w14:textId="77777777" w:rsidR="00611BDD" w:rsidRDefault="002E18C7">
            <w:pPr>
              <w:jc w:val="right"/>
              <w:textAlignment w:val="bottom"/>
            </w:pPr>
            <w:r>
              <w:rPr>
                <w:rFonts w:ascii="sans-serif" w:eastAsia="sans-serif" w:hAnsi="sans-serif" w:cs="sans-serif"/>
                <w:color w:val="000000"/>
                <w:sz w:val="20"/>
                <w:szCs w:val="20"/>
              </w:rPr>
              <w:t>1,974 </w:t>
            </w:r>
          </w:p>
        </w:tc>
        <w:tc>
          <w:tcPr>
            <w:tcW w:w="0" w:type="auto"/>
            <w:shd w:val="clear" w:color="auto" w:fill="FFFFFF"/>
            <w:tcMar>
              <w:top w:w="40" w:type="dxa"/>
              <w:left w:w="0" w:type="dxa"/>
              <w:bottom w:w="40" w:type="dxa"/>
              <w:right w:w="20" w:type="dxa"/>
            </w:tcMar>
            <w:vAlign w:val="bottom"/>
          </w:tcPr>
          <w:p w14:paraId="5406628F"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290"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291" w14:textId="77777777" w:rsidR="00611BDD" w:rsidRDefault="002E18C7">
            <w:pPr>
              <w:jc w:val="right"/>
              <w:textAlignment w:val="bottom"/>
            </w:pPr>
            <w:r>
              <w:rPr>
                <w:rFonts w:ascii="sans-serif" w:eastAsia="sans-serif" w:hAnsi="sans-serif" w:cs="sans-serif"/>
                <w:color w:val="000000"/>
                <w:sz w:val="20"/>
                <w:szCs w:val="20"/>
              </w:rPr>
              <w:t>1,725 </w:t>
            </w:r>
          </w:p>
        </w:tc>
        <w:tc>
          <w:tcPr>
            <w:tcW w:w="0" w:type="auto"/>
            <w:shd w:val="clear" w:color="auto" w:fill="FFFFFF"/>
            <w:tcMar>
              <w:top w:w="40" w:type="dxa"/>
              <w:left w:w="0" w:type="dxa"/>
              <w:bottom w:w="40" w:type="dxa"/>
              <w:right w:w="20" w:type="dxa"/>
            </w:tcMar>
            <w:vAlign w:val="bottom"/>
          </w:tcPr>
          <w:p w14:paraId="54066292" w14:textId="77777777" w:rsidR="00611BDD" w:rsidRDefault="00611BDD">
            <w:pPr>
              <w:jc w:val="right"/>
              <w:rPr>
                <w:rFonts w:ascii="宋体"/>
              </w:rPr>
            </w:pPr>
          </w:p>
        </w:tc>
      </w:tr>
      <w:tr w:rsidR="00611BDD" w14:paraId="5406629A" w14:textId="77777777">
        <w:trPr>
          <w:jc w:val="center"/>
        </w:trPr>
        <w:tc>
          <w:tcPr>
            <w:tcW w:w="0" w:type="auto"/>
            <w:gridSpan w:val="3"/>
            <w:shd w:val="clear" w:color="auto" w:fill="E2EFD9"/>
            <w:tcMar>
              <w:top w:w="40" w:type="dxa"/>
              <w:left w:w="245" w:type="dxa"/>
              <w:bottom w:w="40" w:type="dxa"/>
              <w:right w:w="20" w:type="dxa"/>
            </w:tcMar>
            <w:vAlign w:val="bottom"/>
          </w:tcPr>
          <w:p w14:paraId="54066294" w14:textId="77777777" w:rsidR="00611BDD" w:rsidRDefault="002E18C7">
            <w:pPr>
              <w:textAlignment w:val="bottom"/>
            </w:pPr>
            <w:r>
              <w:rPr>
                <w:rFonts w:ascii="sans-serif" w:eastAsia="sans-serif" w:hAnsi="sans-serif" w:cs="sans-serif"/>
                <w:color w:val="000000"/>
                <w:sz w:val="20"/>
                <w:szCs w:val="20"/>
              </w:rPr>
              <w:t>Short-term debt</w:t>
            </w:r>
          </w:p>
        </w:tc>
        <w:tc>
          <w:tcPr>
            <w:tcW w:w="0" w:type="auto"/>
            <w:gridSpan w:val="2"/>
            <w:shd w:val="clear" w:color="auto" w:fill="E2EFD9"/>
            <w:tcMar>
              <w:top w:w="40" w:type="dxa"/>
              <w:left w:w="20" w:type="dxa"/>
              <w:bottom w:w="40" w:type="dxa"/>
              <w:right w:w="0" w:type="dxa"/>
            </w:tcMar>
            <w:vAlign w:val="bottom"/>
          </w:tcPr>
          <w:p w14:paraId="54066295" w14:textId="77777777" w:rsidR="00611BDD" w:rsidRDefault="002E18C7">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left w:w="0" w:type="dxa"/>
              <w:bottom w:w="40" w:type="dxa"/>
              <w:right w:w="20" w:type="dxa"/>
            </w:tcMar>
            <w:vAlign w:val="bottom"/>
          </w:tcPr>
          <w:p w14:paraId="5406629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297"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298" w14:textId="77777777" w:rsidR="00611BDD" w:rsidRDefault="002E18C7">
            <w:pPr>
              <w:jc w:val="right"/>
              <w:textAlignment w:val="bottom"/>
            </w:pPr>
            <w:r>
              <w:rPr>
                <w:rFonts w:ascii="sans-serif" w:eastAsia="sans-serif" w:hAnsi="sans-serif" w:cs="sans-serif"/>
                <w:color w:val="000000"/>
                <w:sz w:val="20"/>
                <w:szCs w:val="20"/>
              </w:rPr>
              <w:t>999 </w:t>
            </w:r>
          </w:p>
        </w:tc>
        <w:tc>
          <w:tcPr>
            <w:tcW w:w="0" w:type="auto"/>
            <w:shd w:val="clear" w:color="auto" w:fill="E2EFD9"/>
            <w:tcMar>
              <w:top w:w="40" w:type="dxa"/>
              <w:left w:w="0" w:type="dxa"/>
              <w:bottom w:w="40" w:type="dxa"/>
              <w:right w:w="20" w:type="dxa"/>
            </w:tcMar>
            <w:vAlign w:val="bottom"/>
          </w:tcPr>
          <w:p w14:paraId="54066299" w14:textId="77777777" w:rsidR="00611BDD" w:rsidRDefault="00611BDD">
            <w:pPr>
              <w:jc w:val="right"/>
              <w:rPr>
                <w:rFonts w:ascii="宋体"/>
              </w:rPr>
            </w:pPr>
          </w:p>
        </w:tc>
      </w:tr>
      <w:tr w:rsidR="00611BDD" w14:paraId="540662A1" w14:textId="77777777">
        <w:trPr>
          <w:jc w:val="center"/>
        </w:trPr>
        <w:tc>
          <w:tcPr>
            <w:tcW w:w="0" w:type="auto"/>
            <w:gridSpan w:val="3"/>
            <w:shd w:val="clear" w:color="auto" w:fill="FFFFFF"/>
            <w:tcMar>
              <w:top w:w="40" w:type="dxa"/>
              <w:left w:w="20" w:type="dxa"/>
              <w:bottom w:w="40" w:type="dxa"/>
              <w:right w:w="20" w:type="dxa"/>
            </w:tcMar>
            <w:vAlign w:val="bottom"/>
          </w:tcPr>
          <w:p w14:paraId="5406629B" w14:textId="77777777" w:rsidR="00611BDD" w:rsidRDefault="002E18C7">
            <w:pPr>
              <w:textAlignment w:val="bottom"/>
            </w:pPr>
            <w:r>
              <w:rPr>
                <w:rFonts w:ascii="sans-serif" w:eastAsia="sans-serif" w:hAnsi="sans-serif" w:cs="sans-serif"/>
                <w:color w:val="000000"/>
                <w:sz w:val="20"/>
                <w:szCs w:val="20"/>
              </w:rPr>
              <w:t>Total current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29C" w14:textId="77777777" w:rsidR="00611BDD" w:rsidRDefault="002E18C7">
            <w:pPr>
              <w:jc w:val="right"/>
              <w:textAlignment w:val="bottom"/>
            </w:pPr>
            <w:r>
              <w:rPr>
                <w:rFonts w:ascii="sans-serif" w:eastAsia="sans-serif" w:hAnsi="sans-serif" w:cs="sans-serif"/>
                <w:color w:val="000000"/>
                <w:sz w:val="20"/>
                <w:szCs w:val="20"/>
              </w:rPr>
              <w:t>4,448 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29D"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29E"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29F" w14:textId="77777777" w:rsidR="00611BDD" w:rsidRDefault="002E18C7">
            <w:pPr>
              <w:jc w:val="right"/>
              <w:textAlignment w:val="bottom"/>
            </w:pPr>
            <w:r>
              <w:rPr>
                <w:rFonts w:ascii="sans-serif" w:eastAsia="sans-serif" w:hAnsi="sans-serif" w:cs="sans-serif"/>
                <w:color w:val="000000"/>
                <w:sz w:val="20"/>
                <w:szCs w:val="20"/>
              </w:rPr>
              <w:t>3,925 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2A0" w14:textId="77777777" w:rsidR="00611BDD" w:rsidRDefault="00611BDD">
            <w:pPr>
              <w:jc w:val="right"/>
              <w:rPr>
                <w:rFonts w:ascii="宋体"/>
              </w:rPr>
            </w:pPr>
          </w:p>
        </w:tc>
      </w:tr>
      <w:tr w:rsidR="00611BDD" w14:paraId="540662A8" w14:textId="77777777">
        <w:trPr>
          <w:jc w:val="center"/>
        </w:trPr>
        <w:tc>
          <w:tcPr>
            <w:tcW w:w="0" w:type="auto"/>
            <w:gridSpan w:val="3"/>
            <w:shd w:val="clear" w:color="auto" w:fill="E2EFD9"/>
            <w:tcMar>
              <w:top w:w="40" w:type="dxa"/>
              <w:left w:w="20" w:type="dxa"/>
              <w:bottom w:w="40" w:type="dxa"/>
              <w:right w:w="20" w:type="dxa"/>
            </w:tcMar>
            <w:vAlign w:val="bottom"/>
          </w:tcPr>
          <w:p w14:paraId="540662A2" w14:textId="77777777" w:rsidR="00611BDD" w:rsidRDefault="002E18C7">
            <w:pPr>
              <w:textAlignment w:val="bottom"/>
            </w:pPr>
            <w:r>
              <w:rPr>
                <w:rFonts w:ascii="sans-serif" w:eastAsia="sans-serif" w:hAnsi="sans-serif" w:cs="sans-serif"/>
                <w:color w:val="000000"/>
                <w:sz w:val="20"/>
                <w:szCs w:val="20"/>
              </w:rPr>
              <w:t>Long-term debt</w:t>
            </w:r>
          </w:p>
        </w:tc>
        <w:tc>
          <w:tcPr>
            <w:tcW w:w="0" w:type="auto"/>
            <w:gridSpan w:val="2"/>
            <w:shd w:val="clear" w:color="auto" w:fill="E2EFD9"/>
            <w:tcMar>
              <w:top w:w="40" w:type="dxa"/>
              <w:left w:w="20" w:type="dxa"/>
              <w:bottom w:w="40" w:type="dxa"/>
              <w:right w:w="0" w:type="dxa"/>
            </w:tcMar>
            <w:vAlign w:val="bottom"/>
          </w:tcPr>
          <w:p w14:paraId="540662A3" w14:textId="77777777" w:rsidR="00611BDD" w:rsidRDefault="002E18C7">
            <w:pPr>
              <w:jc w:val="right"/>
              <w:textAlignment w:val="bottom"/>
            </w:pPr>
            <w:r>
              <w:rPr>
                <w:rFonts w:ascii="sans-serif" w:eastAsia="sans-serif" w:hAnsi="sans-serif" w:cs="sans-serif"/>
                <w:color w:val="000000"/>
                <w:sz w:val="20"/>
                <w:szCs w:val="20"/>
              </w:rPr>
              <w:t>10,943 </w:t>
            </w:r>
          </w:p>
        </w:tc>
        <w:tc>
          <w:tcPr>
            <w:tcW w:w="0" w:type="auto"/>
            <w:shd w:val="clear" w:color="auto" w:fill="E2EFD9"/>
            <w:tcMar>
              <w:top w:w="40" w:type="dxa"/>
              <w:left w:w="0" w:type="dxa"/>
              <w:bottom w:w="40" w:type="dxa"/>
              <w:right w:w="20" w:type="dxa"/>
            </w:tcMar>
            <w:vAlign w:val="bottom"/>
          </w:tcPr>
          <w:p w14:paraId="540662A4"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2A5"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2A6" w14:textId="77777777" w:rsidR="00611BDD" w:rsidRDefault="002E18C7">
            <w:pPr>
              <w:jc w:val="right"/>
              <w:textAlignment w:val="bottom"/>
            </w:pPr>
            <w:r>
              <w:rPr>
                <w:rFonts w:ascii="sans-serif" w:eastAsia="sans-serif" w:hAnsi="sans-serif" w:cs="sans-serif"/>
                <w:color w:val="000000"/>
                <w:sz w:val="20"/>
                <w:szCs w:val="20"/>
              </w:rPr>
              <w:t>5,964 </w:t>
            </w:r>
          </w:p>
        </w:tc>
        <w:tc>
          <w:tcPr>
            <w:tcW w:w="0" w:type="auto"/>
            <w:shd w:val="clear" w:color="auto" w:fill="E2EFD9"/>
            <w:tcMar>
              <w:top w:w="40" w:type="dxa"/>
              <w:left w:w="0" w:type="dxa"/>
              <w:bottom w:w="40" w:type="dxa"/>
              <w:right w:w="20" w:type="dxa"/>
            </w:tcMar>
            <w:vAlign w:val="bottom"/>
          </w:tcPr>
          <w:p w14:paraId="540662A7" w14:textId="77777777" w:rsidR="00611BDD" w:rsidRDefault="00611BDD">
            <w:pPr>
              <w:jc w:val="right"/>
              <w:rPr>
                <w:rFonts w:ascii="宋体"/>
              </w:rPr>
            </w:pPr>
          </w:p>
        </w:tc>
      </w:tr>
      <w:tr w:rsidR="00611BDD" w14:paraId="540662AF" w14:textId="77777777">
        <w:trPr>
          <w:jc w:val="center"/>
        </w:trPr>
        <w:tc>
          <w:tcPr>
            <w:tcW w:w="0" w:type="auto"/>
            <w:gridSpan w:val="3"/>
            <w:shd w:val="clear" w:color="auto" w:fill="FFFFFF"/>
            <w:tcMar>
              <w:top w:w="40" w:type="dxa"/>
              <w:left w:w="20" w:type="dxa"/>
              <w:bottom w:w="40" w:type="dxa"/>
              <w:right w:w="20" w:type="dxa"/>
            </w:tcMar>
            <w:vAlign w:val="bottom"/>
          </w:tcPr>
          <w:p w14:paraId="540662A9" w14:textId="77777777" w:rsidR="00611BDD" w:rsidRDefault="002E18C7">
            <w:pPr>
              <w:textAlignment w:val="bottom"/>
            </w:pPr>
            <w:r>
              <w:rPr>
                <w:rFonts w:ascii="sans-serif" w:eastAsia="sans-serif" w:hAnsi="sans-serif" w:cs="sans-serif"/>
                <w:color w:val="000000"/>
                <w:sz w:val="20"/>
                <w:szCs w:val="20"/>
              </w:rPr>
              <w:t>Long-term operating lease liabilities</w:t>
            </w:r>
          </w:p>
        </w:tc>
        <w:tc>
          <w:tcPr>
            <w:tcW w:w="0" w:type="auto"/>
            <w:gridSpan w:val="2"/>
            <w:shd w:val="clear" w:color="auto" w:fill="FFFFFF"/>
            <w:tcMar>
              <w:top w:w="40" w:type="dxa"/>
              <w:left w:w="20" w:type="dxa"/>
              <w:bottom w:w="40" w:type="dxa"/>
              <w:right w:w="0" w:type="dxa"/>
            </w:tcMar>
            <w:vAlign w:val="bottom"/>
          </w:tcPr>
          <w:p w14:paraId="540662AA" w14:textId="77777777" w:rsidR="00611BDD" w:rsidRDefault="002E18C7">
            <w:pPr>
              <w:jc w:val="right"/>
              <w:textAlignment w:val="bottom"/>
            </w:pPr>
            <w:r>
              <w:rPr>
                <w:rFonts w:ascii="sans-serif" w:eastAsia="sans-serif" w:hAnsi="sans-serif" w:cs="sans-serif"/>
                <w:color w:val="000000"/>
                <w:sz w:val="20"/>
                <w:szCs w:val="20"/>
              </w:rPr>
              <w:t>716 </w:t>
            </w:r>
          </w:p>
        </w:tc>
        <w:tc>
          <w:tcPr>
            <w:tcW w:w="0" w:type="auto"/>
            <w:shd w:val="clear" w:color="auto" w:fill="FFFFFF"/>
            <w:tcMar>
              <w:top w:w="40" w:type="dxa"/>
              <w:left w:w="0" w:type="dxa"/>
              <w:bottom w:w="40" w:type="dxa"/>
              <w:right w:w="20" w:type="dxa"/>
            </w:tcMar>
            <w:vAlign w:val="bottom"/>
          </w:tcPr>
          <w:p w14:paraId="540662AB"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2AC"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2AD" w14:textId="77777777" w:rsidR="00611BDD" w:rsidRDefault="002E18C7">
            <w:pPr>
              <w:jc w:val="right"/>
              <w:textAlignment w:val="bottom"/>
            </w:pPr>
            <w:r>
              <w:rPr>
                <w:rFonts w:ascii="sans-serif" w:eastAsia="sans-serif" w:hAnsi="sans-serif" w:cs="sans-serif"/>
                <w:color w:val="000000"/>
                <w:sz w:val="20"/>
                <w:szCs w:val="20"/>
              </w:rPr>
              <w:t>634 </w:t>
            </w:r>
          </w:p>
        </w:tc>
        <w:tc>
          <w:tcPr>
            <w:tcW w:w="0" w:type="auto"/>
            <w:shd w:val="clear" w:color="auto" w:fill="FFFFFF"/>
            <w:tcMar>
              <w:top w:w="40" w:type="dxa"/>
              <w:left w:w="0" w:type="dxa"/>
              <w:bottom w:w="40" w:type="dxa"/>
              <w:right w:w="20" w:type="dxa"/>
            </w:tcMar>
            <w:vAlign w:val="bottom"/>
          </w:tcPr>
          <w:p w14:paraId="540662AE" w14:textId="77777777" w:rsidR="00611BDD" w:rsidRDefault="00611BDD">
            <w:pPr>
              <w:jc w:val="right"/>
              <w:rPr>
                <w:rFonts w:ascii="宋体"/>
              </w:rPr>
            </w:pPr>
          </w:p>
        </w:tc>
      </w:tr>
      <w:tr w:rsidR="00611BDD" w14:paraId="540662B6" w14:textId="77777777">
        <w:trPr>
          <w:jc w:val="center"/>
        </w:trPr>
        <w:tc>
          <w:tcPr>
            <w:tcW w:w="0" w:type="auto"/>
            <w:gridSpan w:val="3"/>
            <w:shd w:val="clear" w:color="auto" w:fill="E2EFD9"/>
            <w:tcMar>
              <w:top w:w="40" w:type="dxa"/>
              <w:left w:w="20" w:type="dxa"/>
              <w:bottom w:w="40" w:type="dxa"/>
              <w:right w:w="20" w:type="dxa"/>
            </w:tcMar>
            <w:vAlign w:val="bottom"/>
          </w:tcPr>
          <w:p w14:paraId="540662B0" w14:textId="77777777" w:rsidR="00611BDD" w:rsidRDefault="002E18C7">
            <w:pPr>
              <w:textAlignment w:val="bottom"/>
            </w:pPr>
            <w:r>
              <w:rPr>
                <w:rFonts w:ascii="sans-serif" w:eastAsia="sans-serif" w:hAnsi="sans-serif" w:cs="sans-serif"/>
                <w:color w:val="000000"/>
                <w:sz w:val="20"/>
                <w:szCs w:val="20"/>
              </w:rPr>
              <w:t>Other long-term liabilities</w:t>
            </w:r>
          </w:p>
        </w:tc>
        <w:tc>
          <w:tcPr>
            <w:tcW w:w="0" w:type="auto"/>
            <w:gridSpan w:val="2"/>
            <w:shd w:val="clear" w:color="auto" w:fill="E2EFD9"/>
            <w:tcMar>
              <w:top w:w="40" w:type="dxa"/>
              <w:left w:w="20" w:type="dxa"/>
              <w:bottom w:w="40" w:type="dxa"/>
              <w:right w:w="0" w:type="dxa"/>
            </w:tcMar>
            <w:vAlign w:val="bottom"/>
          </w:tcPr>
          <w:p w14:paraId="540662B1" w14:textId="77777777" w:rsidR="00611BDD" w:rsidRDefault="002E18C7">
            <w:pPr>
              <w:jc w:val="right"/>
              <w:textAlignment w:val="bottom"/>
            </w:pPr>
            <w:r>
              <w:rPr>
                <w:rFonts w:ascii="sans-serif" w:eastAsia="sans-serif" w:hAnsi="sans-serif" w:cs="sans-serif"/>
                <w:color w:val="000000"/>
                <w:sz w:val="20"/>
                <w:szCs w:val="20"/>
              </w:rPr>
              <w:t>1,396 </w:t>
            </w:r>
          </w:p>
        </w:tc>
        <w:tc>
          <w:tcPr>
            <w:tcW w:w="0" w:type="auto"/>
            <w:shd w:val="clear" w:color="auto" w:fill="E2EFD9"/>
            <w:tcMar>
              <w:top w:w="40" w:type="dxa"/>
              <w:left w:w="0" w:type="dxa"/>
              <w:bottom w:w="40" w:type="dxa"/>
              <w:right w:w="20" w:type="dxa"/>
            </w:tcMar>
            <w:vAlign w:val="bottom"/>
          </w:tcPr>
          <w:p w14:paraId="540662B2"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2B3"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2B4" w14:textId="77777777" w:rsidR="00611BDD" w:rsidRDefault="002E18C7">
            <w:pPr>
              <w:jc w:val="right"/>
              <w:textAlignment w:val="bottom"/>
            </w:pPr>
            <w:r>
              <w:rPr>
                <w:rFonts w:ascii="sans-serif" w:eastAsia="sans-serif" w:hAnsi="sans-serif" w:cs="sans-serif"/>
                <w:color w:val="000000"/>
                <w:sz w:val="20"/>
                <w:szCs w:val="20"/>
              </w:rPr>
              <w:t>1,375 </w:t>
            </w:r>
          </w:p>
        </w:tc>
        <w:tc>
          <w:tcPr>
            <w:tcW w:w="0" w:type="auto"/>
            <w:shd w:val="clear" w:color="auto" w:fill="E2EFD9"/>
            <w:tcMar>
              <w:top w:w="40" w:type="dxa"/>
              <w:left w:w="0" w:type="dxa"/>
              <w:bottom w:w="40" w:type="dxa"/>
              <w:right w:w="20" w:type="dxa"/>
            </w:tcMar>
            <w:vAlign w:val="bottom"/>
          </w:tcPr>
          <w:p w14:paraId="540662B5" w14:textId="77777777" w:rsidR="00611BDD" w:rsidRDefault="00611BDD">
            <w:pPr>
              <w:jc w:val="right"/>
              <w:rPr>
                <w:rFonts w:ascii="宋体"/>
              </w:rPr>
            </w:pPr>
          </w:p>
        </w:tc>
      </w:tr>
      <w:tr w:rsidR="00611BDD" w14:paraId="540662BD" w14:textId="77777777">
        <w:trPr>
          <w:jc w:val="center"/>
        </w:trPr>
        <w:tc>
          <w:tcPr>
            <w:tcW w:w="0" w:type="auto"/>
            <w:gridSpan w:val="3"/>
            <w:shd w:val="clear" w:color="auto" w:fill="FFFFFF"/>
            <w:tcMar>
              <w:top w:w="40" w:type="dxa"/>
              <w:left w:w="20" w:type="dxa"/>
              <w:bottom w:w="40" w:type="dxa"/>
              <w:right w:w="20" w:type="dxa"/>
            </w:tcMar>
            <w:vAlign w:val="bottom"/>
          </w:tcPr>
          <w:p w14:paraId="540662B7" w14:textId="77777777" w:rsidR="00611BDD" w:rsidRDefault="002E18C7">
            <w:pPr>
              <w:textAlignment w:val="bottom"/>
            </w:pPr>
            <w:r>
              <w:rPr>
                <w:rFonts w:ascii="sans-serif" w:eastAsia="sans-serif" w:hAnsi="sans-serif" w:cs="sans-serif"/>
                <w:color w:val="000000"/>
                <w:sz w:val="20"/>
                <w:szCs w:val="20"/>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2B8" w14:textId="77777777" w:rsidR="00611BDD" w:rsidRDefault="002E18C7">
            <w:pPr>
              <w:jc w:val="right"/>
              <w:textAlignment w:val="bottom"/>
            </w:pPr>
            <w:r>
              <w:rPr>
                <w:rFonts w:ascii="sans-serif" w:eastAsia="sans-serif" w:hAnsi="sans-serif" w:cs="sans-serif"/>
                <w:color w:val="000000"/>
                <w:sz w:val="20"/>
                <w:szCs w:val="20"/>
              </w:rPr>
              <w:t>17,503 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2B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2BA"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2BB" w14:textId="77777777" w:rsidR="00611BDD" w:rsidRDefault="002E18C7">
            <w:pPr>
              <w:jc w:val="right"/>
              <w:textAlignment w:val="bottom"/>
            </w:pPr>
            <w:r>
              <w:rPr>
                <w:rFonts w:ascii="sans-serif" w:eastAsia="sans-serif" w:hAnsi="sans-serif" w:cs="sans-serif"/>
                <w:color w:val="000000"/>
                <w:sz w:val="20"/>
                <w:szCs w:val="20"/>
              </w:rPr>
              <w:t>11,898 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2BC" w14:textId="77777777" w:rsidR="00611BDD" w:rsidRDefault="00611BDD">
            <w:pPr>
              <w:jc w:val="right"/>
              <w:rPr>
                <w:rFonts w:ascii="宋体"/>
              </w:rPr>
            </w:pPr>
          </w:p>
        </w:tc>
      </w:tr>
      <w:tr w:rsidR="00611BDD" w14:paraId="540662C2" w14:textId="77777777">
        <w:trPr>
          <w:jc w:val="center"/>
        </w:trPr>
        <w:tc>
          <w:tcPr>
            <w:tcW w:w="0" w:type="auto"/>
            <w:gridSpan w:val="3"/>
            <w:shd w:val="clear" w:color="auto" w:fill="E2EFD9"/>
            <w:tcMar>
              <w:top w:w="40" w:type="dxa"/>
              <w:left w:w="20" w:type="dxa"/>
              <w:bottom w:w="40" w:type="dxa"/>
              <w:right w:w="20" w:type="dxa"/>
            </w:tcMar>
            <w:vAlign w:val="bottom"/>
          </w:tcPr>
          <w:p w14:paraId="540662BE" w14:textId="77777777" w:rsidR="00611BDD" w:rsidRDefault="002E18C7">
            <w:pPr>
              <w:pBdr>
                <w:top w:val="none" w:sz="0" w:space="0" w:color="auto"/>
                <w:left w:val="none" w:sz="0" w:space="0" w:color="auto"/>
                <w:bottom w:val="none" w:sz="0" w:space="0" w:color="auto"/>
                <w:right w:val="none" w:sz="0" w:space="0" w:color="auto"/>
              </w:pBdr>
              <w:spacing w:before="240" w:after="120"/>
              <w:jc w:val="both"/>
              <w:textAlignment w:val="bottom"/>
            </w:pPr>
            <w:r>
              <w:rPr>
                <w:rFonts w:ascii="sans-serif" w:eastAsia="sans-serif" w:hAnsi="sans-serif" w:cs="sans-serif"/>
                <w:color w:val="000000"/>
                <w:sz w:val="20"/>
                <w:szCs w:val="20"/>
              </w:rPr>
              <w:t xml:space="preserve">Commitments and contingencies - see </w:t>
            </w:r>
            <w:r>
              <w:rPr>
                <w:rFonts w:ascii="sans-serif" w:eastAsia="sans-serif" w:hAnsi="sans-serif" w:cs="sans-serif"/>
                <w:color w:val="000000"/>
                <w:sz w:val="20"/>
                <w:szCs w:val="20"/>
              </w:rPr>
              <w:t>Note 13</w:t>
            </w:r>
          </w:p>
        </w:tc>
        <w:tc>
          <w:tcPr>
            <w:tcW w:w="0" w:type="auto"/>
            <w:gridSpan w:val="3"/>
            <w:shd w:val="clear" w:color="auto" w:fill="E2EFD9"/>
            <w:tcMar>
              <w:top w:w="0" w:type="dxa"/>
              <w:left w:w="20" w:type="dxa"/>
              <w:bottom w:w="0" w:type="dxa"/>
              <w:right w:w="20" w:type="dxa"/>
            </w:tcMar>
            <w:vAlign w:val="bottom"/>
          </w:tcPr>
          <w:p w14:paraId="540662BF"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2C0"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2C1" w14:textId="77777777" w:rsidR="00611BDD" w:rsidRDefault="00611BDD">
            <w:pPr>
              <w:rPr>
                <w:rFonts w:ascii="宋体"/>
              </w:rPr>
            </w:pPr>
          </w:p>
        </w:tc>
      </w:tr>
      <w:tr w:rsidR="00611BDD" w14:paraId="540662C7" w14:textId="77777777">
        <w:trPr>
          <w:jc w:val="center"/>
          <w:hidden/>
        </w:trPr>
        <w:tc>
          <w:tcPr>
            <w:tcW w:w="0" w:type="auto"/>
            <w:gridSpan w:val="3"/>
            <w:shd w:val="clear" w:color="auto" w:fill="auto"/>
            <w:vAlign w:val="bottom"/>
          </w:tcPr>
          <w:p w14:paraId="540662C3" w14:textId="77777777" w:rsidR="00611BDD" w:rsidRDefault="00611BDD">
            <w:pPr>
              <w:rPr>
                <w:rFonts w:ascii="宋体"/>
                <w:vanish/>
              </w:rPr>
            </w:pPr>
          </w:p>
        </w:tc>
        <w:tc>
          <w:tcPr>
            <w:tcW w:w="0" w:type="auto"/>
            <w:gridSpan w:val="3"/>
            <w:shd w:val="clear" w:color="auto" w:fill="auto"/>
            <w:vAlign w:val="bottom"/>
          </w:tcPr>
          <w:p w14:paraId="540662C4" w14:textId="77777777" w:rsidR="00611BDD" w:rsidRDefault="00611BDD">
            <w:pPr>
              <w:rPr>
                <w:rFonts w:ascii="宋体"/>
                <w:vanish/>
              </w:rPr>
            </w:pPr>
          </w:p>
        </w:tc>
        <w:tc>
          <w:tcPr>
            <w:tcW w:w="0" w:type="auto"/>
            <w:gridSpan w:val="3"/>
            <w:shd w:val="clear" w:color="auto" w:fill="auto"/>
            <w:vAlign w:val="bottom"/>
          </w:tcPr>
          <w:p w14:paraId="540662C5" w14:textId="77777777" w:rsidR="00611BDD" w:rsidRDefault="00611BDD">
            <w:pPr>
              <w:rPr>
                <w:rFonts w:ascii="宋体"/>
                <w:vanish/>
              </w:rPr>
            </w:pPr>
          </w:p>
        </w:tc>
        <w:tc>
          <w:tcPr>
            <w:tcW w:w="0" w:type="auto"/>
            <w:gridSpan w:val="3"/>
            <w:shd w:val="clear" w:color="auto" w:fill="auto"/>
            <w:vAlign w:val="bottom"/>
          </w:tcPr>
          <w:p w14:paraId="540662C6" w14:textId="77777777" w:rsidR="00611BDD" w:rsidRDefault="00611BDD">
            <w:pPr>
              <w:rPr>
                <w:rFonts w:ascii="宋体"/>
                <w:vanish/>
              </w:rPr>
            </w:pPr>
          </w:p>
        </w:tc>
      </w:tr>
      <w:tr w:rsidR="00611BDD" w14:paraId="540662CC" w14:textId="77777777">
        <w:trPr>
          <w:jc w:val="center"/>
        </w:trPr>
        <w:tc>
          <w:tcPr>
            <w:tcW w:w="0" w:type="auto"/>
            <w:gridSpan w:val="3"/>
            <w:shd w:val="clear" w:color="auto" w:fill="FFFFFF"/>
            <w:tcMar>
              <w:top w:w="40" w:type="dxa"/>
              <w:left w:w="20" w:type="dxa"/>
              <w:bottom w:w="40" w:type="dxa"/>
              <w:right w:w="20" w:type="dxa"/>
            </w:tcMar>
            <w:vAlign w:val="bottom"/>
          </w:tcPr>
          <w:p w14:paraId="540662C8" w14:textId="77777777" w:rsidR="00611BDD" w:rsidRDefault="002E18C7">
            <w:pPr>
              <w:textAlignment w:val="bottom"/>
            </w:pPr>
            <w:r>
              <w:rPr>
                <w:rFonts w:ascii="sans-serif" w:eastAsia="sans-serif" w:hAnsi="sans-serif" w:cs="sans-serif"/>
                <w:color w:val="000000"/>
                <w:sz w:val="20"/>
                <w:szCs w:val="20"/>
              </w:rPr>
              <w:t>Shareholders’ equity:</w:t>
            </w:r>
          </w:p>
        </w:tc>
        <w:tc>
          <w:tcPr>
            <w:tcW w:w="0" w:type="auto"/>
            <w:gridSpan w:val="3"/>
            <w:shd w:val="clear" w:color="auto" w:fill="FFFFFF"/>
            <w:tcMar>
              <w:top w:w="40" w:type="dxa"/>
              <w:left w:w="20" w:type="dxa"/>
              <w:bottom w:w="40" w:type="dxa"/>
              <w:right w:w="20" w:type="dxa"/>
            </w:tcMar>
            <w:vAlign w:val="bottom"/>
          </w:tcPr>
          <w:p w14:paraId="540662C9"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540662CA" w14:textId="77777777" w:rsidR="00611BDD" w:rsidRDefault="00611BDD">
            <w:pPr>
              <w:rPr>
                <w:rFonts w:ascii="宋体"/>
              </w:rPr>
            </w:pPr>
          </w:p>
        </w:tc>
        <w:tc>
          <w:tcPr>
            <w:tcW w:w="0" w:type="auto"/>
            <w:gridSpan w:val="3"/>
            <w:shd w:val="clear" w:color="auto" w:fill="FFFFFF"/>
            <w:tcMar>
              <w:top w:w="40" w:type="dxa"/>
              <w:left w:w="20" w:type="dxa"/>
              <w:bottom w:w="40" w:type="dxa"/>
              <w:right w:w="20" w:type="dxa"/>
            </w:tcMar>
            <w:vAlign w:val="bottom"/>
          </w:tcPr>
          <w:p w14:paraId="540662CB" w14:textId="77777777" w:rsidR="00611BDD" w:rsidRDefault="002E18C7">
            <w:pPr>
              <w:textAlignment w:val="bottom"/>
            </w:pPr>
            <w:r>
              <w:rPr>
                <w:rFonts w:ascii="sans-serif" w:eastAsia="sans-serif" w:hAnsi="sans-serif" w:cs="sans-serif"/>
                <w:color w:val="000000"/>
                <w:sz w:val="20"/>
                <w:szCs w:val="20"/>
              </w:rPr>
              <w:t> </w:t>
            </w:r>
          </w:p>
        </w:tc>
      </w:tr>
      <w:tr w:rsidR="00611BDD" w14:paraId="540662D3" w14:textId="77777777">
        <w:trPr>
          <w:jc w:val="center"/>
        </w:trPr>
        <w:tc>
          <w:tcPr>
            <w:tcW w:w="0" w:type="auto"/>
            <w:gridSpan w:val="3"/>
            <w:shd w:val="clear" w:color="auto" w:fill="E2EFD9"/>
            <w:tcMar>
              <w:top w:w="40" w:type="dxa"/>
              <w:left w:w="245" w:type="dxa"/>
              <w:bottom w:w="40" w:type="dxa"/>
              <w:right w:w="20" w:type="dxa"/>
            </w:tcMar>
            <w:vAlign w:val="bottom"/>
          </w:tcPr>
          <w:p w14:paraId="540662CD" w14:textId="77777777" w:rsidR="00611BDD" w:rsidRDefault="002E18C7">
            <w:pPr>
              <w:textAlignment w:val="bottom"/>
            </w:pPr>
            <w:r>
              <w:rPr>
                <w:rFonts w:ascii="sans-serif" w:eastAsia="sans-serif" w:hAnsi="sans-serif" w:cs="sans-serif"/>
                <w:color w:val="000000"/>
                <w:sz w:val="20"/>
                <w:szCs w:val="20"/>
              </w:rPr>
              <w:t>Preferred stock</w:t>
            </w:r>
          </w:p>
        </w:tc>
        <w:tc>
          <w:tcPr>
            <w:tcW w:w="0" w:type="auto"/>
            <w:gridSpan w:val="2"/>
            <w:shd w:val="clear" w:color="auto" w:fill="E2EFD9"/>
            <w:tcMar>
              <w:top w:w="40" w:type="dxa"/>
              <w:left w:w="20" w:type="dxa"/>
              <w:bottom w:w="40" w:type="dxa"/>
              <w:right w:w="0" w:type="dxa"/>
            </w:tcMar>
            <w:vAlign w:val="bottom"/>
          </w:tcPr>
          <w:p w14:paraId="540662CE"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40662CF"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2D0"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2D1"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40662D2" w14:textId="77777777" w:rsidR="00611BDD" w:rsidRDefault="00611BDD">
            <w:pPr>
              <w:jc w:val="right"/>
              <w:rPr>
                <w:rFonts w:ascii="宋体"/>
              </w:rPr>
            </w:pPr>
          </w:p>
        </w:tc>
      </w:tr>
      <w:tr w:rsidR="00611BDD" w14:paraId="540662DA" w14:textId="77777777">
        <w:trPr>
          <w:jc w:val="center"/>
        </w:trPr>
        <w:tc>
          <w:tcPr>
            <w:tcW w:w="0" w:type="auto"/>
            <w:gridSpan w:val="3"/>
            <w:shd w:val="clear" w:color="auto" w:fill="FFFFFF"/>
            <w:tcMar>
              <w:top w:w="40" w:type="dxa"/>
              <w:left w:w="245" w:type="dxa"/>
              <w:bottom w:w="40" w:type="dxa"/>
              <w:right w:w="20" w:type="dxa"/>
            </w:tcMar>
            <w:vAlign w:val="bottom"/>
          </w:tcPr>
          <w:p w14:paraId="540662D4" w14:textId="77777777" w:rsidR="00611BDD" w:rsidRDefault="002E18C7">
            <w:pPr>
              <w:textAlignment w:val="bottom"/>
            </w:pPr>
            <w:r>
              <w:rPr>
                <w:rFonts w:ascii="sans-serif" w:eastAsia="sans-serif" w:hAnsi="sans-serif" w:cs="sans-serif"/>
                <w:color w:val="000000"/>
                <w:sz w:val="20"/>
                <w:szCs w:val="20"/>
              </w:rPr>
              <w:t>Common stock</w:t>
            </w:r>
          </w:p>
        </w:tc>
        <w:tc>
          <w:tcPr>
            <w:tcW w:w="0" w:type="auto"/>
            <w:gridSpan w:val="2"/>
            <w:shd w:val="clear" w:color="auto" w:fill="FFFFFF"/>
            <w:tcMar>
              <w:top w:w="40" w:type="dxa"/>
              <w:left w:w="20" w:type="dxa"/>
              <w:bottom w:w="40" w:type="dxa"/>
              <w:right w:w="0" w:type="dxa"/>
            </w:tcMar>
            <w:vAlign w:val="bottom"/>
          </w:tcPr>
          <w:p w14:paraId="540662D5" w14:textId="77777777" w:rsidR="00611BDD" w:rsidRDefault="002E18C7">
            <w:pPr>
              <w:jc w:val="right"/>
              <w:textAlignment w:val="bottom"/>
            </w:pPr>
            <w:r>
              <w:rPr>
                <w:rFonts w:ascii="sans-serif" w:eastAsia="sans-serif" w:hAnsi="sans-serif" w:cs="sans-serif"/>
                <w:color w:val="000000"/>
                <w:sz w:val="20"/>
                <w:szCs w:val="20"/>
              </w:rPr>
              <w:t>3 </w:t>
            </w:r>
          </w:p>
        </w:tc>
        <w:tc>
          <w:tcPr>
            <w:tcW w:w="0" w:type="auto"/>
            <w:shd w:val="clear" w:color="auto" w:fill="FFFFFF"/>
            <w:tcMar>
              <w:top w:w="40" w:type="dxa"/>
              <w:left w:w="0" w:type="dxa"/>
              <w:bottom w:w="40" w:type="dxa"/>
              <w:right w:w="20" w:type="dxa"/>
            </w:tcMar>
            <w:vAlign w:val="bottom"/>
          </w:tcPr>
          <w:p w14:paraId="540662D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2D7"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2D8" w14:textId="77777777" w:rsidR="00611BDD" w:rsidRDefault="002E18C7">
            <w:pPr>
              <w:jc w:val="right"/>
              <w:textAlignment w:val="bottom"/>
            </w:pPr>
            <w:r>
              <w:rPr>
                <w:rFonts w:ascii="sans-serif" w:eastAsia="sans-serif" w:hAnsi="sans-serif" w:cs="sans-serif"/>
                <w:color w:val="000000"/>
                <w:sz w:val="20"/>
                <w:szCs w:val="20"/>
              </w:rPr>
              <w:t>3 </w:t>
            </w:r>
          </w:p>
        </w:tc>
        <w:tc>
          <w:tcPr>
            <w:tcW w:w="0" w:type="auto"/>
            <w:shd w:val="clear" w:color="auto" w:fill="FFFFFF"/>
            <w:tcMar>
              <w:top w:w="40" w:type="dxa"/>
              <w:left w:w="0" w:type="dxa"/>
              <w:bottom w:w="40" w:type="dxa"/>
              <w:right w:w="20" w:type="dxa"/>
            </w:tcMar>
            <w:vAlign w:val="bottom"/>
          </w:tcPr>
          <w:p w14:paraId="540662D9" w14:textId="77777777" w:rsidR="00611BDD" w:rsidRDefault="00611BDD">
            <w:pPr>
              <w:jc w:val="right"/>
              <w:rPr>
                <w:rFonts w:ascii="宋体"/>
              </w:rPr>
            </w:pPr>
          </w:p>
        </w:tc>
      </w:tr>
      <w:tr w:rsidR="00611BDD" w14:paraId="540662E1" w14:textId="77777777">
        <w:trPr>
          <w:jc w:val="center"/>
        </w:trPr>
        <w:tc>
          <w:tcPr>
            <w:tcW w:w="0" w:type="auto"/>
            <w:gridSpan w:val="3"/>
            <w:shd w:val="clear" w:color="auto" w:fill="E2EFD9"/>
            <w:tcMar>
              <w:top w:w="40" w:type="dxa"/>
              <w:left w:w="245" w:type="dxa"/>
              <w:bottom w:w="40" w:type="dxa"/>
              <w:right w:w="20" w:type="dxa"/>
            </w:tcMar>
            <w:vAlign w:val="bottom"/>
          </w:tcPr>
          <w:p w14:paraId="540662DB" w14:textId="77777777" w:rsidR="00611BDD" w:rsidRDefault="002E18C7">
            <w:pPr>
              <w:textAlignment w:val="bottom"/>
            </w:pPr>
            <w:r>
              <w:rPr>
                <w:rFonts w:ascii="sans-serif" w:eastAsia="sans-serif" w:hAnsi="sans-serif" w:cs="sans-serif"/>
                <w:color w:val="000000"/>
                <w:sz w:val="20"/>
                <w:szCs w:val="20"/>
              </w:rPr>
              <w:t>Additional paid-in capital</w:t>
            </w:r>
          </w:p>
        </w:tc>
        <w:tc>
          <w:tcPr>
            <w:tcW w:w="0" w:type="auto"/>
            <w:gridSpan w:val="2"/>
            <w:shd w:val="clear" w:color="auto" w:fill="E2EFD9"/>
            <w:tcMar>
              <w:top w:w="40" w:type="dxa"/>
              <w:left w:w="20" w:type="dxa"/>
              <w:bottom w:w="40" w:type="dxa"/>
              <w:right w:w="0" w:type="dxa"/>
            </w:tcMar>
            <w:vAlign w:val="bottom"/>
          </w:tcPr>
          <w:p w14:paraId="540662DC" w14:textId="77777777" w:rsidR="00611BDD" w:rsidRDefault="002E18C7">
            <w:pPr>
              <w:jc w:val="right"/>
              <w:textAlignment w:val="bottom"/>
            </w:pPr>
            <w:r>
              <w:rPr>
                <w:rFonts w:ascii="sans-serif" w:eastAsia="sans-serif" w:hAnsi="sans-serif" w:cs="sans-serif"/>
                <w:color w:val="000000"/>
                <w:sz w:val="20"/>
                <w:szCs w:val="20"/>
              </w:rPr>
              <w:t>9,745 </w:t>
            </w:r>
          </w:p>
        </w:tc>
        <w:tc>
          <w:tcPr>
            <w:tcW w:w="0" w:type="auto"/>
            <w:shd w:val="clear" w:color="auto" w:fill="E2EFD9"/>
            <w:tcMar>
              <w:top w:w="40" w:type="dxa"/>
              <w:left w:w="0" w:type="dxa"/>
              <w:bottom w:w="40" w:type="dxa"/>
              <w:right w:w="20" w:type="dxa"/>
            </w:tcMar>
            <w:vAlign w:val="bottom"/>
          </w:tcPr>
          <w:p w14:paraId="540662DD"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2DE"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2DF" w14:textId="77777777" w:rsidR="00611BDD" w:rsidRDefault="002E18C7">
            <w:pPr>
              <w:jc w:val="right"/>
              <w:textAlignment w:val="bottom"/>
            </w:pPr>
            <w:r>
              <w:rPr>
                <w:rFonts w:ascii="sans-serif" w:eastAsia="sans-serif" w:hAnsi="sans-serif" w:cs="sans-serif"/>
                <w:color w:val="000000"/>
                <w:sz w:val="20"/>
                <w:szCs w:val="20"/>
              </w:rPr>
              <w:t>8,719 </w:t>
            </w:r>
          </w:p>
        </w:tc>
        <w:tc>
          <w:tcPr>
            <w:tcW w:w="0" w:type="auto"/>
            <w:shd w:val="clear" w:color="auto" w:fill="E2EFD9"/>
            <w:tcMar>
              <w:top w:w="40" w:type="dxa"/>
              <w:left w:w="0" w:type="dxa"/>
              <w:bottom w:w="40" w:type="dxa"/>
              <w:right w:w="20" w:type="dxa"/>
            </w:tcMar>
            <w:vAlign w:val="bottom"/>
          </w:tcPr>
          <w:p w14:paraId="540662E0" w14:textId="77777777" w:rsidR="00611BDD" w:rsidRDefault="00611BDD">
            <w:pPr>
              <w:jc w:val="right"/>
              <w:rPr>
                <w:rFonts w:ascii="宋体"/>
              </w:rPr>
            </w:pPr>
          </w:p>
        </w:tc>
      </w:tr>
      <w:tr w:rsidR="00611BDD" w14:paraId="540662E8" w14:textId="77777777">
        <w:trPr>
          <w:jc w:val="center"/>
        </w:trPr>
        <w:tc>
          <w:tcPr>
            <w:tcW w:w="0" w:type="auto"/>
            <w:gridSpan w:val="3"/>
            <w:shd w:val="clear" w:color="auto" w:fill="FFFFFF"/>
            <w:tcMar>
              <w:top w:w="40" w:type="dxa"/>
              <w:left w:w="245" w:type="dxa"/>
              <w:bottom w:w="40" w:type="dxa"/>
              <w:right w:w="20" w:type="dxa"/>
            </w:tcMar>
            <w:vAlign w:val="bottom"/>
          </w:tcPr>
          <w:p w14:paraId="540662E2" w14:textId="77777777" w:rsidR="00611BDD" w:rsidRDefault="002E18C7">
            <w:pPr>
              <w:textAlignment w:val="bottom"/>
            </w:pPr>
            <w:r>
              <w:rPr>
                <w:rFonts w:ascii="sans-serif" w:eastAsia="sans-serif" w:hAnsi="sans-serif" w:cs="sans-serif"/>
                <w:color w:val="000000"/>
                <w:sz w:val="20"/>
                <w:szCs w:val="20"/>
              </w:rPr>
              <w:t>Treasury stock, at cost</w:t>
            </w:r>
          </w:p>
        </w:tc>
        <w:tc>
          <w:tcPr>
            <w:tcW w:w="0" w:type="auto"/>
            <w:gridSpan w:val="2"/>
            <w:shd w:val="clear" w:color="auto" w:fill="FFFFFF"/>
            <w:tcMar>
              <w:top w:w="40" w:type="dxa"/>
              <w:left w:w="20" w:type="dxa"/>
              <w:bottom w:w="40" w:type="dxa"/>
              <w:right w:w="0" w:type="dxa"/>
            </w:tcMar>
            <w:vAlign w:val="bottom"/>
          </w:tcPr>
          <w:p w14:paraId="540662E3" w14:textId="77777777" w:rsidR="00611BDD" w:rsidRDefault="002E18C7">
            <w:pPr>
              <w:jc w:val="right"/>
              <w:textAlignment w:val="bottom"/>
            </w:pPr>
            <w:r>
              <w:rPr>
                <w:rFonts w:ascii="sans-serif" w:eastAsia="sans-serif" w:hAnsi="sans-serif" w:cs="sans-serif"/>
                <w:color w:val="000000"/>
                <w:sz w:val="20"/>
                <w:szCs w:val="20"/>
              </w:rPr>
              <w:t>(11,604)</w:t>
            </w:r>
          </w:p>
        </w:tc>
        <w:tc>
          <w:tcPr>
            <w:tcW w:w="0" w:type="auto"/>
            <w:shd w:val="clear" w:color="auto" w:fill="FFFFFF"/>
            <w:tcMar>
              <w:top w:w="40" w:type="dxa"/>
              <w:left w:w="0" w:type="dxa"/>
              <w:bottom w:w="40" w:type="dxa"/>
              <w:right w:w="20" w:type="dxa"/>
            </w:tcMar>
            <w:vAlign w:val="bottom"/>
          </w:tcPr>
          <w:p w14:paraId="540662E4"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2E5"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2E6" w14:textId="77777777" w:rsidR="00611BDD" w:rsidRDefault="002E18C7">
            <w:pPr>
              <w:jc w:val="right"/>
              <w:textAlignment w:val="bottom"/>
            </w:pPr>
            <w:r>
              <w:rPr>
                <w:rFonts w:ascii="sans-serif" w:eastAsia="sans-serif" w:hAnsi="sans-serif" w:cs="sans-serif"/>
                <w:color w:val="000000"/>
                <w:sz w:val="20"/>
                <w:szCs w:val="20"/>
              </w:rPr>
              <w:t>(10,756)</w:t>
            </w:r>
          </w:p>
        </w:tc>
        <w:tc>
          <w:tcPr>
            <w:tcW w:w="0" w:type="auto"/>
            <w:shd w:val="clear" w:color="auto" w:fill="FFFFFF"/>
            <w:tcMar>
              <w:top w:w="40" w:type="dxa"/>
              <w:left w:w="0" w:type="dxa"/>
              <w:bottom w:w="40" w:type="dxa"/>
              <w:right w:w="20" w:type="dxa"/>
            </w:tcMar>
            <w:vAlign w:val="bottom"/>
          </w:tcPr>
          <w:p w14:paraId="540662E7" w14:textId="77777777" w:rsidR="00611BDD" w:rsidRDefault="00611BDD">
            <w:pPr>
              <w:jc w:val="right"/>
              <w:rPr>
                <w:rFonts w:ascii="宋体"/>
              </w:rPr>
            </w:pPr>
          </w:p>
        </w:tc>
      </w:tr>
      <w:tr w:rsidR="00611BDD" w14:paraId="540662EF" w14:textId="77777777">
        <w:trPr>
          <w:jc w:val="center"/>
        </w:trPr>
        <w:tc>
          <w:tcPr>
            <w:tcW w:w="0" w:type="auto"/>
            <w:gridSpan w:val="3"/>
            <w:shd w:val="clear" w:color="auto" w:fill="E2EFD9"/>
            <w:tcMar>
              <w:top w:w="40" w:type="dxa"/>
              <w:left w:w="245" w:type="dxa"/>
              <w:bottom w:w="40" w:type="dxa"/>
              <w:right w:w="20" w:type="dxa"/>
            </w:tcMar>
            <w:vAlign w:val="bottom"/>
          </w:tcPr>
          <w:p w14:paraId="540662E9" w14:textId="77777777" w:rsidR="00611BDD" w:rsidRDefault="002E18C7">
            <w:pPr>
              <w:textAlignment w:val="bottom"/>
            </w:pPr>
            <w:r>
              <w:rPr>
                <w:rFonts w:ascii="sans-serif" w:eastAsia="sans-serif" w:hAnsi="sans-serif" w:cs="sans-serif"/>
                <w:color w:val="000000"/>
                <w:sz w:val="20"/>
                <w:szCs w:val="20"/>
              </w:rPr>
              <w:t>Accumulated other comprehensive income</w:t>
            </w:r>
          </w:p>
        </w:tc>
        <w:tc>
          <w:tcPr>
            <w:tcW w:w="0" w:type="auto"/>
            <w:gridSpan w:val="2"/>
            <w:shd w:val="clear" w:color="auto" w:fill="E2EFD9"/>
            <w:tcMar>
              <w:top w:w="40" w:type="dxa"/>
              <w:left w:w="20" w:type="dxa"/>
              <w:bottom w:w="40" w:type="dxa"/>
              <w:right w:w="0" w:type="dxa"/>
            </w:tcMar>
            <w:vAlign w:val="bottom"/>
          </w:tcPr>
          <w:p w14:paraId="540662EA" w14:textId="77777777" w:rsidR="00611BDD" w:rsidRDefault="002E18C7">
            <w:pPr>
              <w:jc w:val="right"/>
              <w:textAlignment w:val="bottom"/>
            </w:pPr>
            <w:r>
              <w:rPr>
                <w:rFonts w:ascii="sans-serif" w:eastAsia="sans-serif" w:hAnsi="sans-serif" w:cs="sans-serif"/>
                <w:color w:val="000000"/>
                <w:sz w:val="20"/>
                <w:szCs w:val="20"/>
              </w:rPr>
              <w:t>8 </w:t>
            </w:r>
          </w:p>
        </w:tc>
        <w:tc>
          <w:tcPr>
            <w:tcW w:w="0" w:type="auto"/>
            <w:shd w:val="clear" w:color="auto" w:fill="E2EFD9"/>
            <w:tcMar>
              <w:top w:w="40" w:type="dxa"/>
              <w:left w:w="0" w:type="dxa"/>
              <w:bottom w:w="40" w:type="dxa"/>
              <w:right w:w="20" w:type="dxa"/>
            </w:tcMar>
            <w:vAlign w:val="bottom"/>
          </w:tcPr>
          <w:p w14:paraId="540662E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2EC"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2ED" w14:textId="77777777" w:rsidR="00611BDD" w:rsidRDefault="002E18C7">
            <w:pPr>
              <w:jc w:val="right"/>
              <w:textAlignment w:val="bottom"/>
            </w:pPr>
            <w:r>
              <w:rPr>
                <w:rFonts w:ascii="sans-serif" w:eastAsia="sans-serif" w:hAnsi="sans-serif" w:cs="sans-serif"/>
                <w:color w:val="000000"/>
                <w:sz w:val="20"/>
                <w:szCs w:val="20"/>
              </w:rPr>
              <w:t>19 </w:t>
            </w:r>
          </w:p>
        </w:tc>
        <w:tc>
          <w:tcPr>
            <w:tcW w:w="0" w:type="auto"/>
            <w:shd w:val="clear" w:color="auto" w:fill="E2EFD9"/>
            <w:tcMar>
              <w:top w:w="40" w:type="dxa"/>
              <w:left w:w="0" w:type="dxa"/>
              <w:bottom w:w="40" w:type="dxa"/>
              <w:right w:w="20" w:type="dxa"/>
            </w:tcMar>
            <w:vAlign w:val="bottom"/>
          </w:tcPr>
          <w:p w14:paraId="540662EE" w14:textId="77777777" w:rsidR="00611BDD" w:rsidRDefault="00611BDD">
            <w:pPr>
              <w:jc w:val="right"/>
              <w:rPr>
                <w:rFonts w:ascii="宋体"/>
              </w:rPr>
            </w:pPr>
          </w:p>
        </w:tc>
      </w:tr>
      <w:tr w:rsidR="00611BDD" w14:paraId="540662F6" w14:textId="77777777">
        <w:trPr>
          <w:jc w:val="center"/>
        </w:trPr>
        <w:tc>
          <w:tcPr>
            <w:tcW w:w="0" w:type="auto"/>
            <w:gridSpan w:val="3"/>
            <w:shd w:val="clear" w:color="auto" w:fill="FFFFFF"/>
            <w:tcMar>
              <w:top w:w="40" w:type="dxa"/>
              <w:left w:w="245" w:type="dxa"/>
              <w:bottom w:w="40" w:type="dxa"/>
              <w:right w:w="20" w:type="dxa"/>
            </w:tcMar>
            <w:vAlign w:val="bottom"/>
          </w:tcPr>
          <w:p w14:paraId="540662F0" w14:textId="77777777" w:rsidR="00611BDD" w:rsidRDefault="002E18C7">
            <w:pPr>
              <w:textAlignment w:val="bottom"/>
            </w:pPr>
            <w:r>
              <w:rPr>
                <w:rFonts w:ascii="sans-serif" w:eastAsia="sans-serif" w:hAnsi="sans-serif" w:cs="sans-serif"/>
                <w:color w:val="000000"/>
                <w:sz w:val="20"/>
                <w:szCs w:val="20"/>
              </w:rPr>
              <w:t xml:space="preserve">Retained </w:t>
            </w:r>
            <w:r>
              <w:rPr>
                <w:rFonts w:ascii="sans-serif" w:eastAsia="sans-serif" w:hAnsi="sans-serif" w:cs="sans-serif"/>
                <w:color w:val="000000"/>
                <w:sz w:val="20"/>
                <w:szCs w:val="20"/>
              </w:rPr>
              <w:t>earnings</w:t>
            </w:r>
          </w:p>
        </w:tc>
        <w:tc>
          <w:tcPr>
            <w:tcW w:w="0" w:type="auto"/>
            <w:gridSpan w:val="2"/>
            <w:shd w:val="clear" w:color="auto" w:fill="FFFFFF"/>
            <w:tcMar>
              <w:top w:w="40" w:type="dxa"/>
              <w:left w:w="20" w:type="dxa"/>
              <w:bottom w:w="40" w:type="dxa"/>
              <w:right w:w="0" w:type="dxa"/>
            </w:tcMar>
            <w:vAlign w:val="bottom"/>
          </w:tcPr>
          <w:p w14:paraId="540662F1" w14:textId="77777777" w:rsidR="00611BDD" w:rsidRDefault="002E18C7">
            <w:pPr>
              <w:jc w:val="right"/>
              <w:textAlignment w:val="bottom"/>
            </w:pPr>
            <w:r>
              <w:rPr>
                <w:rFonts w:ascii="sans-serif" w:eastAsia="sans-serif" w:hAnsi="sans-serif" w:cs="sans-serif"/>
                <w:color w:val="000000"/>
                <w:sz w:val="20"/>
                <w:szCs w:val="20"/>
              </w:rPr>
              <w:t>22,995 </w:t>
            </w:r>
          </w:p>
        </w:tc>
        <w:tc>
          <w:tcPr>
            <w:tcW w:w="0" w:type="auto"/>
            <w:shd w:val="clear" w:color="auto" w:fill="FFFFFF"/>
            <w:tcMar>
              <w:top w:w="40" w:type="dxa"/>
              <w:left w:w="0" w:type="dxa"/>
              <w:bottom w:w="40" w:type="dxa"/>
              <w:right w:w="20" w:type="dxa"/>
            </w:tcMar>
            <w:vAlign w:val="bottom"/>
          </w:tcPr>
          <w:p w14:paraId="540662F2"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2F3"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2F4" w14:textId="77777777" w:rsidR="00611BDD" w:rsidRDefault="002E18C7">
            <w:pPr>
              <w:jc w:val="right"/>
              <w:textAlignment w:val="bottom"/>
            </w:pPr>
            <w:r>
              <w:rPr>
                <w:rFonts w:ascii="sans-serif" w:eastAsia="sans-serif" w:hAnsi="sans-serif" w:cs="sans-serif"/>
                <w:color w:val="000000"/>
                <w:sz w:val="20"/>
                <w:szCs w:val="20"/>
              </w:rPr>
              <w:t>18,908 </w:t>
            </w:r>
          </w:p>
        </w:tc>
        <w:tc>
          <w:tcPr>
            <w:tcW w:w="0" w:type="auto"/>
            <w:shd w:val="clear" w:color="auto" w:fill="FFFFFF"/>
            <w:tcMar>
              <w:top w:w="40" w:type="dxa"/>
              <w:left w:w="0" w:type="dxa"/>
              <w:bottom w:w="40" w:type="dxa"/>
              <w:right w:w="20" w:type="dxa"/>
            </w:tcMar>
            <w:vAlign w:val="bottom"/>
          </w:tcPr>
          <w:p w14:paraId="540662F5" w14:textId="77777777" w:rsidR="00611BDD" w:rsidRDefault="00611BDD">
            <w:pPr>
              <w:jc w:val="right"/>
              <w:rPr>
                <w:rFonts w:ascii="宋体"/>
              </w:rPr>
            </w:pPr>
          </w:p>
        </w:tc>
      </w:tr>
      <w:tr w:rsidR="00611BDD" w14:paraId="540662FD" w14:textId="77777777">
        <w:trPr>
          <w:jc w:val="center"/>
        </w:trPr>
        <w:tc>
          <w:tcPr>
            <w:tcW w:w="0" w:type="auto"/>
            <w:gridSpan w:val="3"/>
            <w:shd w:val="clear" w:color="auto" w:fill="E2EFD9"/>
            <w:tcMar>
              <w:top w:w="40" w:type="dxa"/>
              <w:left w:w="20" w:type="dxa"/>
              <w:bottom w:w="40" w:type="dxa"/>
              <w:right w:w="20" w:type="dxa"/>
            </w:tcMar>
            <w:vAlign w:val="bottom"/>
          </w:tcPr>
          <w:p w14:paraId="540662F7" w14:textId="77777777" w:rsidR="00611BDD" w:rsidRDefault="002E18C7">
            <w:pPr>
              <w:textAlignment w:val="bottom"/>
            </w:pPr>
            <w:r>
              <w:rPr>
                <w:rFonts w:ascii="sans-serif" w:eastAsia="sans-serif" w:hAnsi="sans-serif" w:cs="sans-serif"/>
                <w:color w:val="000000"/>
                <w:sz w:val="20"/>
                <w:szCs w:val="20"/>
              </w:rPr>
              <w:t>Total shareholders' equity</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62F8" w14:textId="77777777" w:rsidR="00611BDD" w:rsidRDefault="002E18C7">
            <w:pPr>
              <w:jc w:val="right"/>
              <w:textAlignment w:val="bottom"/>
            </w:pPr>
            <w:r>
              <w:rPr>
                <w:rFonts w:ascii="sans-serif" w:eastAsia="sans-serif" w:hAnsi="sans-serif" w:cs="sans-serif"/>
                <w:color w:val="000000"/>
                <w:sz w:val="20"/>
                <w:szCs w:val="20"/>
              </w:rPr>
              <w:t>21,147 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2F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2FA" w14:textId="77777777" w:rsidR="00611BDD" w:rsidRDefault="00611BD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62FB" w14:textId="77777777" w:rsidR="00611BDD" w:rsidRDefault="002E18C7">
            <w:pPr>
              <w:jc w:val="right"/>
              <w:textAlignment w:val="bottom"/>
            </w:pPr>
            <w:r>
              <w:rPr>
                <w:rFonts w:ascii="sans-serif" w:eastAsia="sans-serif" w:hAnsi="sans-serif" w:cs="sans-serif"/>
                <w:color w:val="000000"/>
                <w:sz w:val="20"/>
                <w:szCs w:val="20"/>
              </w:rPr>
              <w:t>16,893 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2FC" w14:textId="77777777" w:rsidR="00611BDD" w:rsidRDefault="00611BDD">
            <w:pPr>
              <w:jc w:val="right"/>
              <w:rPr>
                <w:rFonts w:ascii="宋体"/>
              </w:rPr>
            </w:pPr>
          </w:p>
        </w:tc>
      </w:tr>
      <w:tr w:rsidR="00611BDD" w14:paraId="54066306" w14:textId="77777777">
        <w:trPr>
          <w:jc w:val="center"/>
        </w:trPr>
        <w:tc>
          <w:tcPr>
            <w:tcW w:w="0" w:type="auto"/>
            <w:gridSpan w:val="3"/>
            <w:shd w:val="clear" w:color="auto" w:fill="FFFFFF"/>
            <w:tcMar>
              <w:top w:w="40" w:type="dxa"/>
              <w:left w:w="20" w:type="dxa"/>
              <w:bottom w:w="40" w:type="dxa"/>
              <w:right w:w="20" w:type="dxa"/>
            </w:tcMar>
            <w:vAlign w:val="bottom"/>
          </w:tcPr>
          <w:p w14:paraId="540662FE" w14:textId="77777777" w:rsidR="00611BDD" w:rsidRDefault="002E18C7">
            <w:pPr>
              <w:textAlignment w:val="bottom"/>
            </w:pPr>
            <w:r>
              <w:rPr>
                <w:rFonts w:ascii="sans-serif" w:eastAsia="sans-serif" w:hAnsi="sans-serif" w:cs="sans-serif"/>
                <w:color w:val="000000"/>
                <w:sz w:val="20"/>
                <w:szCs w:val="20"/>
              </w:rPr>
              <w:t>Total liabilities and shareholders'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40662FF"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4066300" w14:textId="77777777" w:rsidR="00611BDD" w:rsidRDefault="002E18C7">
            <w:pPr>
              <w:jc w:val="right"/>
              <w:textAlignment w:val="bottom"/>
            </w:pPr>
            <w:r>
              <w:rPr>
                <w:rFonts w:ascii="sans-serif" w:eastAsia="sans-serif" w:hAnsi="sans-serif" w:cs="sans-serif"/>
                <w:color w:val="000000"/>
                <w:sz w:val="20"/>
                <w:szCs w:val="20"/>
              </w:rPr>
              <w:t>38,650 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4066301"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302" w14:textId="77777777" w:rsidR="00611BDD" w:rsidRDefault="00611BD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4066303"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4066304" w14:textId="77777777" w:rsidR="00611BDD" w:rsidRDefault="002E18C7">
            <w:pPr>
              <w:jc w:val="right"/>
              <w:textAlignment w:val="bottom"/>
            </w:pPr>
            <w:r>
              <w:rPr>
                <w:rFonts w:ascii="sans-serif" w:eastAsia="sans-serif" w:hAnsi="sans-serif" w:cs="sans-serif"/>
                <w:color w:val="000000"/>
                <w:sz w:val="20"/>
                <w:szCs w:val="20"/>
              </w:rPr>
              <w:t>28,791 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4066305" w14:textId="77777777" w:rsidR="00611BDD" w:rsidRDefault="00611BDD">
            <w:pPr>
              <w:jc w:val="right"/>
              <w:rPr>
                <w:rFonts w:ascii="宋体"/>
              </w:rPr>
            </w:pPr>
          </w:p>
        </w:tc>
      </w:tr>
    </w:tbl>
    <w:p w14:paraId="54066307" w14:textId="77777777" w:rsidR="00611BDD" w:rsidRDefault="002E18C7">
      <w:pPr>
        <w:spacing w:after="180"/>
        <w:jc w:val="center"/>
      </w:pPr>
      <w:r>
        <w:rPr>
          <w:rFonts w:ascii="sans-serif" w:eastAsia="sans-serif" w:hAnsi="sans-serif" w:cs="sans-serif"/>
          <w:color w:val="000000"/>
          <w:sz w:val="20"/>
          <w:szCs w:val="20"/>
        </w:rPr>
        <w:t>See accompanying Notes to Condensed Consolidated Financial Statements.</w:t>
      </w:r>
    </w:p>
    <w:p w14:paraId="54066308" w14:textId="77777777" w:rsidR="00611BDD" w:rsidRDefault="00611BDD">
      <w:pPr>
        <w:spacing w:after="180"/>
        <w:jc w:val="center"/>
      </w:pPr>
    </w:p>
    <w:p w14:paraId="54066309" w14:textId="77777777" w:rsidR="00611BDD" w:rsidRDefault="002E18C7">
      <w:pPr>
        <w:spacing w:after="180"/>
        <w:jc w:val="center"/>
      </w:pPr>
      <w:r>
        <w:rPr>
          <w:rFonts w:ascii="sans-serif" w:eastAsia="sans-serif" w:hAnsi="sans-serif" w:cs="sans-serif"/>
          <w:color w:val="000000"/>
          <w:sz w:val="20"/>
          <w:szCs w:val="20"/>
        </w:rPr>
        <w:t>5</w:t>
      </w:r>
    </w:p>
    <w:p w14:paraId="5406630A" w14:textId="77777777" w:rsidR="00611BDD" w:rsidRDefault="002E18C7">
      <w:r>
        <w:pict w14:anchorId="54067C29">
          <v:rect id="_x0000_i1029" style="width:415.3pt;height:1.5pt" o:hralign="center" o:hrstd="t" o:hr="t" fillcolor="#a0a0a0" stroked="f"/>
        </w:pict>
      </w:r>
    </w:p>
    <w:p w14:paraId="5406630B" w14:textId="77777777" w:rsidR="00611BDD" w:rsidRDefault="00611BDD">
      <w:pPr>
        <w:spacing w:after="180"/>
        <w:jc w:val="both"/>
      </w:pPr>
    </w:p>
    <w:p w14:paraId="5406630C" w14:textId="77777777" w:rsidR="00611BDD" w:rsidRDefault="002E18C7">
      <w:pPr>
        <w:jc w:val="center"/>
      </w:pPr>
      <w:r>
        <w:rPr>
          <w:rFonts w:ascii="sans-serif" w:eastAsia="sans-serif" w:hAnsi="sans-serif" w:cs="sans-serif"/>
          <w:b/>
          <w:bCs/>
          <w:color w:val="000000"/>
          <w:sz w:val="20"/>
          <w:szCs w:val="20"/>
        </w:rPr>
        <w:t xml:space="preserve">NVIDIA CORPORATION AND </w:t>
      </w:r>
      <w:r>
        <w:rPr>
          <w:rFonts w:ascii="sans-serif" w:eastAsia="sans-serif" w:hAnsi="sans-serif" w:cs="sans-serif"/>
          <w:b/>
          <w:bCs/>
          <w:color w:val="000000"/>
          <w:sz w:val="20"/>
          <w:szCs w:val="20"/>
        </w:rPr>
        <w:t>SUBSIDIARIES</w:t>
      </w:r>
    </w:p>
    <w:p w14:paraId="5406630D" w14:textId="77777777" w:rsidR="00611BDD" w:rsidRDefault="002E18C7">
      <w:pPr>
        <w:jc w:val="center"/>
      </w:pPr>
      <w:r>
        <w:rPr>
          <w:rFonts w:ascii="sans-serif" w:eastAsia="sans-serif" w:hAnsi="sans-serif" w:cs="sans-serif"/>
          <w:b/>
          <w:bCs/>
          <w:color w:val="000000"/>
          <w:sz w:val="20"/>
          <w:szCs w:val="20"/>
        </w:rPr>
        <w:t>CONDENSED CONSOLIDATED STATEMENTS OF SHAREHOLDERS’ EQUITY</w:t>
      </w:r>
    </w:p>
    <w:p w14:paraId="5406630E" w14:textId="77777777" w:rsidR="00611BDD" w:rsidRDefault="002E18C7">
      <w:pPr>
        <w:jc w:val="center"/>
      </w:pPr>
      <w:r>
        <w:rPr>
          <w:rFonts w:ascii="sans-serif" w:eastAsia="sans-serif" w:hAnsi="sans-serif" w:cs="sans-serif"/>
          <w:b/>
          <w:bCs/>
          <w:color w:val="000000"/>
          <w:sz w:val="20"/>
          <w:szCs w:val="20"/>
        </w:rPr>
        <w:t>FOR THE THREE MONTHS ENDED AUGUST 1, 2021 AND JULY 26, 2020</w:t>
      </w:r>
    </w:p>
    <w:p w14:paraId="5406630F" w14:textId="77777777" w:rsidR="00611BDD" w:rsidRDefault="002E18C7">
      <w:pPr>
        <w:spacing w:after="180"/>
        <w:jc w:val="center"/>
      </w:pPr>
      <w:r>
        <w:rPr>
          <w:rFonts w:ascii="sans-serif" w:eastAsia="sans-serif" w:hAnsi="sans-serif" w:cs="sans-serif"/>
          <w:b/>
          <w:bCs/>
          <w:color w:val="000000"/>
          <w:sz w:val="20"/>
          <w:szCs w:val="20"/>
        </w:rPr>
        <w:t xml:space="preserve">(Unaudited) </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2494"/>
        <w:gridCol w:w="37"/>
        <w:gridCol w:w="73"/>
        <w:gridCol w:w="389"/>
        <w:gridCol w:w="37"/>
        <w:gridCol w:w="37"/>
        <w:gridCol w:w="37"/>
        <w:gridCol w:w="36"/>
        <w:gridCol w:w="98"/>
        <w:gridCol w:w="452"/>
        <w:gridCol w:w="36"/>
        <w:gridCol w:w="36"/>
        <w:gridCol w:w="36"/>
        <w:gridCol w:w="36"/>
        <w:gridCol w:w="98"/>
        <w:gridCol w:w="593"/>
        <w:gridCol w:w="36"/>
        <w:gridCol w:w="36"/>
        <w:gridCol w:w="36"/>
        <w:gridCol w:w="36"/>
        <w:gridCol w:w="97"/>
        <w:gridCol w:w="509"/>
        <w:gridCol w:w="36"/>
        <w:gridCol w:w="36"/>
        <w:gridCol w:w="36"/>
        <w:gridCol w:w="36"/>
        <w:gridCol w:w="98"/>
        <w:gridCol w:w="916"/>
        <w:gridCol w:w="36"/>
        <w:gridCol w:w="36"/>
        <w:gridCol w:w="36"/>
        <w:gridCol w:w="36"/>
        <w:gridCol w:w="98"/>
        <w:gridCol w:w="506"/>
        <w:gridCol w:w="36"/>
        <w:gridCol w:w="36"/>
        <w:gridCol w:w="36"/>
        <w:gridCol w:w="36"/>
        <w:gridCol w:w="98"/>
        <w:gridCol w:w="802"/>
        <w:gridCol w:w="36"/>
      </w:tblGrid>
      <w:tr w:rsidR="00611BDD" w14:paraId="5406633A" w14:textId="77777777">
        <w:trPr>
          <w:jc w:val="center"/>
        </w:trPr>
        <w:tc>
          <w:tcPr>
            <w:tcW w:w="50" w:type="pct"/>
            <w:shd w:val="clear" w:color="auto" w:fill="auto"/>
            <w:vAlign w:val="bottom"/>
          </w:tcPr>
          <w:p w14:paraId="54066310" w14:textId="77777777" w:rsidR="00611BDD" w:rsidRDefault="00611BDD">
            <w:pPr>
              <w:rPr>
                <w:rFonts w:ascii="宋体"/>
              </w:rPr>
            </w:pPr>
          </w:p>
        </w:tc>
        <w:tc>
          <w:tcPr>
            <w:tcW w:w="1883" w:type="pct"/>
            <w:shd w:val="clear" w:color="auto" w:fill="auto"/>
            <w:vAlign w:val="bottom"/>
          </w:tcPr>
          <w:p w14:paraId="54066311" w14:textId="77777777" w:rsidR="00611BDD" w:rsidRDefault="00611BDD">
            <w:pPr>
              <w:rPr>
                <w:rFonts w:ascii="宋体"/>
              </w:rPr>
            </w:pPr>
          </w:p>
        </w:tc>
        <w:tc>
          <w:tcPr>
            <w:tcW w:w="5" w:type="pct"/>
            <w:shd w:val="clear" w:color="auto" w:fill="auto"/>
            <w:vAlign w:val="bottom"/>
          </w:tcPr>
          <w:p w14:paraId="54066312" w14:textId="77777777" w:rsidR="00611BDD" w:rsidRDefault="00611BDD">
            <w:pPr>
              <w:rPr>
                <w:rFonts w:ascii="宋体"/>
              </w:rPr>
            </w:pPr>
          </w:p>
        </w:tc>
        <w:tc>
          <w:tcPr>
            <w:tcW w:w="50" w:type="pct"/>
            <w:shd w:val="clear" w:color="auto" w:fill="auto"/>
            <w:vAlign w:val="bottom"/>
          </w:tcPr>
          <w:p w14:paraId="54066313" w14:textId="77777777" w:rsidR="00611BDD" w:rsidRDefault="00611BDD">
            <w:pPr>
              <w:rPr>
                <w:rFonts w:ascii="宋体"/>
              </w:rPr>
            </w:pPr>
          </w:p>
        </w:tc>
        <w:tc>
          <w:tcPr>
            <w:tcW w:w="268" w:type="pct"/>
            <w:shd w:val="clear" w:color="auto" w:fill="auto"/>
            <w:vAlign w:val="bottom"/>
          </w:tcPr>
          <w:p w14:paraId="54066314" w14:textId="77777777" w:rsidR="00611BDD" w:rsidRDefault="00611BDD">
            <w:pPr>
              <w:rPr>
                <w:rFonts w:ascii="宋体"/>
              </w:rPr>
            </w:pPr>
          </w:p>
        </w:tc>
        <w:tc>
          <w:tcPr>
            <w:tcW w:w="5" w:type="pct"/>
            <w:shd w:val="clear" w:color="auto" w:fill="auto"/>
            <w:vAlign w:val="bottom"/>
          </w:tcPr>
          <w:p w14:paraId="54066315" w14:textId="77777777" w:rsidR="00611BDD" w:rsidRDefault="00611BDD">
            <w:pPr>
              <w:rPr>
                <w:rFonts w:ascii="宋体"/>
              </w:rPr>
            </w:pPr>
          </w:p>
        </w:tc>
        <w:tc>
          <w:tcPr>
            <w:tcW w:w="5" w:type="pct"/>
            <w:shd w:val="clear" w:color="auto" w:fill="auto"/>
            <w:vAlign w:val="bottom"/>
          </w:tcPr>
          <w:p w14:paraId="54066316" w14:textId="77777777" w:rsidR="00611BDD" w:rsidRDefault="00611BDD">
            <w:pPr>
              <w:rPr>
                <w:rFonts w:ascii="宋体"/>
              </w:rPr>
            </w:pPr>
          </w:p>
        </w:tc>
        <w:tc>
          <w:tcPr>
            <w:tcW w:w="26" w:type="pct"/>
            <w:shd w:val="clear" w:color="auto" w:fill="auto"/>
            <w:vAlign w:val="bottom"/>
          </w:tcPr>
          <w:p w14:paraId="54066317" w14:textId="77777777" w:rsidR="00611BDD" w:rsidRDefault="00611BDD">
            <w:pPr>
              <w:rPr>
                <w:rFonts w:ascii="宋体"/>
              </w:rPr>
            </w:pPr>
          </w:p>
        </w:tc>
        <w:tc>
          <w:tcPr>
            <w:tcW w:w="5" w:type="pct"/>
            <w:shd w:val="clear" w:color="auto" w:fill="auto"/>
            <w:vAlign w:val="bottom"/>
          </w:tcPr>
          <w:p w14:paraId="54066318" w14:textId="77777777" w:rsidR="00611BDD" w:rsidRDefault="00611BDD">
            <w:pPr>
              <w:rPr>
                <w:rFonts w:ascii="宋体"/>
              </w:rPr>
            </w:pPr>
          </w:p>
        </w:tc>
        <w:tc>
          <w:tcPr>
            <w:tcW w:w="50" w:type="pct"/>
            <w:shd w:val="clear" w:color="auto" w:fill="auto"/>
            <w:vAlign w:val="bottom"/>
          </w:tcPr>
          <w:p w14:paraId="54066319" w14:textId="77777777" w:rsidR="00611BDD" w:rsidRDefault="00611BDD">
            <w:pPr>
              <w:rPr>
                <w:rFonts w:ascii="宋体"/>
              </w:rPr>
            </w:pPr>
          </w:p>
        </w:tc>
        <w:tc>
          <w:tcPr>
            <w:tcW w:w="260" w:type="pct"/>
            <w:shd w:val="clear" w:color="auto" w:fill="auto"/>
            <w:vAlign w:val="bottom"/>
          </w:tcPr>
          <w:p w14:paraId="5406631A" w14:textId="77777777" w:rsidR="00611BDD" w:rsidRDefault="00611BDD">
            <w:pPr>
              <w:rPr>
                <w:rFonts w:ascii="宋体"/>
              </w:rPr>
            </w:pPr>
          </w:p>
        </w:tc>
        <w:tc>
          <w:tcPr>
            <w:tcW w:w="5" w:type="pct"/>
            <w:shd w:val="clear" w:color="auto" w:fill="auto"/>
            <w:vAlign w:val="bottom"/>
          </w:tcPr>
          <w:p w14:paraId="5406631B" w14:textId="77777777" w:rsidR="00611BDD" w:rsidRDefault="00611BDD">
            <w:pPr>
              <w:rPr>
                <w:rFonts w:ascii="宋体"/>
              </w:rPr>
            </w:pPr>
          </w:p>
        </w:tc>
        <w:tc>
          <w:tcPr>
            <w:tcW w:w="5" w:type="pct"/>
            <w:shd w:val="clear" w:color="auto" w:fill="auto"/>
            <w:vAlign w:val="bottom"/>
          </w:tcPr>
          <w:p w14:paraId="5406631C" w14:textId="77777777" w:rsidR="00611BDD" w:rsidRDefault="00611BDD">
            <w:pPr>
              <w:rPr>
                <w:rFonts w:ascii="宋体"/>
              </w:rPr>
            </w:pPr>
          </w:p>
        </w:tc>
        <w:tc>
          <w:tcPr>
            <w:tcW w:w="26" w:type="pct"/>
            <w:shd w:val="clear" w:color="auto" w:fill="auto"/>
            <w:vAlign w:val="bottom"/>
          </w:tcPr>
          <w:p w14:paraId="5406631D" w14:textId="77777777" w:rsidR="00611BDD" w:rsidRDefault="00611BDD">
            <w:pPr>
              <w:rPr>
                <w:rFonts w:ascii="宋体"/>
              </w:rPr>
            </w:pPr>
          </w:p>
        </w:tc>
        <w:tc>
          <w:tcPr>
            <w:tcW w:w="5" w:type="pct"/>
            <w:shd w:val="clear" w:color="auto" w:fill="auto"/>
            <w:vAlign w:val="bottom"/>
          </w:tcPr>
          <w:p w14:paraId="5406631E" w14:textId="77777777" w:rsidR="00611BDD" w:rsidRDefault="00611BDD">
            <w:pPr>
              <w:rPr>
                <w:rFonts w:ascii="宋体"/>
              </w:rPr>
            </w:pPr>
          </w:p>
        </w:tc>
        <w:tc>
          <w:tcPr>
            <w:tcW w:w="50" w:type="pct"/>
            <w:shd w:val="clear" w:color="auto" w:fill="auto"/>
            <w:vAlign w:val="bottom"/>
          </w:tcPr>
          <w:p w14:paraId="5406631F" w14:textId="77777777" w:rsidR="00611BDD" w:rsidRDefault="00611BDD">
            <w:pPr>
              <w:rPr>
                <w:rFonts w:ascii="宋体"/>
              </w:rPr>
            </w:pPr>
          </w:p>
        </w:tc>
        <w:tc>
          <w:tcPr>
            <w:tcW w:w="334" w:type="pct"/>
            <w:shd w:val="clear" w:color="auto" w:fill="auto"/>
            <w:vAlign w:val="bottom"/>
          </w:tcPr>
          <w:p w14:paraId="54066320" w14:textId="77777777" w:rsidR="00611BDD" w:rsidRDefault="00611BDD">
            <w:pPr>
              <w:rPr>
                <w:rFonts w:ascii="宋体"/>
              </w:rPr>
            </w:pPr>
          </w:p>
        </w:tc>
        <w:tc>
          <w:tcPr>
            <w:tcW w:w="5" w:type="pct"/>
            <w:shd w:val="clear" w:color="auto" w:fill="auto"/>
            <w:vAlign w:val="bottom"/>
          </w:tcPr>
          <w:p w14:paraId="54066321" w14:textId="77777777" w:rsidR="00611BDD" w:rsidRDefault="00611BDD">
            <w:pPr>
              <w:rPr>
                <w:rFonts w:ascii="宋体"/>
              </w:rPr>
            </w:pPr>
          </w:p>
        </w:tc>
        <w:tc>
          <w:tcPr>
            <w:tcW w:w="5" w:type="pct"/>
            <w:shd w:val="clear" w:color="auto" w:fill="auto"/>
            <w:vAlign w:val="bottom"/>
          </w:tcPr>
          <w:p w14:paraId="54066322" w14:textId="77777777" w:rsidR="00611BDD" w:rsidRDefault="00611BDD">
            <w:pPr>
              <w:rPr>
                <w:rFonts w:ascii="宋体"/>
              </w:rPr>
            </w:pPr>
          </w:p>
        </w:tc>
        <w:tc>
          <w:tcPr>
            <w:tcW w:w="26" w:type="pct"/>
            <w:shd w:val="clear" w:color="auto" w:fill="auto"/>
            <w:vAlign w:val="bottom"/>
          </w:tcPr>
          <w:p w14:paraId="54066323" w14:textId="77777777" w:rsidR="00611BDD" w:rsidRDefault="00611BDD">
            <w:pPr>
              <w:rPr>
                <w:rFonts w:ascii="宋体"/>
              </w:rPr>
            </w:pPr>
          </w:p>
        </w:tc>
        <w:tc>
          <w:tcPr>
            <w:tcW w:w="5" w:type="pct"/>
            <w:shd w:val="clear" w:color="auto" w:fill="auto"/>
            <w:vAlign w:val="bottom"/>
          </w:tcPr>
          <w:p w14:paraId="54066324" w14:textId="77777777" w:rsidR="00611BDD" w:rsidRDefault="00611BDD">
            <w:pPr>
              <w:rPr>
                <w:rFonts w:ascii="宋体"/>
              </w:rPr>
            </w:pPr>
          </w:p>
        </w:tc>
        <w:tc>
          <w:tcPr>
            <w:tcW w:w="50" w:type="pct"/>
            <w:shd w:val="clear" w:color="auto" w:fill="auto"/>
            <w:vAlign w:val="bottom"/>
          </w:tcPr>
          <w:p w14:paraId="54066325" w14:textId="77777777" w:rsidR="00611BDD" w:rsidRDefault="00611BDD">
            <w:pPr>
              <w:rPr>
                <w:rFonts w:ascii="宋体"/>
              </w:rPr>
            </w:pPr>
          </w:p>
        </w:tc>
        <w:tc>
          <w:tcPr>
            <w:tcW w:w="304" w:type="pct"/>
            <w:shd w:val="clear" w:color="auto" w:fill="auto"/>
            <w:vAlign w:val="bottom"/>
          </w:tcPr>
          <w:p w14:paraId="54066326" w14:textId="77777777" w:rsidR="00611BDD" w:rsidRDefault="00611BDD">
            <w:pPr>
              <w:rPr>
                <w:rFonts w:ascii="宋体"/>
              </w:rPr>
            </w:pPr>
          </w:p>
        </w:tc>
        <w:tc>
          <w:tcPr>
            <w:tcW w:w="5" w:type="pct"/>
            <w:shd w:val="clear" w:color="auto" w:fill="auto"/>
            <w:vAlign w:val="bottom"/>
          </w:tcPr>
          <w:p w14:paraId="54066327" w14:textId="77777777" w:rsidR="00611BDD" w:rsidRDefault="00611BDD">
            <w:pPr>
              <w:rPr>
                <w:rFonts w:ascii="宋体"/>
              </w:rPr>
            </w:pPr>
          </w:p>
        </w:tc>
        <w:tc>
          <w:tcPr>
            <w:tcW w:w="5" w:type="pct"/>
            <w:shd w:val="clear" w:color="auto" w:fill="auto"/>
            <w:vAlign w:val="bottom"/>
          </w:tcPr>
          <w:p w14:paraId="54066328" w14:textId="77777777" w:rsidR="00611BDD" w:rsidRDefault="00611BDD">
            <w:pPr>
              <w:rPr>
                <w:rFonts w:ascii="宋体"/>
              </w:rPr>
            </w:pPr>
          </w:p>
        </w:tc>
        <w:tc>
          <w:tcPr>
            <w:tcW w:w="26" w:type="pct"/>
            <w:shd w:val="clear" w:color="auto" w:fill="auto"/>
            <w:vAlign w:val="bottom"/>
          </w:tcPr>
          <w:p w14:paraId="54066329" w14:textId="77777777" w:rsidR="00611BDD" w:rsidRDefault="00611BDD">
            <w:pPr>
              <w:rPr>
                <w:rFonts w:ascii="宋体"/>
              </w:rPr>
            </w:pPr>
          </w:p>
        </w:tc>
        <w:tc>
          <w:tcPr>
            <w:tcW w:w="5" w:type="pct"/>
            <w:shd w:val="clear" w:color="auto" w:fill="auto"/>
            <w:vAlign w:val="bottom"/>
          </w:tcPr>
          <w:p w14:paraId="5406632A" w14:textId="77777777" w:rsidR="00611BDD" w:rsidRDefault="00611BDD">
            <w:pPr>
              <w:rPr>
                <w:rFonts w:ascii="宋体"/>
              </w:rPr>
            </w:pPr>
          </w:p>
        </w:tc>
        <w:tc>
          <w:tcPr>
            <w:tcW w:w="50" w:type="pct"/>
            <w:shd w:val="clear" w:color="auto" w:fill="auto"/>
            <w:vAlign w:val="bottom"/>
          </w:tcPr>
          <w:p w14:paraId="5406632B" w14:textId="77777777" w:rsidR="00611BDD" w:rsidRDefault="00611BDD">
            <w:pPr>
              <w:rPr>
                <w:rFonts w:ascii="宋体"/>
              </w:rPr>
            </w:pPr>
          </w:p>
        </w:tc>
        <w:tc>
          <w:tcPr>
            <w:tcW w:w="525" w:type="pct"/>
            <w:shd w:val="clear" w:color="auto" w:fill="auto"/>
            <w:vAlign w:val="bottom"/>
          </w:tcPr>
          <w:p w14:paraId="5406632C" w14:textId="77777777" w:rsidR="00611BDD" w:rsidRDefault="00611BDD">
            <w:pPr>
              <w:rPr>
                <w:rFonts w:ascii="宋体"/>
              </w:rPr>
            </w:pPr>
          </w:p>
        </w:tc>
        <w:tc>
          <w:tcPr>
            <w:tcW w:w="5" w:type="pct"/>
            <w:shd w:val="clear" w:color="auto" w:fill="auto"/>
            <w:vAlign w:val="bottom"/>
          </w:tcPr>
          <w:p w14:paraId="5406632D" w14:textId="77777777" w:rsidR="00611BDD" w:rsidRDefault="00611BDD">
            <w:pPr>
              <w:rPr>
                <w:rFonts w:ascii="宋体"/>
              </w:rPr>
            </w:pPr>
          </w:p>
        </w:tc>
        <w:tc>
          <w:tcPr>
            <w:tcW w:w="5" w:type="pct"/>
            <w:shd w:val="clear" w:color="auto" w:fill="auto"/>
            <w:vAlign w:val="bottom"/>
          </w:tcPr>
          <w:p w14:paraId="5406632E" w14:textId="77777777" w:rsidR="00611BDD" w:rsidRDefault="00611BDD">
            <w:pPr>
              <w:rPr>
                <w:rFonts w:ascii="宋体"/>
              </w:rPr>
            </w:pPr>
          </w:p>
        </w:tc>
        <w:tc>
          <w:tcPr>
            <w:tcW w:w="26" w:type="pct"/>
            <w:shd w:val="clear" w:color="auto" w:fill="auto"/>
            <w:vAlign w:val="bottom"/>
          </w:tcPr>
          <w:p w14:paraId="5406632F" w14:textId="77777777" w:rsidR="00611BDD" w:rsidRDefault="00611BDD">
            <w:pPr>
              <w:rPr>
                <w:rFonts w:ascii="宋体"/>
              </w:rPr>
            </w:pPr>
          </w:p>
        </w:tc>
        <w:tc>
          <w:tcPr>
            <w:tcW w:w="5" w:type="pct"/>
            <w:shd w:val="clear" w:color="auto" w:fill="auto"/>
            <w:vAlign w:val="bottom"/>
          </w:tcPr>
          <w:p w14:paraId="54066330" w14:textId="77777777" w:rsidR="00611BDD" w:rsidRDefault="00611BDD">
            <w:pPr>
              <w:rPr>
                <w:rFonts w:ascii="宋体"/>
              </w:rPr>
            </w:pPr>
          </w:p>
        </w:tc>
        <w:tc>
          <w:tcPr>
            <w:tcW w:w="50" w:type="pct"/>
            <w:shd w:val="clear" w:color="auto" w:fill="auto"/>
            <w:vAlign w:val="bottom"/>
          </w:tcPr>
          <w:p w14:paraId="54066331" w14:textId="77777777" w:rsidR="00611BDD" w:rsidRDefault="00611BDD">
            <w:pPr>
              <w:rPr>
                <w:rFonts w:ascii="宋体"/>
              </w:rPr>
            </w:pPr>
          </w:p>
        </w:tc>
        <w:tc>
          <w:tcPr>
            <w:tcW w:w="297" w:type="pct"/>
            <w:shd w:val="clear" w:color="auto" w:fill="auto"/>
            <w:vAlign w:val="bottom"/>
          </w:tcPr>
          <w:p w14:paraId="54066332" w14:textId="77777777" w:rsidR="00611BDD" w:rsidRDefault="00611BDD">
            <w:pPr>
              <w:rPr>
                <w:rFonts w:ascii="宋体"/>
              </w:rPr>
            </w:pPr>
          </w:p>
        </w:tc>
        <w:tc>
          <w:tcPr>
            <w:tcW w:w="5" w:type="pct"/>
            <w:shd w:val="clear" w:color="auto" w:fill="auto"/>
            <w:vAlign w:val="bottom"/>
          </w:tcPr>
          <w:p w14:paraId="54066333" w14:textId="77777777" w:rsidR="00611BDD" w:rsidRDefault="00611BDD">
            <w:pPr>
              <w:rPr>
                <w:rFonts w:ascii="宋体"/>
              </w:rPr>
            </w:pPr>
          </w:p>
        </w:tc>
        <w:tc>
          <w:tcPr>
            <w:tcW w:w="5" w:type="pct"/>
            <w:shd w:val="clear" w:color="auto" w:fill="auto"/>
            <w:vAlign w:val="bottom"/>
          </w:tcPr>
          <w:p w14:paraId="54066334" w14:textId="77777777" w:rsidR="00611BDD" w:rsidRDefault="00611BDD">
            <w:pPr>
              <w:rPr>
                <w:rFonts w:ascii="宋体"/>
              </w:rPr>
            </w:pPr>
          </w:p>
        </w:tc>
        <w:tc>
          <w:tcPr>
            <w:tcW w:w="26" w:type="pct"/>
            <w:shd w:val="clear" w:color="auto" w:fill="auto"/>
            <w:vAlign w:val="bottom"/>
          </w:tcPr>
          <w:p w14:paraId="54066335" w14:textId="77777777" w:rsidR="00611BDD" w:rsidRDefault="00611BDD">
            <w:pPr>
              <w:rPr>
                <w:rFonts w:ascii="宋体"/>
              </w:rPr>
            </w:pPr>
          </w:p>
        </w:tc>
        <w:tc>
          <w:tcPr>
            <w:tcW w:w="5" w:type="pct"/>
            <w:shd w:val="clear" w:color="auto" w:fill="auto"/>
            <w:vAlign w:val="bottom"/>
          </w:tcPr>
          <w:p w14:paraId="54066336" w14:textId="77777777" w:rsidR="00611BDD" w:rsidRDefault="00611BDD">
            <w:pPr>
              <w:rPr>
                <w:rFonts w:ascii="宋体"/>
              </w:rPr>
            </w:pPr>
          </w:p>
        </w:tc>
        <w:tc>
          <w:tcPr>
            <w:tcW w:w="50" w:type="pct"/>
            <w:shd w:val="clear" w:color="auto" w:fill="auto"/>
            <w:vAlign w:val="bottom"/>
          </w:tcPr>
          <w:p w14:paraId="54066337" w14:textId="77777777" w:rsidR="00611BDD" w:rsidRDefault="00611BDD">
            <w:pPr>
              <w:rPr>
                <w:rFonts w:ascii="宋体"/>
              </w:rPr>
            </w:pPr>
          </w:p>
        </w:tc>
        <w:tc>
          <w:tcPr>
            <w:tcW w:w="466" w:type="pct"/>
            <w:shd w:val="clear" w:color="auto" w:fill="auto"/>
            <w:vAlign w:val="bottom"/>
          </w:tcPr>
          <w:p w14:paraId="54066338" w14:textId="77777777" w:rsidR="00611BDD" w:rsidRDefault="00611BDD">
            <w:pPr>
              <w:rPr>
                <w:rFonts w:ascii="宋体"/>
              </w:rPr>
            </w:pPr>
          </w:p>
        </w:tc>
        <w:tc>
          <w:tcPr>
            <w:tcW w:w="5" w:type="pct"/>
            <w:shd w:val="clear" w:color="auto" w:fill="auto"/>
            <w:vAlign w:val="bottom"/>
          </w:tcPr>
          <w:p w14:paraId="54066339" w14:textId="77777777" w:rsidR="00611BDD" w:rsidRDefault="00611BDD">
            <w:pPr>
              <w:rPr>
                <w:rFonts w:ascii="宋体"/>
              </w:rPr>
            </w:pPr>
          </w:p>
        </w:tc>
      </w:tr>
      <w:tr w:rsidR="00611BDD" w14:paraId="54066348" w14:textId="77777777">
        <w:trPr>
          <w:trHeight w:val="420"/>
          <w:jc w:val="center"/>
        </w:trPr>
        <w:tc>
          <w:tcPr>
            <w:tcW w:w="0" w:type="auto"/>
            <w:gridSpan w:val="3"/>
            <w:shd w:val="clear" w:color="auto" w:fill="auto"/>
            <w:tcMar>
              <w:top w:w="0" w:type="dxa"/>
              <w:left w:w="20" w:type="dxa"/>
              <w:bottom w:w="0" w:type="dxa"/>
              <w:right w:w="20" w:type="dxa"/>
            </w:tcMar>
            <w:vAlign w:val="bottom"/>
          </w:tcPr>
          <w:p w14:paraId="5406633B" w14:textId="77777777" w:rsidR="00611BDD" w:rsidRDefault="00611BDD">
            <w:pPr>
              <w:rPr>
                <w:rFonts w:ascii="宋体"/>
              </w:rPr>
            </w:pPr>
          </w:p>
        </w:tc>
        <w:tc>
          <w:tcPr>
            <w:tcW w:w="0" w:type="auto"/>
            <w:gridSpan w:val="9"/>
            <w:shd w:val="clear" w:color="auto" w:fill="auto"/>
            <w:tcMar>
              <w:top w:w="40" w:type="dxa"/>
              <w:left w:w="20" w:type="dxa"/>
              <w:bottom w:w="40" w:type="dxa"/>
              <w:right w:w="20" w:type="dxa"/>
            </w:tcMar>
            <w:vAlign w:val="bottom"/>
          </w:tcPr>
          <w:p w14:paraId="5406633C" w14:textId="77777777" w:rsidR="00611BDD" w:rsidRDefault="002E18C7">
            <w:pPr>
              <w:pBdr>
                <w:top w:val="none" w:sz="0" w:space="0" w:color="auto"/>
                <w:left w:val="none" w:sz="0" w:space="0" w:color="auto"/>
                <w:bottom w:val="none" w:sz="0" w:space="0" w:color="auto"/>
                <w:right w:val="none" w:sz="0" w:space="0" w:color="auto"/>
              </w:pBdr>
              <w:jc w:val="center"/>
              <w:textAlignment w:val="bottom"/>
            </w:pPr>
            <w:r>
              <w:rPr>
                <w:rFonts w:ascii="sans-serif" w:eastAsia="sans-serif" w:hAnsi="sans-serif" w:cs="sans-serif"/>
                <w:b/>
                <w:bCs/>
                <w:color w:val="000000"/>
                <w:sz w:val="15"/>
                <w:szCs w:val="15"/>
              </w:rPr>
              <w:t>Common Stock</w:t>
            </w:r>
          </w:p>
          <w:p w14:paraId="5406633D" w14:textId="77777777" w:rsidR="00611BDD" w:rsidRDefault="002E18C7">
            <w:pPr>
              <w:pBdr>
                <w:top w:val="none" w:sz="0" w:space="0" w:color="auto"/>
                <w:left w:val="none" w:sz="0" w:space="0" w:color="auto"/>
                <w:bottom w:val="none" w:sz="0" w:space="0" w:color="auto"/>
                <w:right w:val="none" w:sz="0" w:space="0" w:color="auto"/>
              </w:pBdr>
              <w:jc w:val="center"/>
              <w:textAlignment w:val="bottom"/>
            </w:pPr>
            <w:r>
              <w:rPr>
                <w:rFonts w:ascii="sans-serif" w:eastAsia="sans-serif" w:hAnsi="sans-serif" w:cs="sans-serif"/>
                <w:b/>
                <w:bCs/>
                <w:color w:val="000000"/>
                <w:sz w:val="15"/>
                <w:szCs w:val="15"/>
              </w:rPr>
              <w:t>Outstanding</w:t>
            </w:r>
          </w:p>
        </w:tc>
        <w:tc>
          <w:tcPr>
            <w:tcW w:w="0" w:type="auto"/>
            <w:gridSpan w:val="3"/>
            <w:shd w:val="clear" w:color="auto" w:fill="auto"/>
            <w:tcMar>
              <w:top w:w="0" w:type="dxa"/>
              <w:left w:w="20" w:type="dxa"/>
              <w:bottom w:w="0" w:type="dxa"/>
              <w:right w:w="20" w:type="dxa"/>
            </w:tcMar>
            <w:vAlign w:val="bottom"/>
          </w:tcPr>
          <w:p w14:paraId="5406633E" w14:textId="77777777" w:rsidR="00611BDD" w:rsidRDefault="00611BD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406633F" w14:textId="77777777" w:rsidR="00611BDD" w:rsidRDefault="002E18C7">
            <w:pPr>
              <w:jc w:val="center"/>
              <w:textAlignment w:val="bottom"/>
            </w:pPr>
            <w:r>
              <w:rPr>
                <w:rFonts w:ascii="sans-serif" w:eastAsia="sans-serif" w:hAnsi="sans-serif" w:cs="sans-serif"/>
                <w:b/>
                <w:bCs/>
                <w:color w:val="000000"/>
                <w:sz w:val="15"/>
                <w:szCs w:val="15"/>
              </w:rPr>
              <w:t>Additional Paid-in Capital</w:t>
            </w:r>
          </w:p>
        </w:tc>
        <w:tc>
          <w:tcPr>
            <w:tcW w:w="0" w:type="auto"/>
            <w:gridSpan w:val="3"/>
            <w:shd w:val="clear" w:color="auto" w:fill="auto"/>
            <w:tcMar>
              <w:top w:w="0" w:type="dxa"/>
              <w:left w:w="20" w:type="dxa"/>
              <w:bottom w:w="0" w:type="dxa"/>
              <w:right w:w="20" w:type="dxa"/>
            </w:tcMar>
            <w:vAlign w:val="bottom"/>
          </w:tcPr>
          <w:p w14:paraId="54066340" w14:textId="77777777" w:rsidR="00611BDD" w:rsidRDefault="00611BD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4066341" w14:textId="77777777" w:rsidR="00611BDD" w:rsidRDefault="002E18C7">
            <w:pPr>
              <w:jc w:val="center"/>
              <w:textAlignment w:val="bottom"/>
            </w:pPr>
            <w:r>
              <w:rPr>
                <w:rFonts w:ascii="sans-serif" w:eastAsia="sans-serif" w:hAnsi="sans-serif" w:cs="sans-serif"/>
                <w:b/>
                <w:bCs/>
                <w:color w:val="000000"/>
                <w:sz w:val="15"/>
                <w:szCs w:val="15"/>
              </w:rPr>
              <w:t>Treasury Stock</w:t>
            </w:r>
          </w:p>
        </w:tc>
        <w:tc>
          <w:tcPr>
            <w:tcW w:w="0" w:type="auto"/>
            <w:gridSpan w:val="3"/>
            <w:shd w:val="clear" w:color="auto" w:fill="auto"/>
            <w:tcMar>
              <w:top w:w="0" w:type="dxa"/>
              <w:left w:w="20" w:type="dxa"/>
              <w:bottom w:w="0" w:type="dxa"/>
              <w:right w:w="20" w:type="dxa"/>
            </w:tcMar>
            <w:vAlign w:val="bottom"/>
          </w:tcPr>
          <w:p w14:paraId="54066342" w14:textId="77777777" w:rsidR="00611BDD" w:rsidRDefault="00611BD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4066343" w14:textId="77777777" w:rsidR="00611BDD" w:rsidRDefault="002E18C7">
            <w:pPr>
              <w:jc w:val="center"/>
              <w:textAlignment w:val="bottom"/>
            </w:pPr>
            <w:r>
              <w:rPr>
                <w:rFonts w:ascii="sans-serif" w:eastAsia="sans-serif" w:hAnsi="sans-serif" w:cs="sans-serif"/>
                <w:b/>
                <w:bCs/>
                <w:color w:val="000000"/>
                <w:sz w:val="15"/>
                <w:szCs w:val="15"/>
              </w:rPr>
              <w:t>Accumulated Other Comprehensive Income (Loss)</w:t>
            </w:r>
          </w:p>
        </w:tc>
        <w:tc>
          <w:tcPr>
            <w:tcW w:w="0" w:type="auto"/>
            <w:gridSpan w:val="3"/>
            <w:shd w:val="clear" w:color="auto" w:fill="auto"/>
            <w:tcMar>
              <w:top w:w="0" w:type="dxa"/>
              <w:left w:w="20" w:type="dxa"/>
              <w:bottom w:w="0" w:type="dxa"/>
              <w:right w:w="20" w:type="dxa"/>
            </w:tcMar>
            <w:vAlign w:val="bottom"/>
          </w:tcPr>
          <w:p w14:paraId="54066344" w14:textId="77777777" w:rsidR="00611BDD" w:rsidRDefault="00611BD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4066345" w14:textId="77777777" w:rsidR="00611BDD" w:rsidRDefault="002E18C7">
            <w:pPr>
              <w:jc w:val="center"/>
              <w:textAlignment w:val="bottom"/>
            </w:pPr>
            <w:r>
              <w:rPr>
                <w:rFonts w:ascii="sans-serif" w:eastAsia="sans-serif" w:hAnsi="sans-serif" w:cs="sans-serif"/>
                <w:b/>
                <w:bCs/>
                <w:color w:val="000000"/>
                <w:sz w:val="15"/>
                <w:szCs w:val="15"/>
              </w:rPr>
              <w:t>Retained Earnings</w:t>
            </w:r>
          </w:p>
        </w:tc>
        <w:tc>
          <w:tcPr>
            <w:tcW w:w="0" w:type="auto"/>
            <w:gridSpan w:val="3"/>
            <w:shd w:val="clear" w:color="auto" w:fill="auto"/>
            <w:tcMar>
              <w:top w:w="0" w:type="dxa"/>
              <w:left w:w="20" w:type="dxa"/>
              <w:bottom w:w="0" w:type="dxa"/>
              <w:right w:w="20" w:type="dxa"/>
            </w:tcMar>
            <w:vAlign w:val="bottom"/>
          </w:tcPr>
          <w:p w14:paraId="54066346" w14:textId="77777777" w:rsidR="00611BDD" w:rsidRDefault="00611BD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4066347" w14:textId="77777777" w:rsidR="00611BDD" w:rsidRDefault="002E18C7">
            <w:pPr>
              <w:jc w:val="center"/>
              <w:textAlignment w:val="bottom"/>
            </w:pPr>
            <w:r>
              <w:rPr>
                <w:rFonts w:ascii="sans-serif" w:eastAsia="sans-serif" w:hAnsi="sans-serif" w:cs="sans-serif"/>
                <w:b/>
                <w:bCs/>
                <w:color w:val="000000"/>
                <w:sz w:val="15"/>
                <w:szCs w:val="15"/>
              </w:rPr>
              <w:t>Total Shareholders' Equity</w:t>
            </w:r>
          </w:p>
        </w:tc>
      </w:tr>
      <w:tr w:rsidR="00611BDD" w14:paraId="54066357" w14:textId="77777777">
        <w:trPr>
          <w:trHeight w:val="240"/>
          <w:jc w:val="center"/>
        </w:trPr>
        <w:tc>
          <w:tcPr>
            <w:tcW w:w="0" w:type="auto"/>
            <w:gridSpan w:val="3"/>
            <w:shd w:val="clear" w:color="auto" w:fill="auto"/>
            <w:tcMar>
              <w:top w:w="40" w:type="dxa"/>
              <w:left w:w="20" w:type="dxa"/>
              <w:bottom w:w="40" w:type="dxa"/>
              <w:right w:w="20" w:type="dxa"/>
            </w:tcMar>
            <w:vAlign w:val="bottom"/>
          </w:tcPr>
          <w:p w14:paraId="54066349" w14:textId="77777777" w:rsidR="00611BDD" w:rsidRDefault="002E18C7">
            <w:pPr>
              <w:textAlignment w:val="bottom"/>
            </w:pPr>
            <w:r>
              <w:rPr>
                <w:rFonts w:ascii="sans-serif" w:eastAsia="sans-serif" w:hAnsi="sans-serif" w:cs="sans-serif"/>
                <w:b/>
                <w:bCs/>
                <w:color w:val="000000"/>
                <w:sz w:val="15"/>
                <w:szCs w:val="15"/>
              </w:rPr>
              <w:t>(In millions, except per share data)</w:t>
            </w:r>
          </w:p>
        </w:tc>
        <w:tc>
          <w:tcPr>
            <w:tcW w:w="0" w:type="auto"/>
            <w:gridSpan w:val="3"/>
            <w:shd w:val="clear" w:color="auto" w:fill="auto"/>
            <w:tcMar>
              <w:top w:w="40" w:type="dxa"/>
              <w:left w:w="20" w:type="dxa"/>
              <w:bottom w:w="40" w:type="dxa"/>
              <w:right w:w="20" w:type="dxa"/>
            </w:tcMar>
            <w:vAlign w:val="bottom"/>
          </w:tcPr>
          <w:p w14:paraId="5406634A" w14:textId="77777777" w:rsidR="00611BDD" w:rsidRDefault="002E18C7">
            <w:pPr>
              <w:jc w:val="center"/>
              <w:textAlignment w:val="bottom"/>
            </w:pPr>
            <w:r>
              <w:rPr>
                <w:rFonts w:ascii="sans-serif" w:eastAsia="sans-serif" w:hAnsi="sans-serif" w:cs="sans-serif"/>
                <w:b/>
                <w:bCs/>
                <w:color w:val="000000"/>
                <w:sz w:val="15"/>
                <w:szCs w:val="15"/>
              </w:rPr>
              <w:t>Shares</w:t>
            </w:r>
          </w:p>
        </w:tc>
        <w:tc>
          <w:tcPr>
            <w:tcW w:w="0" w:type="auto"/>
            <w:gridSpan w:val="3"/>
            <w:shd w:val="clear" w:color="auto" w:fill="auto"/>
            <w:tcMar>
              <w:top w:w="0" w:type="dxa"/>
              <w:left w:w="20" w:type="dxa"/>
              <w:bottom w:w="0" w:type="dxa"/>
              <w:right w:w="20" w:type="dxa"/>
            </w:tcMar>
            <w:vAlign w:val="bottom"/>
          </w:tcPr>
          <w:p w14:paraId="5406634B"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634C" w14:textId="77777777" w:rsidR="00611BDD" w:rsidRDefault="002E18C7">
            <w:pPr>
              <w:jc w:val="center"/>
              <w:textAlignment w:val="bottom"/>
            </w:pPr>
            <w:r>
              <w:rPr>
                <w:rFonts w:ascii="sans-serif" w:eastAsia="sans-serif" w:hAnsi="sans-serif" w:cs="sans-serif"/>
                <w:b/>
                <w:bCs/>
                <w:color w:val="000000"/>
                <w:sz w:val="15"/>
                <w:szCs w:val="15"/>
              </w:rPr>
              <w:t>Amount</w:t>
            </w:r>
          </w:p>
        </w:tc>
        <w:tc>
          <w:tcPr>
            <w:tcW w:w="0" w:type="auto"/>
            <w:gridSpan w:val="3"/>
            <w:shd w:val="clear" w:color="auto" w:fill="auto"/>
            <w:tcMar>
              <w:top w:w="0" w:type="dxa"/>
              <w:left w:w="20" w:type="dxa"/>
              <w:bottom w:w="0" w:type="dxa"/>
              <w:right w:w="20" w:type="dxa"/>
            </w:tcMar>
            <w:vAlign w:val="bottom"/>
          </w:tcPr>
          <w:p w14:paraId="5406634D" w14:textId="77777777" w:rsidR="00611BDD" w:rsidRDefault="00611BDD">
            <w:pPr>
              <w:rPr>
                <w:rFonts w:ascii="宋体"/>
              </w:rPr>
            </w:pPr>
          </w:p>
        </w:tc>
        <w:tc>
          <w:tcPr>
            <w:tcW w:w="0" w:type="auto"/>
            <w:gridSpan w:val="3"/>
            <w:vMerge/>
            <w:shd w:val="clear" w:color="auto" w:fill="auto"/>
            <w:tcMar>
              <w:top w:w="40" w:type="dxa"/>
              <w:left w:w="20" w:type="dxa"/>
              <w:bottom w:w="40" w:type="dxa"/>
              <w:right w:w="20" w:type="dxa"/>
            </w:tcMar>
            <w:vAlign w:val="bottom"/>
          </w:tcPr>
          <w:p w14:paraId="5406634E" w14:textId="77777777" w:rsidR="00611BDD" w:rsidRDefault="00611BDD">
            <w:pPr>
              <w:jc w:val="center"/>
              <w:rPr>
                <w:rFonts w:ascii="宋体"/>
              </w:rPr>
            </w:pPr>
          </w:p>
        </w:tc>
        <w:tc>
          <w:tcPr>
            <w:tcW w:w="0" w:type="auto"/>
            <w:gridSpan w:val="3"/>
            <w:shd w:val="clear" w:color="auto" w:fill="auto"/>
            <w:tcMar>
              <w:top w:w="0" w:type="dxa"/>
              <w:left w:w="20" w:type="dxa"/>
              <w:bottom w:w="0" w:type="dxa"/>
              <w:right w:w="20" w:type="dxa"/>
            </w:tcMar>
            <w:vAlign w:val="bottom"/>
          </w:tcPr>
          <w:p w14:paraId="5406634F" w14:textId="77777777" w:rsidR="00611BDD" w:rsidRDefault="00611BDD">
            <w:pPr>
              <w:rPr>
                <w:rFonts w:ascii="宋体"/>
              </w:rPr>
            </w:pPr>
          </w:p>
        </w:tc>
        <w:tc>
          <w:tcPr>
            <w:tcW w:w="0" w:type="auto"/>
            <w:gridSpan w:val="3"/>
            <w:vMerge/>
            <w:shd w:val="clear" w:color="auto" w:fill="auto"/>
            <w:tcMar>
              <w:top w:w="40" w:type="dxa"/>
              <w:left w:w="20" w:type="dxa"/>
              <w:bottom w:w="40" w:type="dxa"/>
              <w:right w:w="20" w:type="dxa"/>
            </w:tcMar>
            <w:vAlign w:val="bottom"/>
          </w:tcPr>
          <w:p w14:paraId="54066350" w14:textId="77777777" w:rsidR="00611BDD" w:rsidRDefault="00611BDD">
            <w:pPr>
              <w:jc w:val="center"/>
              <w:rPr>
                <w:rFonts w:ascii="宋体"/>
              </w:rPr>
            </w:pPr>
          </w:p>
        </w:tc>
        <w:tc>
          <w:tcPr>
            <w:tcW w:w="0" w:type="auto"/>
            <w:gridSpan w:val="3"/>
            <w:shd w:val="clear" w:color="auto" w:fill="auto"/>
            <w:tcMar>
              <w:top w:w="0" w:type="dxa"/>
              <w:left w:w="20" w:type="dxa"/>
              <w:bottom w:w="0" w:type="dxa"/>
              <w:right w:w="20" w:type="dxa"/>
            </w:tcMar>
            <w:vAlign w:val="bottom"/>
          </w:tcPr>
          <w:p w14:paraId="54066351" w14:textId="77777777" w:rsidR="00611BDD" w:rsidRDefault="00611BDD">
            <w:pPr>
              <w:rPr>
                <w:rFonts w:ascii="宋体"/>
              </w:rPr>
            </w:pPr>
          </w:p>
        </w:tc>
        <w:tc>
          <w:tcPr>
            <w:tcW w:w="0" w:type="auto"/>
            <w:gridSpan w:val="3"/>
            <w:vMerge/>
            <w:shd w:val="clear" w:color="auto" w:fill="auto"/>
            <w:tcMar>
              <w:top w:w="40" w:type="dxa"/>
              <w:left w:w="20" w:type="dxa"/>
              <w:bottom w:w="40" w:type="dxa"/>
              <w:right w:w="20" w:type="dxa"/>
            </w:tcMar>
            <w:vAlign w:val="bottom"/>
          </w:tcPr>
          <w:p w14:paraId="54066352" w14:textId="77777777" w:rsidR="00611BDD" w:rsidRDefault="00611BDD">
            <w:pPr>
              <w:jc w:val="center"/>
              <w:rPr>
                <w:rFonts w:ascii="宋体"/>
              </w:rPr>
            </w:pPr>
          </w:p>
        </w:tc>
        <w:tc>
          <w:tcPr>
            <w:tcW w:w="0" w:type="auto"/>
            <w:gridSpan w:val="3"/>
            <w:shd w:val="clear" w:color="auto" w:fill="auto"/>
            <w:tcMar>
              <w:top w:w="0" w:type="dxa"/>
              <w:left w:w="20" w:type="dxa"/>
              <w:bottom w:w="0" w:type="dxa"/>
              <w:right w:w="20" w:type="dxa"/>
            </w:tcMar>
            <w:vAlign w:val="bottom"/>
          </w:tcPr>
          <w:p w14:paraId="54066353" w14:textId="77777777" w:rsidR="00611BDD" w:rsidRDefault="00611BDD">
            <w:pPr>
              <w:rPr>
                <w:rFonts w:ascii="宋体"/>
              </w:rPr>
            </w:pPr>
          </w:p>
        </w:tc>
        <w:tc>
          <w:tcPr>
            <w:tcW w:w="0" w:type="auto"/>
            <w:gridSpan w:val="3"/>
            <w:vMerge/>
            <w:shd w:val="clear" w:color="auto" w:fill="auto"/>
            <w:tcMar>
              <w:top w:w="40" w:type="dxa"/>
              <w:left w:w="20" w:type="dxa"/>
              <w:bottom w:w="40" w:type="dxa"/>
              <w:right w:w="20" w:type="dxa"/>
            </w:tcMar>
            <w:vAlign w:val="bottom"/>
          </w:tcPr>
          <w:p w14:paraId="54066354" w14:textId="77777777" w:rsidR="00611BDD" w:rsidRDefault="00611BDD">
            <w:pPr>
              <w:jc w:val="center"/>
              <w:rPr>
                <w:rFonts w:ascii="宋体"/>
              </w:rPr>
            </w:pPr>
          </w:p>
        </w:tc>
        <w:tc>
          <w:tcPr>
            <w:tcW w:w="0" w:type="auto"/>
            <w:gridSpan w:val="3"/>
            <w:shd w:val="clear" w:color="auto" w:fill="auto"/>
            <w:tcMar>
              <w:top w:w="0" w:type="dxa"/>
              <w:left w:w="20" w:type="dxa"/>
              <w:bottom w:w="0" w:type="dxa"/>
              <w:right w:w="20" w:type="dxa"/>
            </w:tcMar>
            <w:vAlign w:val="bottom"/>
          </w:tcPr>
          <w:p w14:paraId="54066355" w14:textId="77777777" w:rsidR="00611BDD" w:rsidRDefault="00611BDD">
            <w:pPr>
              <w:rPr>
                <w:rFonts w:ascii="宋体"/>
              </w:rPr>
            </w:pPr>
          </w:p>
        </w:tc>
        <w:tc>
          <w:tcPr>
            <w:tcW w:w="0" w:type="auto"/>
            <w:gridSpan w:val="3"/>
            <w:vMerge/>
            <w:shd w:val="clear" w:color="auto" w:fill="auto"/>
            <w:tcMar>
              <w:top w:w="40" w:type="dxa"/>
              <w:left w:w="20" w:type="dxa"/>
              <w:bottom w:w="40" w:type="dxa"/>
              <w:right w:w="20" w:type="dxa"/>
            </w:tcMar>
            <w:vAlign w:val="bottom"/>
          </w:tcPr>
          <w:p w14:paraId="54066356" w14:textId="77777777" w:rsidR="00611BDD" w:rsidRDefault="00611BDD">
            <w:pPr>
              <w:jc w:val="center"/>
              <w:rPr>
                <w:rFonts w:ascii="宋体"/>
              </w:rPr>
            </w:pPr>
          </w:p>
        </w:tc>
      </w:tr>
      <w:tr w:rsidR="00611BDD" w14:paraId="54066373" w14:textId="77777777">
        <w:trPr>
          <w:jc w:val="center"/>
        </w:trPr>
        <w:tc>
          <w:tcPr>
            <w:tcW w:w="0" w:type="auto"/>
            <w:gridSpan w:val="3"/>
            <w:shd w:val="clear" w:color="auto" w:fill="E2EFD9"/>
            <w:tcMar>
              <w:top w:w="40" w:type="dxa"/>
              <w:left w:w="20" w:type="dxa"/>
              <w:bottom w:w="40" w:type="dxa"/>
              <w:right w:w="20" w:type="dxa"/>
            </w:tcMar>
            <w:vAlign w:val="bottom"/>
          </w:tcPr>
          <w:p w14:paraId="54066358" w14:textId="77777777" w:rsidR="00611BDD" w:rsidRDefault="002E18C7">
            <w:pPr>
              <w:textAlignment w:val="bottom"/>
            </w:pPr>
            <w:r>
              <w:rPr>
                <w:rFonts w:ascii="sans-serif" w:eastAsia="sans-serif" w:hAnsi="sans-serif" w:cs="sans-serif"/>
                <w:color w:val="000000"/>
                <w:sz w:val="15"/>
                <w:szCs w:val="15"/>
              </w:rPr>
              <w:t>Balances, May 2, 2021</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6359" w14:textId="77777777" w:rsidR="00611BDD" w:rsidRDefault="002E18C7">
            <w:pPr>
              <w:jc w:val="right"/>
              <w:textAlignment w:val="bottom"/>
            </w:pPr>
            <w:r>
              <w:rPr>
                <w:rFonts w:ascii="sans-serif" w:eastAsia="sans-serif" w:hAnsi="sans-serif" w:cs="sans-serif"/>
                <w:color w:val="000000"/>
                <w:sz w:val="15"/>
                <w:szCs w:val="15"/>
              </w:rPr>
              <w:t>2,491 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35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35B" w14:textId="77777777" w:rsidR="00611BDD" w:rsidRDefault="00611BD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406635C"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406635D" w14:textId="77777777" w:rsidR="00611BDD" w:rsidRDefault="002E18C7">
            <w:pPr>
              <w:jc w:val="right"/>
              <w:textAlignment w:val="bottom"/>
            </w:pPr>
            <w:r>
              <w:rPr>
                <w:rFonts w:ascii="sans-serif" w:eastAsia="sans-serif" w:hAnsi="sans-serif" w:cs="sans-serif"/>
                <w:color w:val="000000"/>
                <w:sz w:val="15"/>
                <w:szCs w:val="15"/>
              </w:rPr>
              <w:t>3 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35E"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35F" w14:textId="77777777" w:rsidR="00611BDD" w:rsidRDefault="00611BD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4066360"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4066361" w14:textId="77777777" w:rsidR="00611BDD" w:rsidRDefault="002E18C7">
            <w:pPr>
              <w:jc w:val="right"/>
              <w:textAlignment w:val="bottom"/>
            </w:pPr>
            <w:r>
              <w:rPr>
                <w:rFonts w:ascii="sans-serif" w:eastAsia="sans-serif" w:hAnsi="sans-serif" w:cs="sans-serif"/>
                <w:color w:val="000000"/>
                <w:sz w:val="15"/>
                <w:szCs w:val="15"/>
              </w:rPr>
              <w:t>9,278 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362"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363" w14:textId="77777777" w:rsidR="00611BDD" w:rsidRDefault="00611BD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4066364"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4066365" w14:textId="77777777" w:rsidR="00611BDD" w:rsidRDefault="002E18C7">
            <w:pPr>
              <w:jc w:val="right"/>
              <w:textAlignment w:val="bottom"/>
            </w:pPr>
            <w:r>
              <w:rPr>
                <w:rFonts w:ascii="sans-serif" w:eastAsia="sans-serif" w:hAnsi="sans-serif" w:cs="sans-serif"/>
                <w:color w:val="000000"/>
                <w:sz w:val="15"/>
                <w:szCs w:val="15"/>
              </w:rPr>
              <w:t>(11,242)</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36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367" w14:textId="77777777" w:rsidR="00611BDD" w:rsidRDefault="00611BD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4066368"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4066369" w14:textId="77777777" w:rsidR="00611BDD" w:rsidRDefault="002E18C7">
            <w:pPr>
              <w:jc w:val="right"/>
              <w:textAlignment w:val="bottom"/>
            </w:pPr>
            <w:r>
              <w:rPr>
                <w:rFonts w:ascii="sans-serif" w:eastAsia="sans-serif" w:hAnsi="sans-serif" w:cs="sans-serif"/>
                <w:color w:val="000000"/>
                <w:sz w:val="15"/>
                <w:szCs w:val="15"/>
              </w:rPr>
              <w:t>14 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36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36B" w14:textId="77777777" w:rsidR="00611BDD" w:rsidRDefault="00611BD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406636C"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406636D" w14:textId="77777777" w:rsidR="00611BDD" w:rsidRDefault="002E18C7">
            <w:pPr>
              <w:jc w:val="right"/>
              <w:textAlignment w:val="bottom"/>
            </w:pPr>
            <w:r>
              <w:rPr>
                <w:rFonts w:ascii="sans-serif" w:eastAsia="sans-serif" w:hAnsi="sans-serif" w:cs="sans-serif"/>
                <w:color w:val="000000"/>
                <w:sz w:val="15"/>
                <w:szCs w:val="15"/>
              </w:rPr>
              <w:t>20,721 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36E"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36F" w14:textId="77777777" w:rsidR="00611BDD" w:rsidRDefault="00611BD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4066370"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4066371" w14:textId="77777777" w:rsidR="00611BDD" w:rsidRDefault="002E18C7">
            <w:pPr>
              <w:jc w:val="right"/>
              <w:textAlignment w:val="bottom"/>
            </w:pPr>
            <w:r>
              <w:rPr>
                <w:rFonts w:ascii="sans-serif" w:eastAsia="sans-serif" w:hAnsi="sans-serif" w:cs="sans-serif"/>
                <w:color w:val="000000"/>
                <w:sz w:val="15"/>
                <w:szCs w:val="15"/>
              </w:rPr>
              <w:t>18,774 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372" w14:textId="77777777" w:rsidR="00611BDD" w:rsidRDefault="00611BDD">
            <w:pPr>
              <w:jc w:val="right"/>
              <w:rPr>
                <w:rFonts w:ascii="宋体"/>
              </w:rPr>
            </w:pPr>
          </w:p>
        </w:tc>
      </w:tr>
      <w:tr w:rsidR="00611BDD" w14:paraId="54066389" w14:textId="77777777">
        <w:trPr>
          <w:jc w:val="center"/>
        </w:trPr>
        <w:tc>
          <w:tcPr>
            <w:tcW w:w="0" w:type="auto"/>
            <w:gridSpan w:val="3"/>
            <w:shd w:val="clear" w:color="auto" w:fill="FFFFFF"/>
            <w:tcMar>
              <w:top w:w="40" w:type="dxa"/>
              <w:left w:w="20" w:type="dxa"/>
              <w:bottom w:w="40" w:type="dxa"/>
              <w:right w:w="20" w:type="dxa"/>
            </w:tcMar>
            <w:vAlign w:val="bottom"/>
          </w:tcPr>
          <w:p w14:paraId="54066374" w14:textId="77777777" w:rsidR="00611BDD" w:rsidRDefault="002E18C7">
            <w:pPr>
              <w:textAlignment w:val="bottom"/>
            </w:pPr>
            <w:r>
              <w:rPr>
                <w:rFonts w:ascii="sans-serif" w:eastAsia="sans-serif" w:hAnsi="sans-serif" w:cs="sans-serif"/>
                <w:color w:val="000000"/>
                <w:sz w:val="15"/>
                <w:szCs w:val="15"/>
              </w:rPr>
              <w:t>Net income</w:t>
            </w:r>
          </w:p>
        </w:tc>
        <w:tc>
          <w:tcPr>
            <w:tcW w:w="0" w:type="auto"/>
            <w:gridSpan w:val="2"/>
            <w:shd w:val="clear" w:color="auto" w:fill="FFFFFF"/>
            <w:tcMar>
              <w:top w:w="40" w:type="dxa"/>
              <w:left w:w="20" w:type="dxa"/>
              <w:bottom w:w="40" w:type="dxa"/>
              <w:right w:w="0" w:type="dxa"/>
            </w:tcMar>
            <w:vAlign w:val="bottom"/>
          </w:tcPr>
          <w:p w14:paraId="54066375"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37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377"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378"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37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37A"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37B"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37C"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37D"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37E"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37F"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380"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381"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382"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383"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384" w14:textId="77777777" w:rsidR="00611BDD" w:rsidRDefault="002E18C7">
            <w:pPr>
              <w:jc w:val="right"/>
              <w:textAlignment w:val="bottom"/>
            </w:pPr>
            <w:r>
              <w:rPr>
                <w:rFonts w:ascii="sans-serif" w:eastAsia="sans-serif" w:hAnsi="sans-serif" w:cs="sans-serif"/>
                <w:color w:val="000000"/>
                <w:sz w:val="15"/>
                <w:szCs w:val="15"/>
              </w:rPr>
              <w:t>2,374 </w:t>
            </w:r>
          </w:p>
        </w:tc>
        <w:tc>
          <w:tcPr>
            <w:tcW w:w="0" w:type="auto"/>
            <w:shd w:val="clear" w:color="auto" w:fill="FFFFFF"/>
            <w:tcMar>
              <w:top w:w="40" w:type="dxa"/>
              <w:left w:w="0" w:type="dxa"/>
              <w:bottom w:w="40" w:type="dxa"/>
              <w:right w:w="20" w:type="dxa"/>
            </w:tcMar>
            <w:vAlign w:val="bottom"/>
          </w:tcPr>
          <w:p w14:paraId="54066385"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386"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387" w14:textId="77777777" w:rsidR="00611BDD" w:rsidRDefault="002E18C7">
            <w:pPr>
              <w:jc w:val="right"/>
              <w:textAlignment w:val="bottom"/>
            </w:pPr>
            <w:r>
              <w:rPr>
                <w:rFonts w:ascii="sans-serif" w:eastAsia="sans-serif" w:hAnsi="sans-serif" w:cs="sans-serif"/>
                <w:color w:val="000000"/>
                <w:sz w:val="15"/>
                <w:szCs w:val="15"/>
              </w:rPr>
              <w:t>2,374 </w:t>
            </w:r>
          </w:p>
        </w:tc>
        <w:tc>
          <w:tcPr>
            <w:tcW w:w="0" w:type="auto"/>
            <w:shd w:val="clear" w:color="auto" w:fill="FFFFFF"/>
            <w:tcMar>
              <w:top w:w="40" w:type="dxa"/>
              <w:left w:w="0" w:type="dxa"/>
              <w:bottom w:w="40" w:type="dxa"/>
              <w:right w:w="20" w:type="dxa"/>
            </w:tcMar>
            <w:vAlign w:val="bottom"/>
          </w:tcPr>
          <w:p w14:paraId="54066388" w14:textId="77777777" w:rsidR="00611BDD" w:rsidRDefault="00611BDD">
            <w:pPr>
              <w:jc w:val="right"/>
              <w:rPr>
                <w:rFonts w:ascii="宋体"/>
              </w:rPr>
            </w:pPr>
          </w:p>
        </w:tc>
      </w:tr>
      <w:tr w:rsidR="00611BDD" w14:paraId="5406639F" w14:textId="77777777">
        <w:trPr>
          <w:jc w:val="center"/>
        </w:trPr>
        <w:tc>
          <w:tcPr>
            <w:tcW w:w="0" w:type="auto"/>
            <w:gridSpan w:val="3"/>
            <w:shd w:val="clear" w:color="auto" w:fill="E2EFD9"/>
            <w:tcMar>
              <w:top w:w="40" w:type="dxa"/>
              <w:left w:w="20" w:type="dxa"/>
              <w:bottom w:w="40" w:type="dxa"/>
              <w:right w:w="20" w:type="dxa"/>
            </w:tcMar>
            <w:vAlign w:val="bottom"/>
          </w:tcPr>
          <w:p w14:paraId="5406638A" w14:textId="77777777" w:rsidR="00611BDD" w:rsidRDefault="002E18C7">
            <w:pPr>
              <w:textAlignment w:val="bottom"/>
            </w:pPr>
            <w:r>
              <w:rPr>
                <w:rFonts w:ascii="sans-serif" w:eastAsia="sans-serif" w:hAnsi="sans-serif" w:cs="sans-serif"/>
                <w:color w:val="000000"/>
                <w:sz w:val="15"/>
                <w:szCs w:val="15"/>
              </w:rPr>
              <w:t>Other comprehensive loss</w:t>
            </w:r>
          </w:p>
        </w:tc>
        <w:tc>
          <w:tcPr>
            <w:tcW w:w="0" w:type="auto"/>
            <w:gridSpan w:val="2"/>
            <w:shd w:val="clear" w:color="auto" w:fill="E2EFD9"/>
            <w:tcMar>
              <w:top w:w="40" w:type="dxa"/>
              <w:left w:w="20" w:type="dxa"/>
              <w:bottom w:w="40" w:type="dxa"/>
              <w:right w:w="0" w:type="dxa"/>
            </w:tcMar>
            <w:vAlign w:val="bottom"/>
          </w:tcPr>
          <w:p w14:paraId="5406638B"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38C"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38D"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38E"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38F"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390"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391"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392"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393"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394"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395"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396"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397" w14:textId="77777777" w:rsidR="00611BDD" w:rsidRDefault="002E18C7">
            <w:pPr>
              <w:jc w:val="right"/>
              <w:textAlignment w:val="bottom"/>
            </w:pPr>
            <w:r>
              <w:rPr>
                <w:rFonts w:ascii="sans-serif" w:eastAsia="sans-serif" w:hAnsi="sans-serif" w:cs="sans-serif"/>
                <w:color w:val="000000"/>
                <w:sz w:val="15"/>
                <w:szCs w:val="15"/>
              </w:rPr>
              <w:t>(6)</w:t>
            </w:r>
          </w:p>
        </w:tc>
        <w:tc>
          <w:tcPr>
            <w:tcW w:w="0" w:type="auto"/>
            <w:shd w:val="clear" w:color="auto" w:fill="E2EFD9"/>
            <w:tcMar>
              <w:top w:w="40" w:type="dxa"/>
              <w:left w:w="0" w:type="dxa"/>
              <w:bottom w:w="40" w:type="dxa"/>
              <w:right w:w="20" w:type="dxa"/>
            </w:tcMar>
            <w:vAlign w:val="bottom"/>
          </w:tcPr>
          <w:p w14:paraId="54066398"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399"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39A"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39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39C"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39D" w14:textId="77777777" w:rsidR="00611BDD" w:rsidRDefault="002E18C7">
            <w:pPr>
              <w:jc w:val="right"/>
              <w:textAlignment w:val="bottom"/>
            </w:pPr>
            <w:r>
              <w:rPr>
                <w:rFonts w:ascii="sans-serif" w:eastAsia="sans-serif" w:hAnsi="sans-serif" w:cs="sans-serif"/>
                <w:color w:val="000000"/>
                <w:sz w:val="15"/>
                <w:szCs w:val="15"/>
              </w:rPr>
              <w:t>(6)</w:t>
            </w:r>
          </w:p>
        </w:tc>
        <w:tc>
          <w:tcPr>
            <w:tcW w:w="0" w:type="auto"/>
            <w:shd w:val="clear" w:color="auto" w:fill="E2EFD9"/>
            <w:tcMar>
              <w:top w:w="40" w:type="dxa"/>
              <w:left w:w="0" w:type="dxa"/>
              <w:bottom w:w="40" w:type="dxa"/>
              <w:right w:w="20" w:type="dxa"/>
            </w:tcMar>
            <w:vAlign w:val="bottom"/>
          </w:tcPr>
          <w:p w14:paraId="5406639E" w14:textId="77777777" w:rsidR="00611BDD" w:rsidRDefault="00611BDD">
            <w:pPr>
              <w:jc w:val="right"/>
              <w:rPr>
                <w:rFonts w:ascii="宋体"/>
              </w:rPr>
            </w:pPr>
          </w:p>
        </w:tc>
      </w:tr>
      <w:tr w:rsidR="00611BDD" w14:paraId="540663B5" w14:textId="77777777">
        <w:trPr>
          <w:jc w:val="center"/>
        </w:trPr>
        <w:tc>
          <w:tcPr>
            <w:tcW w:w="0" w:type="auto"/>
            <w:gridSpan w:val="3"/>
            <w:shd w:val="clear" w:color="auto" w:fill="FFFFFF"/>
            <w:tcMar>
              <w:top w:w="40" w:type="dxa"/>
              <w:left w:w="20" w:type="dxa"/>
              <w:bottom w:w="40" w:type="dxa"/>
              <w:right w:w="20" w:type="dxa"/>
            </w:tcMar>
            <w:vAlign w:val="bottom"/>
          </w:tcPr>
          <w:p w14:paraId="540663A0" w14:textId="77777777" w:rsidR="00611BDD" w:rsidRDefault="002E18C7">
            <w:pPr>
              <w:textAlignment w:val="bottom"/>
            </w:pPr>
            <w:r>
              <w:rPr>
                <w:rFonts w:ascii="sans-serif" w:eastAsia="sans-serif" w:hAnsi="sans-serif" w:cs="sans-serif"/>
                <w:color w:val="000000"/>
                <w:sz w:val="15"/>
                <w:szCs w:val="15"/>
              </w:rPr>
              <w:t>Issuance of common stock from stock plans </w:t>
            </w:r>
          </w:p>
        </w:tc>
        <w:tc>
          <w:tcPr>
            <w:tcW w:w="0" w:type="auto"/>
            <w:gridSpan w:val="2"/>
            <w:shd w:val="clear" w:color="auto" w:fill="FFFFFF"/>
            <w:tcMar>
              <w:top w:w="40" w:type="dxa"/>
              <w:left w:w="20" w:type="dxa"/>
              <w:bottom w:w="40" w:type="dxa"/>
              <w:right w:w="0" w:type="dxa"/>
            </w:tcMar>
            <w:vAlign w:val="bottom"/>
          </w:tcPr>
          <w:p w14:paraId="540663A1" w14:textId="77777777" w:rsidR="00611BDD" w:rsidRDefault="002E18C7">
            <w:pPr>
              <w:jc w:val="right"/>
              <w:textAlignment w:val="bottom"/>
            </w:pPr>
            <w:r>
              <w:rPr>
                <w:rFonts w:ascii="sans-serif" w:eastAsia="sans-serif" w:hAnsi="sans-serif" w:cs="sans-serif"/>
                <w:color w:val="000000"/>
                <w:sz w:val="15"/>
                <w:szCs w:val="15"/>
              </w:rPr>
              <w:t>7 </w:t>
            </w:r>
          </w:p>
        </w:tc>
        <w:tc>
          <w:tcPr>
            <w:tcW w:w="0" w:type="auto"/>
            <w:shd w:val="clear" w:color="auto" w:fill="FFFFFF"/>
            <w:tcMar>
              <w:top w:w="40" w:type="dxa"/>
              <w:left w:w="0" w:type="dxa"/>
              <w:bottom w:w="40" w:type="dxa"/>
              <w:right w:w="20" w:type="dxa"/>
            </w:tcMar>
            <w:vAlign w:val="bottom"/>
          </w:tcPr>
          <w:p w14:paraId="540663A2"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3A3"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3A4"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3A5"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3A6"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3A7" w14:textId="77777777" w:rsidR="00611BDD" w:rsidRDefault="002E18C7">
            <w:pPr>
              <w:jc w:val="right"/>
              <w:textAlignment w:val="bottom"/>
            </w:pPr>
            <w:r>
              <w:rPr>
                <w:rFonts w:ascii="sans-serif" w:eastAsia="sans-serif" w:hAnsi="sans-serif" w:cs="sans-serif"/>
                <w:color w:val="000000"/>
                <w:sz w:val="15"/>
                <w:szCs w:val="15"/>
              </w:rPr>
              <w:t>2 </w:t>
            </w:r>
          </w:p>
        </w:tc>
        <w:tc>
          <w:tcPr>
            <w:tcW w:w="0" w:type="auto"/>
            <w:shd w:val="clear" w:color="auto" w:fill="FFFFFF"/>
            <w:tcMar>
              <w:top w:w="40" w:type="dxa"/>
              <w:left w:w="0" w:type="dxa"/>
              <w:bottom w:w="40" w:type="dxa"/>
              <w:right w:w="20" w:type="dxa"/>
            </w:tcMar>
            <w:vAlign w:val="bottom"/>
          </w:tcPr>
          <w:p w14:paraId="540663A8"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3A9"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3AA"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3AB"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3AC"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3AD"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3AE"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3AF"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3B0"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3B1"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3B2"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3B3" w14:textId="77777777" w:rsidR="00611BDD" w:rsidRDefault="002E18C7">
            <w:pPr>
              <w:jc w:val="right"/>
              <w:textAlignment w:val="bottom"/>
            </w:pPr>
            <w:r>
              <w:rPr>
                <w:rFonts w:ascii="sans-serif" w:eastAsia="sans-serif" w:hAnsi="sans-serif" w:cs="sans-serif"/>
                <w:color w:val="000000"/>
                <w:sz w:val="15"/>
                <w:szCs w:val="15"/>
              </w:rPr>
              <w:t>2 </w:t>
            </w:r>
          </w:p>
        </w:tc>
        <w:tc>
          <w:tcPr>
            <w:tcW w:w="0" w:type="auto"/>
            <w:shd w:val="clear" w:color="auto" w:fill="FFFFFF"/>
            <w:tcMar>
              <w:top w:w="40" w:type="dxa"/>
              <w:left w:w="0" w:type="dxa"/>
              <w:bottom w:w="40" w:type="dxa"/>
              <w:right w:w="20" w:type="dxa"/>
            </w:tcMar>
            <w:vAlign w:val="bottom"/>
          </w:tcPr>
          <w:p w14:paraId="540663B4" w14:textId="77777777" w:rsidR="00611BDD" w:rsidRDefault="00611BDD">
            <w:pPr>
              <w:jc w:val="right"/>
              <w:rPr>
                <w:rFonts w:ascii="宋体"/>
              </w:rPr>
            </w:pPr>
          </w:p>
        </w:tc>
      </w:tr>
      <w:tr w:rsidR="00611BDD" w14:paraId="540663CB" w14:textId="77777777">
        <w:trPr>
          <w:jc w:val="center"/>
        </w:trPr>
        <w:tc>
          <w:tcPr>
            <w:tcW w:w="0" w:type="auto"/>
            <w:gridSpan w:val="3"/>
            <w:shd w:val="clear" w:color="auto" w:fill="E2EFD9"/>
            <w:tcMar>
              <w:top w:w="40" w:type="dxa"/>
              <w:left w:w="20" w:type="dxa"/>
              <w:bottom w:w="40" w:type="dxa"/>
              <w:right w:w="20" w:type="dxa"/>
            </w:tcMar>
            <w:vAlign w:val="bottom"/>
          </w:tcPr>
          <w:p w14:paraId="540663B6" w14:textId="77777777" w:rsidR="00611BDD" w:rsidRDefault="002E18C7">
            <w:pPr>
              <w:textAlignment w:val="bottom"/>
            </w:pPr>
            <w:r>
              <w:rPr>
                <w:rFonts w:ascii="sans-serif" w:eastAsia="sans-serif" w:hAnsi="sans-serif" w:cs="sans-serif"/>
                <w:color w:val="000000"/>
                <w:sz w:val="15"/>
                <w:szCs w:val="15"/>
              </w:rPr>
              <w:t>Tax withholding related to vesting of restricted stoc</w:t>
            </w:r>
            <w:r>
              <w:rPr>
                <w:rFonts w:ascii="sans-serif" w:eastAsia="sans-serif" w:hAnsi="sans-serif" w:cs="sans-serif"/>
                <w:color w:val="000000"/>
                <w:sz w:val="15"/>
                <w:szCs w:val="15"/>
              </w:rPr>
              <w:t>k units</w:t>
            </w:r>
          </w:p>
        </w:tc>
        <w:tc>
          <w:tcPr>
            <w:tcW w:w="0" w:type="auto"/>
            <w:gridSpan w:val="2"/>
            <w:shd w:val="clear" w:color="auto" w:fill="E2EFD9"/>
            <w:tcMar>
              <w:top w:w="40" w:type="dxa"/>
              <w:left w:w="20" w:type="dxa"/>
              <w:bottom w:w="40" w:type="dxa"/>
              <w:right w:w="0" w:type="dxa"/>
            </w:tcMar>
            <w:vAlign w:val="bottom"/>
          </w:tcPr>
          <w:p w14:paraId="540663B7" w14:textId="77777777" w:rsidR="00611BDD" w:rsidRDefault="002E18C7">
            <w:pPr>
              <w:jc w:val="right"/>
              <w:textAlignment w:val="bottom"/>
            </w:pPr>
            <w:r>
              <w:rPr>
                <w:rFonts w:ascii="sans-serif" w:eastAsia="sans-serif" w:hAnsi="sans-serif" w:cs="sans-serif"/>
                <w:color w:val="000000"/>
                <w:sz w:val="15"/>
                <w:szCs w:val="15"/>
              </w:rPr>
              <w:t>(2)</w:t>
            </w:r>
          </w:p>
        </w:tc>
        <w:tc>
          <w:tcPr>
            <w:tcW w:w="0" w:type="auto"/>
            <w:shd w:val="clear" w:color="auto" w:fill="E2EFD9"/>
            <w:tcMar>
              <w:top w:w="40" w:type="dxa"/>
              <w:left w:w="0" w:type="dxa"/>
              <w:bottom w:w="40" w:type="dxa"/>
              <w:right w:w="20" w:type="dxa"/>
            </w:tcMar>
            <w:vAlign w:val="bottom"/>
          </w:tcPr>
          <w:p w14:paraId="540663B8"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3B9"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3BA"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3B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3BC"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3BD"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3BE"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3BF"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3C0" w14:textId="77777777" w:rsidR="00611BDD" w:rsidRDefault="002E18C7">
            <w:pPr>
              <w:jc w:val="right"/>
              <w:textAlignment w:val="bottom"/>
            </w:pPr>
            <w:r>
              <w:rPr>
                <w:rFonts w:ascii="sans-serif" w:eastAsia="sans-serif" w:hAnsi="sans-serif" w:cs="sans-serif"/>
                <w:color w:val="000000"/>
                <w:sz w:val="15"/>
                <w:szCs w:val="15"/>
              </w:rPr>
              <w:t>(362)</w:t>
            </w:r>
          </w:p>
        </w:tc>
        <w:tc>
          <w:tcPr>
            <w:tcW w:w="0" w:type="auto"/>
            <w:shd w:val="clear" w:color="auto" w:fill="E2EFD9"/>
            <w:tcMar>
              <w:top w:w="40" w:type="dxa"/>
              <w:left w:w="0" w:type="dxa"/>
              <w:bottom w:w="40" w:type="dxa"/>
              <w:right w:w="20" w:type="dxa"/>
            </w:tcMar>
            <w:vAlign w:val="bottom"/>
          </w:tcPr>
          <w:p w14:paraId="540663C1"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3C2"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3C3"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3C4"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3C5"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3C6"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3C7"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3C8"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3C9" w14:textId="77777777" w:rsidR="00611BDD" w:rsidRDefault="002E18C7">
            <w:pPr>
              <w:jc w:val="right"/>
              <w:textAlignment w:val="bottom"/>
            </w:pPr>
            <w:r>
              <w:rPr>
                <w:rFonts w:ascii="sans-serif" w:eastAsia="sans-serif" w:hAnsi="sans-serif" w:cs="sans-serif"/>
                <w:color w:val="000000"/>
                <w:sz w:val="15"/>
                <w:szCs w:val="15"/>
              </w:rPr>
              <w:t>(362)</w:t>
            </w:r>
          </w:p>
        </w:tc>
        <w:tc>
          <w:tcPr>
            <w:tcW w:w="0" w:type="auto"/>
            <w:shd w:val="clear" w:color="auto" w:fill="E2EFD9"/>
            <w:tcMar>
              <w:top w:w="40" w:type="dxa"/>
              <w:left w:w="0" w:type="dxa"/>
              <w:bottom w:w="40" w:type="dxa"/>
              <w:right w:w="20" w:type="dxa"/>
            </w:tcMar>
            <w:vAlign w:val="bottom"/>
          </w:tcPr>
          <w:p w14:paraId="540663CA" w14:textId="77777777" w:rsidR="00611BDD" w:rsidRDefault="00611BDD">
            <w:pPr>
              <w:jc w:val="right"/>
              <w:rPr>
                <w:rFonts w:ascii="宋体"/>
              </w:rPr>
            </w:pPr>
          </w:p>
        </w:tc>
      </w:tr>
      <w:tr w:rsidR="00611BDD" w14:paraId="540663DA" w14:textId="77777777">
        <w:trPr>
          <w:jc w:val="center"/>
          <w:hidden/>
        </w:trPr>
        <w:tc>
          <w:tcPr>
            <w:tcW w:w="0" w:type="auto"/>
            <w:gridSpan w:val="3"/>
            <w:shd w:val="clear" w:color="auto" w:fill="auto"/>
            <w:vAlign w:val="bottom"/>
          </w:tcPr>
          <w:p w14:paraId="540663CC" w14:textId="77777777" w:rsidR="00611BDD" w:rsidRDefault="00611BDD">
            <w:pPr>
              <w:rPr>
                <w:rFonts w:ascii="宋体"/>
                <w:vanish/>
              </w:rPr>
            </w:pPr>
          </w:p>
        </w:tc>
        <w:tc>
          <w:tcPr>
            <w:tcW w:w="0" w:type="auto"/>
            <w:gridSpan w:val="3"/>
            <w:shd w:val="clear" w:color="auto" w:fill="auto"/>
            <w:vAlign w:val="bottom"/>
          </w:tcPr>
          <w:p w14:paraId="540663CD" w14:textId="77777777" w:rsidR="00611BDD" w:rsidRDefault="00611BDD">
            <w:pPr>
              <w:rPr>
                <w:rFonts w:ascii="宋体"/>
                <w:vanish/>
              </w:rPr>
            </w:pPr>
          </w:p>
        </w:tc>
        <w:tc>
          <w:tcPr>
            <w:tcW w:w="0" w:type="auto"/>
            <w:gridSpan w:val="3"/>
            <w:shd w:val="clear" w:color="auto" w:fill="auto"/>
            <w:vAlign w:val="bottom"/>
          </w:tcPr>
          <w:p w14:paraId="540663CE" w14:textId="77777777" w:rsidR="00611BDD" w:rsidRDefault="00611BDD">
            <w:pPr>
              <w:rPr>
                <w:rFonts w:ascii="宋体"/>
                <w:vanish/>
              </w:rPr>
            </w:pPr>
          </w:p>
        </w:tc>
        <w:tc>
          <w:tcPr>
            <w:tcW w:w="0" w:type="auto"/>
            <w:gridSpan w:val="3"/>
            <w:shd w:val="clear" w:color="auto" w:fill="auto"/>
            <w:vAlign w:val="bottom"/>
          </w:tcPr>
          <w:p w14:paraId="540663CF" w14:textId="77777777" w:rsidR="00611BDD" w:rsidRDefault="00611BDD">
            <w:pPr>
              <w:rPr>
                <w:rFonts w:ascii="宋体"/>
                <w:vanish/>
              </w:rPr>
            </w:pPr>
          </w:p>
        </w:tc>
        <w:tc>
          <w:tcPr>
            <w:tcW w:w="0" w:type="auto"/>
            <w:gridSpan w:val="3"/>
            <w:shd w:val="clear" w:color="auto" w:fill="auto"/>
            <w:vAlign w:val="bottom"/>
          </w:tcPr>
          <w:p w14:paraId="540663D0" w14:textId="77777777" w:rsidR="00611BDD" w:rsidRDefault="00611BDD">
            <w:pPr>
              <w:rPr>
                <w:rFonts w:ascii="宋体"/>
                <w:vanish/>
              </w:rPr>
            </w:pPr>
          </w:p>
        </w:tc>
        <w:tc>
          <w:tcPr>
            <w:tcW w:w="0" w:type="auto"/>
            <w:gridSpan w:val="3"/>
            <w:shd w:val="clear" w:color="auto" w:fill="auto"/>
            <w:vAlign w:val="bottom"/>
          </w:tcPr>
          <w:p w14:paraId="540663D1" w14:textId="77777777" w:rsidR="00611BDD" w:rsidRDefault="00611BDD">
            <w:pPr>
              <w:rPr>
                <w:rFonts w:ascii="宋体"/>
                <w:vanish/>
              </w:rPr>
            </w:pPr>
          </w:p>
        </w:tc>
        <w:tc>
          <w:tcPr>
            <w:tcW w:w="0" w:type="auto"/>
            <w:gridSpan w:val="3"/>
            <w:shd w:val="clear" w:color="auto" w:fill="auto"/>
            <w:vAlign w:val="bottom"/>
          </w:tcPr>
          <w:p w14:paraId="540663D2" w14:textId="77777777" w:rsidR="00611BDD" w:rsidRDefault="00611BDD">
            <w:pPr>
              <w:rPr>
                <w:rFonts w:ascii="宋体"/>
                <w:vanish/>
              </w:rPr>
            </w:pPr>
          </w:p>
        </w:tc>
        <w:tc>
          <w:tcPr>
            <w:tcW w:w="0" w:type="auto"/>
            <w:gridSpan w:val="3"/>
            <w:shd w:val="clear" w:color="auto" w:fill="auto"/>
            <w:vAlign w:val="bottom"/>
          </w:tcPr>
          <w:p w14:paraId="540663D3" w14:textId="77777777" w:rsidR="00611BDD" w:rsidRDefault="00611BDD">
            <w:pPr>
              <w:rPr>
                <w:rFonts w:ascii="宋体"/>
                <w:vanish/>
              </w:rPr>
            </w:pPr>
          </w:p>
        </w:tc>
        <w:tc>
          <w:tcPr>
            <w:tcW w:w="0" w:type="auto"/>
            <w:gridSpan w:val="3"/>
            <w:shd w:val="clear" w:color="auto" w:fill="auto"/>
            <w:vAlign w:val="bottom"/>
          </w:tcPr>
          <w:p w14:paraId="540663D4" w14:textId="77777777" w:rsidR="00611BDD" w:rsidRDefault="00611BDD">
            <w:pPr>
              <w:rPr>
                <w:rFonts w:ascii="宋体"/>
                <w:vanish/>
              </w:rPr>
            </w:pPr>
          </w:p>
        </w:tc>
        <w:tc>
          <w:tcPr>
            <w:tcW w:w="0" w:type="auto"/>
            <w:gridSpan w:val="3"/>
            <w:shd w:val="clear" w:color="auto" w:fill="auto"/>
            <w:vAlign w:val="bottom"/>
          </w:tcPr>
          <w:p w14:paraId="540663D5" w14:textId="77777777" w:rsidR="00611BDD" w:rsidRDefault="00611BDD">
            <w:pPr>
              <w:rPr>
                <w:rFonts w:ascii="宋体"/>
                <w:vanish/>
              </w:rPr>
            </w:pPr>
          </w:p>
        </w:tc>
        <w:tc>
          <w:tcPr>
            <w:tcW w:w="0" w:type="auto"/>
            <w:gridSpan w:val="3"/>
            <w:shd w:val="clear" w:color="auto" w:fill="auto"/>
            <w:vAlign w:val="bottom"/>
          </w:tcPr>
          <w:p w14:paraId="540663D6" w14:textId="77777777" w:rsidR="00611BDD" w:rsidRDefault="00611BDD">
            <w:pPr>
              <w:rPr>
                <w:rFonts w:ascii="宋体"/>
                <w:vanish/>
              </w:rPr>
            </w:pPr>
          </w:p>
        </w:tc>
        <w:tc>
          <w:tcPr>
            <w:tcW w:w="0" w:type="auto"/>
            <w:gridSpan w:val="3"/>
            <w:shd w:val="clear" w:color="auto" w:fill="auto"/>
            <w:vAlign w:val="bottom"/>
          </w:tcPr>
          <w:p w14:paraId="540663D7" w14:textId="77777777" w:rsidR="00611BDD" w:rsidRDefault="00611BDD">
            <w:pPr>
              <w:rPr>
                <w:rFonts w:ascii="宋体"/>
                <w:vanish/>
              </w:rPr>
            </w:pPr>
          </w:p>
        </w:tc>
        <w:tc>
          <w:tcPr>
            <w:tcW w:w="0" w:type="auto"/>
            <w:gridSpan w:val="3"/>
            <w:shd w:val="clear" w:color="auto" w:fill="auto"/>
            <w:vAlign w:val="bottom"/>
          </w:tcPr>
          <w:p w14:paraId="540663D8" w14:textId="77777777" w:rsidR="00611BDD" w:rsidRDefault="00611BDD">
            <w:pPr>
              <w:rPr>
                <w:rFonts w:ascii="宋体"/>
                <w:vanish/>
              </w:rPr>
            </w:pPr>
          </w:p>
        </w:tc>
        <w:tc>
          <w:tcPr>
            <w:tcW w:w="0" w:type="auto"/>
            <w:gridSpan w:val="3"/>
            <w:shd w:val="clear" w:color="auto" w:fill="auto"/>
            <w:vAlign w:val="bottom"/>
          </w:tcPr>
          <w:p w14:paraId="540663D9" w14:textId="77777777" w:rsidR="00611BDD" w:rsidRDefault="00611BDD">
            <w:pPr>
              <w:rPr>
                <w:rFonts w:ascii="宋体"/>
                <w:vanish/>
              </w:rPr>
            </w:pPr>
          </w:p>
        </w:tc>
      </w:tr>
      <w:tr w:rsidR="00611BDD" w14:paraId="540663F0" w14:textId="77777777">
        <w:trPr>
          <w:jc w:val="center"/>
        </w:trPr>
        <w:tc>
          <w:tcPr>
            <w:tcW w:w="0" w:type="auto"/>
            <w:gridSpan w:val="3"/>
            <w:shd w:val="clear" w:color="auto" w:fill="FFFFFF"/>
            <w:tcMar>
              <w:top w:w="40" w:type="dxa"/>
              <w:left w:w="20" w:type="dxa"/>
              <w:bottom w:w="40" w:type="dxa"/>
              <w:right w:w="20" w:type="dxa"/>
            </w:tcMar>
            <w:vAlign w:val="bottom"/>
          </w:tcPr>
          <w:p w14:paraId="540663DB" w14:textId="77777777" w:rsidR="00611BDD" w:rsidRDefault="002E18C7">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15"/>
                <w:szCs w:val="15"/>
              </w:rPr>
              <w:t xml:space="preserve">Cash dividends declared and paid </w:t>
            </w:r>
            <w:r>
              <w:rPr>
                <w:rFonts w:ascii="sans-serif" w:eastAsia="sans-serif" w:hAnsi="sans-serif" w:cs="sans-serif"/>
                <w:color w:val="000000"/>
                <w:sz w:val="15"/>
                <w:szCs w:val="15"/>
              </w:rPr>
              <w:t>($0.04 per common share)</w:t>
            </w:r>
          </w:p>
        </w:tc>
        <w:tc>
          <w:tcPr>
            <w:tcW w:w="0" w:type="auto"/>
            <w:gridSpan w:val="2"/>
            <w:shd w:val="clear" w:color="auto" w:fill="FFFFFF"/>
            <w:tcMar>
              <w:top w:w="40" w:type="dxa"/>
              <w:left w:w="20" w:type="dxa"/>
              <w:bottom w:w="40" w:type="dxa"/>
              <w:right w:w="0" w:type="dxa"/>
            </w:tcMar>
            <w:vAlign w:val="bottom"/>
          </w:tcPr>
          <w:p w14:paraId="540663DC"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3DD"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3DE"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3DF"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3E0"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3E1"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3E2"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3E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3E4"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3E5"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3E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3E7"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3E8"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3E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3EA"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3EB" w14:textId="77777777" w:rsidR="00611BDD" w:rsidRDefault="002E18C7">
            <w:pPr>
              <w:jc w:val="right"/>
              <w:textAlignment w:val="bottom"/>
            </w:pPr>
            <w:r>
              <w:rPr>
                <w:rFonts w:ascii="sans-serif" w:eastAsia="sans-serif" w:hAnsi="sans-serif" w:cs="sans-serif"/>
                <w:color w:val="000000"/>
                <w:sz w:val="15"/>
                <w:szCs w:val="15"/>
              </w:rPr>
              <w:t>(100)</w:t>
            </w:r>
          </w:p>
        </w:tc>
        <w:tc>
          <w:tcPr>
            <w:tcW w:w="0" w:type="auto"/>
            <w:shd w:val="clear" w:color="auto" w:fill="FFFFFF"/>
            <w:tcMar>
              <w:top w:w="40" w:type="dxa"/>
              <w:left w:w="0" w:type="dxa"/>
              <w:bottom w:w="40" w:type="dxa"/>
              <w:right w:w="20" w:type="dxa"/>
            </w:tcMar>
            <w:vAlign w:val="bottom"/>
          </w:tcPr>
          <w:p w14:paraId="540663EC"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3ED"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3EE" w14:textId="77777777" w:rsidR="00611BDD" w:rsidRDefault="002E18C7">
            <w:pPr>
              <w:jc w:val="right"/>
              <w:textAlignment w:val="bottom"/>
            </w:pPr>
            <w:r>
              <w:rPr>
                <w:rFonts w:ascii="sans-serif" w:eastAsia="sans-serif" w:hAnsi="sans-serif" w:cs="sans-serif"/>
                <w:color w:val="000000"/>
                <w:sz w:val="15"/>
                <w:szCs w:val="15"/>
              </w:rPr>
              <w:t>(100)</w:t>
            </w:r>
          </w:p>
        </w:tc>
        <w:tc>
          <w:tcPr>
            <w:tcW w:w="0" w:type="auto"/>
            <w:shd w:val="clear" w:color="auto" w:fill="FFFFFF"/>
            <w:tcMar>
              <w:top w:w="40" w:type="dxa"/>
              <w:left w:w="0" w:type="dxa"/>
              <w:bottom w:w="40" w:type="dxa"/>
              <w:right w:w="20" w:type="dxa"/>
            </w:tcMar>
            <w:vAlign w:val="bottom"/>
          </w:tcPr>
          <w:p w14:paraId="540663EF" w14:textId="77777777" w:rsidR="00611BDD" w:rsidRDefault="00611BDD">
            <w:pPr>
              <w:jc w:val="right"/>
              <w:rPr>
                <w:rFonts w:ascii="宋体"/>
              </w:rPr>
            </w:pPr>
          </w:p>
        </w:tc>
      </w:tr>
      <w:tr w:rsidR="00611BDD" w14:paraId="540663FF" w14:textId="77777777">
        <w:trPr>
          <w:jc w:val="center"/>
          <w:hidden/>
        </w:trPr>
        <w:tc>
          <w:tcPr>
            <w:tcW w:w="0" w:type="auto"/>
            <w:gridSpan w:val="3"/>
            <w:shd w:val="clear" w:color="auto" w:fill="auto"/>
            <w:vAlign w:val="bottom"/>
          </w:tcPr>
          <w:p w14:paraId="540663F1" w14:textId="77777777" w:rsidR="00611BDD" w:rsidRDefault="00611BDD">
            <w:pPr>
              <w:rPr>
                <w:rFonts w:ascii="宋体"/>
                <w:vanish/>
              </w:rPr>
            </w:pPr>
          </w:p>
        </w:tc>
        <w:tc>
          <w:tcPr>
            <w:tcW w:w="0" w:type="auto"/>
            <w:gridSpan w:val="3"/>
            <w:shd w:val="clear" w:color="auto" w:fill="auto"/>
            <w:vAlign w:val="bottom"/>
          </w:tcPr>
          <w:p w14:paraId="540663F2" w14:textId="77777777" w:rsidR="00611BDD" w:rsidRDefault="00611BDD">
            <w:pPr>
              <w:rPr>
                <w:rFonts w:ascii="宋体"/>
                <w:vanish/>
              </w:rPr>
            </w:pPr>
          </w:p>
        </w:tc>
        <w:tc>
          <w:tcPr>
            <w:tcW w:w="0" w:type="auto"/>
            <w:gridSpan w:val="3"/>
            <w:shd w:val="clear" w:color="auto" w:fill="auto"/>
            <w:vAlign w:val="bottom"/>
          </w:tcPr>
          <w:p w14:paraId="540663F3" w14:textId="77777777" w:rsidR="00611BDD" w:rsidRDefault="00611BDD">
            <w:pPr>
              <w:rPr>
                <w:rFonts w:ascii="宋体"/>
                <w:vanish/>
              </w:rPr>
            </w:pPr>
          </w:p>
        </w:tc>
        <w:tc>
          <w:tcPr>
            <w:tcW w:w="0" w:type="auto"/>
            <w:gridSpan w:val="3"/>
            <w:shd w:val="clear" w:color="auto" w:fill="auto"/>
            <w:vAlign w:val="bottom"/>
          </w:tcPr>
          <w:p w14:paraId="540663F4" w14:textId="77777777" w:rsidR="00611BDD" w:rsidRDefault="00611BDD">
            <w:pPr>
              <w:rPr>
                <w:rFonts w:ascii="宋体"/>
                <w:vanish/>
              </w:rPr>
            </w:pPr>
          </w:p>
        </w:tc>
        <w:tc>
          <w:tcPr>
            <w:tcW w:w="0" w:type="auto"/>
            <w:gridSpan w:val="3"/>
            <w:shd w:val="clear" w:color="auto" w:fill="auto"/>
            <w:vAlign w:val="bottom"/>
          </w:tcPr>
          <w:p w14:paraId="540663F5" w14:textId="77777777" w:rsidR="00611BDD" w:rsidRDefault="00611BDD">
            <w:pPr>
              <w:rPr>
                <w:rFonts w:ascii="宋体"/>
                <w:vanish/>
              </w:rPr>
            </w:pPr>
          </w:p>
        </w:tc>
        <w:tc>
          <w:tcPr>
            <w:tcW w:w="0" w:type="auto"/>
            <w:gridSpan w:val="3"/>
            <w:shd w:val="clear" w:color="auto" w:fill="auto"/>
            <w:vAlign w:val="bottom"/>
          </w:tcPr>
          <w:p w14:paraId="540663F6" w14:textId="77777777" w:rsidR="00611BDD" w:rsidRDefault="00611BDD">
            <w:pPr>
              <w:rPr>
                <w:rFonts w:ascii="宋体"/>
                <w:vanish/>
              </w:rPr>
            </w:pPr>
          </w:p>
        </w:tc>
        <w:tc>
          <w:tcPr>
            <w:tcW w:w="0" w:type="auto"/>
            <w:gridSpan w:val="3"/>
            <w:shd w:val="clear" w:color="auto" w:fill="auto"/>
            <w:vAlign w:val="bottom"/>
          </w:tcPr>
          <w:p w14:paraId="540663F7" w14:textId="77777777" w:rsidR="00611BDD" w:rsidRDefault="00611BDD">
            <w:pPr>
              <w:rPr>
                <w:rFonts w:ascii="宋体"/>
                <w:vanish/>
              </w:rPr>
            </w:pPr>
          </w:p>
        </w:tc>
        <w:tc>
          <w:tcPr>
            <w:tcW w:w="0" w:type="auto"/>
            <w:gridSpan w:val="3"/>
            <w:shd w:val="clear" w:color="auto" w:fill="auto"/>
            <w:vAlign w:val="bottom"/>
          </w:tcPr>
          <w:p w14:paraId="540663F8" w14:textId="77777777" w:rsidR="00611BDD" w:rsidRDefault="00611BDD">
            <w:pPr>
              <w:rPr>
                <w:rFonts w:ascii="宋体"/>
                <w:vanish/>
              </w:rPr>
            </w:pPr>
          </w:p>
        </w:tc>
        <w:tc>
          <w:tcPr>
            <w:tcW w:w="0" w:type="auto"/>
            <w:gridSpan w:val="3"/>
            <w:shd w:val="clear" w:color="auto" w:fill="auto"/>
            <w:vAlign w:val="bottom"/>
          </w:tcPr>
          <w:p w14:paraId="540663F9" w14:textId="77777777" w:rsidR="00611BDD" w:rsidRDefault="00611BDD">
            <w:pPr>
              <w:rPr>
                <w:rFonts w:ascii="宋体"/>
                <w:vanish/>
              </w:rPr>
            </w:pPr>
          </w:p>
        </w:tc>
        <w:tc>
          <w:tcPr>
            <w:tcW w:w="0" w:type="auto"/>
            <w:gridSpan w:val="3"/>
            <w:shd w:val="clear" w:color="auto" w:fill="auto"/>
            <w:vAlign w:val="bottom"/>
          </w:tcPr>
          <w:p w14:paraId="540663FA" w14:textId="77777777" w:rsidR="00611BDD" w:rsidRDefault="00611BDD">
            <w:pPr>
              <w:rPr>
                <w:rFonts w:ascii="宋体"/>
                <w:vanish/>
              </w:rPr>
            </w:pPr>
          </w:p>
        </w:tc>
        <w:tc>
          <w:tcPr>
            <w:tcW w:w="0" w:type="auto"/>
            <w:gridSpan w:val="3"/>
            <w:shd w:val="clear" w:color="auto" w:fill="auto"/>
            <w:vAlign w:val="bottom"/>
          </w:tcPr>
          <w:p w14:paraId="540663FB" w14:textId="77777777" w:rsidR="00611BDD" w:rsidRDefault="00611BDD">
            <w:pPr>
              <w:rPr>
                <w:rFonts w:ascii="宋体"/>
                <w:vanish/>
              </w:rPr>
            </w:pPr>
          </w:p>
        </w:tc>
        <w:tc>
          <w:tcPr>
            <w:tcW w:w="0" w:type="auto"/>
            <w:gridSpan w:val="3"/>
            <w:shd w:val="clear" w:color="auto" w:fill="auto"/>
            <w:vAlign w:val="bottom"/>
          </w:tcPr>
          <w:p w14:paraId="540663FC" w14:textId="77777777" w:rsidR="00611BDD" w:rsidRDefault="00611BDD">
            <w:pPr>
              <w:rPr>
                <w:rFonts w:ascii="宋体"/>
                <w:vanish/>
              </w:rPr>
            </w:pPr>
          </w:p>
        </w:tc>
        <w:tc>
          <w:tcPr>
            <w:tcW w:w="0" w:type="auto"/>
            <w:gridSpan w:val="3"/>
            <w:shd w:val="clear" w:color="auto" w:fill="auto"/>
            <w:vAlign w:val="bottom"/>
          </w:tcPr>
          <w:p w14:paraId="540663FD" w14:textId="77777777" w:rsidR="00611BDD" w:rsidRDefault="00611BDD">
            <w:pPr>
              <w:rPr>
                <w:rFonts w:ascii="宋体"/>
                <w:vanish/>
              </w:rPr>
            </w:pPr>
          </w:p>
        </w:tc>
        <w:tc>
          <w:tcPr>
            <w:tcW w:w="0" w:type="auto"/>
            <w:gridSpan w:val="3"/>
            <w:shd w:val="clear" w:color="auto" w:fill="auto"/>
            <w:vAlign w:val="bottom"/>
          </w:tcPr>
          <w:p w14:paraId="540663FE" w14:textId="77777777" w:rsidR="00611BDD" w:rsidRDefault="00611BDD">
            <w:pPr>
              <w:rPr>
                <w:rFonts w:ascii="宋体"/>
                <w:vanish/>
              </w:rPr>
            </w:pPr>
          </w:p>
        </w:tc>
      </w:tr>
      <w:tr w:rsidR="00611BDD" w14:paraId="54066415" w14:textId="77777777">
        <w:trPr>
          <w:jc w:val="center"/>
        </w:trPr>
        <w:tc>
          <w:tcPr>
            <w:tcW w:w="0" w:type="auto"/>
            <w:gridSpan w:val="3"/>
            <w:shd w:val="clear" w:color="auto" w:fill="E2EFD9"/>
            <w:tcMar>
              <w:top w:w="40" w:type="dxa"/>
              <w:left w:w="20" w:type="dxa"/>
              <w:bottom w:w="40" w:type="dxa"/>
              <w:right w:w="20" w:type="dxa"/>
            </w:tcMar>
            <w:vAlign w:val="bottom"/>
          </w:tcPr>
          <w:p w14:paraId="54066400" w14:textId="77777777" w:rsidR="00611BDD" w:rsidRDefault="002E18C7">
            <w:pPr>
              <w:textAlignment w:val="bottom"/>
            </w:pPr>
            <w:r>
              <w:rPr>
                <w:rFonts w:ascii="sans-serif" w:eastAsia="sans-serif" w:hAnsi="sans-serif" w:cs="sans-serif"/>
                <w:color w:val="000000"/>
                <w:sz w:val="15"/>
                <w:szCs w:val="15"/>
              </w:rPr>
              <w:t>Stock-based compensation</w:t>
            </w:r>
          </w:p>
        </w:tc>
        <w:tc>
          <w:tcPr>
            <w:tcW w:w="0" w:type="auto"/>
            <w:gridSpan w:val="2"/>
            <w:shd w:val="clear" w:color="auto" w:fill="E2EFD9"/>
            <w:tcMar>
              <w:top w:w="40" w:type="dxa"/>
              <w:left w:w="20" w:type="dxa"/>
              <w:bottom w:w="40" w:type="dxa"/>
              <w:right w:w="0" w:type="dxa"/>
            </w:tcMar>
            <w:vAlign w:val="bottom"/>
          </w:tcPr>
          <w:p w14:paraId="54066401"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402"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03"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404"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405"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06"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407" w14:textId="77777777" w:rsidR="00611BDD" w:rsidRDefault="002E18C7">
            <w:pPr>
              <w:jc w:val="right"/>
              <w:textAlignment w:val="bottom"/>
            </w:pPr>
            <w:r>
              <w:rPr>
                <w:rFonts w:ascii="sans-serif" w:eastAsia="sans-serif" w:hAnsi="sans-serif" w:cs="sans-serif"/>
                <w:color w:val="000000"/>
                <w:sz w:val="15"/>
                <w:szCs w:val="15"/>
              </w:rPr>
              <w:t>465 </w:t>
            </w:r>
          </w:p>
        </w:tc>
        <w:tc>
          <w:tcPr>
            <w:tcW w:w="0" w:type="auto"/>
            <w:shd w:val="clear" w:color="auto" w:fill="E2EFD9"/>
            <w:tcMar>
              <w:top w:w="40" w:type="dxa"/>
              <w:left w:w="0" w:type="dxa"/>
              <w:bottom w:w="40" w:type="dxa"/>
              <w:right w:w="20" w:type="dxa"/>
            </w:tcMar>
            <w:vAlign w:val="bottom"/>
          </w:tcPr>
          <w:p w14:paraId="54066408"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09"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40A"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40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0C"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40D"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40E"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0F"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410"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411"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12"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413" w14:textId="77777777" w:rsidR="00611BDD" w:rsidRDefault="002E18C7">
            <w:pPr>
              <w:jc w:val="right"/>
              <w:textAlignment w:val="bottom"/>
            </w:pPr>
            <w:r>
              <w:rPr>
                <w:rFonts w:ascii="sans-serif" w:eastAsia="sans-serif" w:hAnsi="sans-serif" w:cs="sans-serif"/>
                <w:color w:val="000000"/>
                <w:sz w:val="15"/>
                <w:szCs w:val="15"/>
              </w:rPr>
              <w:t>465 </w:t>
            </w:r>
          </w:p>
        </w:tc>
        <w:tc>
          <w:tcPr>
            <w:tcW w:w="0" w:type="auto"/>
            <w:shd w:val="clear" w:color="auto" w:fill="E2EFD9"/>
            <w:tcMar>
              <w:top w:w="40" w:type="dxa"/>
              <w:left w:w="0" w:type="dxa"/>
              <w:bottom w:w="40" w:type="dxa"/>
              <w:right w:w="20" w:type="dxa"/>
            </w:tcMar>
            <w:vAlign w:val="bottom"/>
          </w:tcPr>
          <w:p w14:paraId="54066414" w14:textId="77777777" w:rsidR="00611BDD" w:rsidRDefault="00611BDD">
            <w:pPr>
              <w:jc w:val="right"/>
              <w:rPr>
                <w:rFonts w:ascii="宋体"/>
              </w:rPr>
            </w:pPr>
          </w:p>
        </w:tc>
      </w:tr>
      <w:tr w:rsidR="00611BDD" w14:paraId="54066431" w14:textId="77777777">
        <w:trPr>
          <w:jc w:val="center"/>
        </w:trPr>
        <w:tc>
          <w:tcPr>
            <w:tcW w:w="0" w:type="auto"/>
            <w:gridSpan w:val="3"/>
            <w:shd w:val="clear" w:color="auto" w:fill="FFFFFF"/>
            <w:tcMar>
              <w:top w:w="40" w:type="dxa"/>
              <w:left w:w="20" w:type="dxa"/>
              <w:bottom w:w="40" w:type="dxa"/>
              <w:right w:w="20" w:type="dxa"/>
            </w:tcMar>
            <w:vAlign w:val="bottom"/>
          </w:tcPr>
          <w:p w14:paraId="54066416" w14:textId="77777777" w:rsidR="00611BDD" w:rsidRDefault="002E18C7">
            <w:pPr>
              <w:textAlignment w:val="bottom"/>
            </w:pPr>
            <w:r>
              <w:rPr>
                <w:rFonts w:ascii="sans-serif" w:eastAsia="sans-serif" w:hAnsi="sans-serif" w:cs="sans-serif"/>
                <w:color w:val="000000"/>
                <w:sz w:val="15"/>
                <w:szCs w:val="15"/>
              </w:rPr>
              <w:t>Balances, August 1, 2021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417" w14:textId="77777777" w:rsidR="00611BDD" w:rsidRDefault="002E18C7">
            <w:pPr>
              <w:jc w:val="right"/>
              <w:textAlignment w:val="bottom"/>
            </w:pPr>
            <w:r>
              <w:rPr>
                <w:rFonts w:ascii="sans-serif" w:eastAsia="sans-serif" w:hAnsi="sans-serif" w:cs="sans-serif"/>
                <w:color w:val="000000"/>
                <w:sz w:val="15"/>
                <w:szCs w:val="15"/>
              </w:rPr>
              <w:t>2,496 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418"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19" w14:textId="77777777" w:rsidR="00611BDD" w:rsidRDefault="00611BD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406641A"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406641B" w14:textId="77777777" w:rsidR="00611BDD" w:rsidRDefault="002E18C7">
            <w:pPr>
              <w:jc w:val="right"/>
              <w:textAlignment w:val="bottom"/>
            </w:pPr>
            <w:r>
              <w:rPr>
                <w:rFonts w:ascii="sans-serif" w:eastAsia="sans-serif" w:hAnsi="sans-serif" w:cs="sans-serif"/>
                <w:color w:val="000000"/>
                <w:sz w:val="15"/>
                <w:szCs w:val="15"/>
              </w:rPr>
              <w:t>3 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41C"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1D" w14:textId="77777777" w:rsidR="00611BDD" w:rsidRDefault="00611BD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406641E"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406641F" w14:textId="77777777" w:rsidR="00611BDD" w:rsidRDefault="002E18C7">
            <w:pPr>
              <w:jc w:val="right"/>
              <w:textAlignment w:val="bottom"/>
            </w:pPr>
            <w:r>
              <w:rPr>
                <w:rFonts w:ascii="sans-serif" w:eastAsia="sans-serif" w:hAnsi="sans-serif" w:cs="sans-serif"/>
                <w:color w:val="000000"/>
                <w:sz w:val="15"/>
                <w:szCs w:val="15"/>
              </w:rPr>
              <w:t>9,745 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420"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21" w14:textId="77777777" w:rsidR="00611BDD" w:rsidRDefault="00611BD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4066422"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4066423" w14:textId="77777777" w:rsidR="00611BDD" w:rsidRDefault="002E18C7">
            <w:pPr>
              <w:jc w:val="right"/>
              <w:textAlignment w:val="bottom"/>
            </w:pPr>
            <w:r>
              <w:rPr>
                <w:rFonts w:ascii="sans-serif" w:eastAsia="sans-serif" w:hAnsi="sans-serif" w:cs="sans-serif"/>
                <w:color w:val="000000"/>
                <w:sz w:val="15"/>
                <w:szCs w:val="15"/>
              </w:rPr>
              <w:t>(11,604)</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424"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25" w14:textId="77777777" w:rsidR="00611BDD" w:rsidRDefault="00611BD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4066426"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4066427" w14:textId="77777777" w:rsidR="00611BDD" w:rsidRDefault="002E18C7">
            <w:pPr>
              <w:jc w:val="right"/>
              <w:textAlignment w:val="bottom"/>
            </w:pPr>
            <w:r>
              <w:rPr>
                <w:rFonts w:ascii="sans-serif" w:eastAsia="sans-serif" w:hAnsi="sans-serif" w:cs="sans-serif"/>
                <w:color w:val="000000"/>
                <w:sz w:val="15"/>
                <w:szCs w:val="15"/>
              </w:rPr>
              <w:t>8 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428"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29" w14:textId="77777777" w:rsidR="00611BDD" w:rsidRDefault="00611BD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406642A"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406642B" w14:textId="77777777" w:rsidR="00611BDD" w:rsidRDefault="002E18C7">
            <w:pPr>
              <w:jc w:val="right"/>
              <w:textAlignment w:val="bottom"/>
            </w:pPr>
            <w:r>
              <w:rPr>
                <w:rFonts w:ascii="sans-serif" w:eastAsia="sans-serif" w:hAnsi="sans-serif" w:cs="sans-serif"/>
                <w:color w:val="000000"/>
                <w:sz w:val="15"/>
                <w:szCs w:val="15"/>
              </w:rPr>
              <w:t>22,995 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42C"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2D" w14:textId="77777777" w:rsidR="00611BDD" w:rsidRDefault="00611BD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406642E"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406642F" w14:textId="77777777" w:rsidR="00611BDD" w:rsidRDefault="002E18C7">
            <w:pPr>
              <w:jc w:val="right"/>
              <w:textAlignment w:val="bottom"/>
            </w:pPr>
            <w:r>
              <w:rPr>
                <w:rFonts w:ascii="sans-serif" w:eastAsia="sans-serif" w:hAnsi="sans-serif" w:cs="sans-serif"/>
                <w:color w:val="000000"/>
                <w:sz w:val="15"/>
                <w:szCs w:val="15"/>
              </w:rPr>
              <w:t>21,147 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430" w14:textId="77777777" w:rsidR="00611BDD" w:rsidRDefault="00611BDD">
            <w:pPr>
              <w:jc w:val="right"/>
              <w:rPr>
                <w:rFonts w:ascii="宋体"/>
              </w:rPr>
            </w:pPr>
          </w:p>
        </w:tc>
      </w:tr>
      <w:tr w:rsidR="00611BDD" w14:paraId="5406644D" w14:textId="77777777">
        <w:trPr>
          <w:jc w:val="center"/>
        </w:trPr>
        <w:tc>
          <w:tcPr>
            <w:tcW w:w="0" w:type="auto"/>
            <w:gridSpan w:val="3"/>
            <w:shd w:val="clear" w:color="auto" w:fill="E2EFD9"/>
            <w:tcMar>
              <w:top w:w="40" w:type="dxa"/>
              <w:left w:w="20" w:type="dxa"/>
              <w:bottom w:w="40" w:type="dxa"/>
              <w:right w:w="20" w:type="dxa"/>
            </w:tcMar>
            <w:vAlign w:val="bottom"/>
          </w:tcPr>
          <w:p w14:paraId="54066432" w14:textId="77777777" w:rsidR="00611BDD" w:rsidRDefault="002E18C7">
            <w:pPr>
              <w:textAlignment w:val="bottom"/>
            </w:pPr>
            <w:r>
              <w:rPr>
                <w:rFonts w:ascii="sans-serif" w:eastAsia="sans-serif" w:hAnsi="sans-serif" w:cs="sans-serif"/>
                <w:color w:val="000000"/>
                <w:sz w:val="15"/>
                <w:szCs w:val="15"/>
              </w:rPr>
              <w:t>Balances, April 26, 2020</w:t>
            </w:r>
          </w:p>
        </w:tc>
        <w:tc>
          <w:tcPr>
            <w:tcW w:w="0" w:type="auto"/>
            <w:gridSpan w:val="2"/>
            <w:tcBorders>
              <w:top w:val="double" w:sz="6" w:space="0" w:color="000000"/>
            </w:tcBorders>
            <w:shd w:val="clear" w:color="auto" w:fill="E2EFD9"/>
            <w:tcMar>
              <w:top w:w="40" w:type="dxa"/>
              <w:left w:w="20" w:type="dxa"/>
              <w:bottom w:w="40" w:type="dxa"/>
              <w:right w:w="0" w:type="dxa"/>
            </w:tcMar>
            <w:vAlign w:val="bottom"/>
          </w:tcPr>
          <w:p w14:paraId="54066433" w14:textId="77777777" w:rsidR="00611BDD" w:rsidRDefault="002E18C7">
            <w:pPr>
              <w:jc w:val="right"/>
              <w:textAlignment w:val="bottom"/>
            </w:pPr>
            <w:r>
              <w:rPr>
                <w:rFonts w:ascii="sans-serif" w:eastAsia="sans-serif" w:hAnsi="sans-serif" w:cs="sans-serif"/>
                <w:color w:val="000000"/>
                <w:sz w:val="15"/>
                <w:szCs w:val="15"/>
              </w:rPr>
              <w:t>2,461 </w:t>
            </w:r>
          </w:p>
        </w:tc>
        <w:tc>
          <w:tcPr>
            <w:tcW w:w="0" w:type="auto"/>
            <w:tcBorders>
              <w:top w:val="double" w:sz="6" w:space="0" w:color="000000"/>
            </w:tcBorders>
            <w:shd w:val="clear" w:color="auto" w:fill="E2EFD9"/>
            <w:tcMar>
              <w:top w:w="40" w:type="dxa"/>
              <w:left w:w="0" w:type="dxa"/>
              <w:bottom w:w="40" w:type="dxa"/>
              <w:right w:w="20" w:type="dxa"/>
            </w:tcMar>
            <w:vAlign w:val="bottom"/>
          </w:tcPr>
          <w:p w14:paraId="54066434"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35" w14:textId="77777777" w:rsidR="00611BDD" w:rsidRDefault="00611BDD">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54066436"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4066437" w14:textId="77777777" w:rsidR="00611BDD" w:rsidRDefault="002E18C7">
            <w:pPr>
              <w:jc w:val="right"/>
              <w:textAlignment w:val="bottom"/>
            </w:pPr>
            <w:r>
              <w:rPr>
                <w:rFonts w:ascii="sans-serif" w:eastAsia="sans-serif" w:hAnsi="sans-serif" w:cs="sans-serif"/>
                <w:color w:val="000000"/>
                <w:sz w:val="15"/>
                <w:szCs w:val="15"/>
              </w:rPr>
              <w:t>3 </w:t>
            </w:r>
          </w:p>
        </w:tc>
        <w:tc>
          <w:tcPr>
            <w:tcW w:w="0" w:type="auto"/>
            <w:tcBorders>
              <w:top w:val="double" w:sz="6" w:space="0" w:color="000000"/>
            </w:tcBorders>
            <w:shd w:val="clear" w:color="auto" w:fill="E2EFD9"/>
            <w:tcMar>
              <w:top w:w="40" w:type="dxa"/>
              <w:left w:w="0" w:type="dxa"/>
              <w:bottom w:w="40" w:type="dxa"/>
              <w:right w:w="20" w:type="dxa"/>
            </w:tcMar>
            <w:vAlign w:val="bottom"/>
          </w:tcPr>
          <w:p w14:paraId="54066438"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39" w14:textId="77777777" w:rsidR="00611BDD" w:rsidRDefault="00611BDD">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5406643A"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406643B" w14:textId="77777777" w:rsidR="00611BDD" w:rsidRDefault="002E18C7">
            <w:pPr>
              <w:jc w:val="right"/>
              <w:textAlignment w:val="bottom"/>
            </w:pPr>
            <w:r>
              <w:rPr>
                <w:rFonts w:ascii="sans-serif" w:eastAsia="sans-serif" w:hAnsi="sans-serif" w:cs="sans-serif"/>
                <w:color w:val="000000"/>
                <w:sz w:val="15"/>
                <w:szCs w:val="15"/>
              </w:rPr>
              <w:t>7,352 </w:t>
            </w:r>
          </w:p>
        </w:tc>
        <w:tc>
          <w:tcPr>
            <w:tcW w:w="0" w:type="auto"/>
            <w:tcBorders>
              <w:top w:val="double" w:sz="6" w:space="0" w:color="000000"/>
            </w:tcBorders>
            <w:shd w:val="clear" w:color="auto" w:fill="E2EFD9"/>
            <w:tcMar>
              <w:top w:w="40" w:type="dxa"/>
              <w:left w:w="0" w:type="dxa"/>
              <w:bottom w:w="40" w:type="dxa"/>
              <w:right w:w="20" w:type="dxa"/>
            </w:tcMar>
            <w:vAlign w:val="bottom"/>
          </w:tcPr>
          <w:p w14:paraId="5406643C"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3D" w14:textId="77777777" w:rsidR="00611BDD" w:rsidRDefault="00611BDD">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5406643E"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406643F" w14:textId="77777777" w:rsidR="00611BDD" w:rsidRDefault="002E18C7">
            <w:pPr>
              <w:jc w:val="right"/>
              <w:textAlignment w:val="bottom"/>
            </w:pPr>
            <w:r>
              <w:rPr>
                <w:rFonts w:ascii="sans-serif" w:eastAsia="sans-serif" w:hAnsi="sans-serif" w:cs="sans-serif"/>
                <w:color w:val="000000"/>
                <w:sz w:val="15"/>
                <w:szCs w:val="15"/>
              </w:rPr>
              <w:t>(10,036)</w:t>
            </w:r>
          </w:p>
        </w:tc>
        <w:tc>
          <w:tcPr>
            <w:tcW w:w="0" w:type="auto"/>
            <w:tcBorders>
              <w:top w:val="double" w:sz="6" w:space="0" w:color="000000"/>
            </w:tcBorders>
            <w:shd w:val="clear" w:color="auto" w:fill="E2EFD9"/>
            <w:tcMar>
              <w:top w:w="40" w:type="dxa"/>
              <w:left w:w="0" w:type="dxa"/>
              <w:bottom w:w="40" w:type="dxa"/>
              <w:right w:w="20" w:type="dxa"/>
            </w:tcMar>
            <w:vAlign w:val="bottom"/>
          </w:tcPr>
          <w:p w14:paraId="54066440"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41" w14:textId="77777777" w:rsidR="00611BDD" w:rsidRDefault="00611BDD">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54066442"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4066443" w14:textId="77777777" w:rsidR="00611BDD" w:rsidRDefault="002E18C7">
            <w:pPr>
              <w:jc w:val="right"/>
              <w:textAlignment w:val="bottom"/>
            </w:pPr>
            <w:r>
              <w:rPr>
                <w:rFonts w:ascii="sans-serif" w:eastAsia="sans-serif" w:hAnsi="sans-serif" w:cs="sans-serif"/>
                <w:color w:val="000000"/>
                <w:sz w:val="15"/>
                <w:szCs w:val="15"/>
              </w:rPr>
              <w:t>(10)</w:t>
            </w:r>
          </w:p>
        </w:tc>
        <w:tc>
          <w:tcPr>
            <w:tcW w:w="0" w:type="auto"/>
            <w:tcBorders>
              <w:top w:val="double" w:sz="6" w:space="0" w:color="000000"/>
            </w:tcBorders>
            <w:shd w:val="clear" w:color="auto" w:fill="E2EFD9"/>
            <w:tcMar>
              <w:top w:w="40" w:type="dxa"/>
              <w:left w:w="0" w:type="dxa"/>
              <w:bottom w:w="40" w:type="dxa"/>
              <w:right w:w="20" w:type="dxa"/>
            </w:tcMar>
            <w:vAlign w:val="bottom"/>
          </w:tcPr>
          <w:p w14:paraId="54066444"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45" w14:textId="77777777" w:rsidR="00611BDD" w:rsidRDefault="00611BDD">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54066446"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4066447" w14:textId="77777777" w:rsidR="00611BDD" w:rsidRDefault="002E18C7">
            <w:pPr>
              <w:jc w:val="right"/>
              <w:textAlignment w:val="bottom"/>
            </w:pPr>
            <w:r>
              <w:rPr>
                <w:rFonts w:ascii="sans-serif" w:eastAsia="sans-serif" w:hAnsi="sans-serif" w:cs="sans-serif"/>
                <w:color w:val="000000"/>
                <w:sz w:val="15"/>
                <w:szCs w:val="15"/>
              </w:rPr>
              <w:t>15,790 </w:t>
            </w:r>
          </w:p>
        </w:tc>
        <w:tc>
          <w:tcPr>
            <w:tcW w:w="0" w:type="auto"/>
            <w:tcBorders>
              <w:top w:val="double" w:sz="6" w:space="0" w:color="000000"/>
            </w:tcBorders>
            <w:shd w:val="clear" w:color="auto" w:fill="E2EFD9"/>
            <w:tcMar>
              <w:top w:w="40" w:type="dxa"/>
              <w:left w:w="0" w:type="dxa"/>
              <w:bottom w:w="40" w:type="dxa"/>
              <w:right w:w="20" w:type="dxa"/>
            </w:tcMar>
            <w:vAlign w:val="bottom"/>
          </w:tcPr>
          <w:p w14:paraId="54066448"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49" w14:textId="77777777" w:rsidR="00611BDD" w:rsidRDefault="00611BDD">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5406644A"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406644B" w14:textId="77777777" w:rsidR="00611BDD" w:rsidRDefault="002E18C7">
            <w:pPr>
              <w:jc w:val="right"/>
              <w:textAlignment w:val="bottom"/>
            </w:pPr>
            <w:r>
              <w:rPr>
                <w:rFonts w:ascii="sans-serif" w:eastAsia="sans-serif" w:hAnsi="sans-serif" w:cs="sans-serif"/>
                <w:color w:val="000000"/>
                <w:sz w:val="15"/>
                <w:szCs w:val="15"/>
              </w:rPr>
              <w:t>13,099 </w:t>
            </w:r>
          </w:p>
        </w:tc>
        <w:tc>
          <w:tcPr>
            <w:tcW w:w="0" w:type="auto"/>
            <w:tcBorders>
              <w:top w:val="double" w:sz="6" w:space="0" w:color="000000"/>
            </w:tcBorders>
            <w:shd w:val="clear" w:color="auto" w:fill="E2EFD9"/>
            <w:tcMar>
              <w:top w:w="40" w:type="dxa"/>
              <w:left w:w="0" w:type="dxa"/>
              <w:bottom w:w="40" w:type="dxa"/>
              <w:right w:w="20" w:type="dxa"/>
            </w:tcMar>
            <w:vAlign w:val="bottom"/>
          </w:tcPr>
          <w:p w14:paraId="5406644C" w14:textId="77777777" w:rsidR="00611BDD" w:rsidRDefault="00611BDD">
            <w:pPr>
              <w:jc w:val="right"/>
              <w:rPr>
                <w:rFonts w:ascii="宋体"/>
              </w:rPr>
            </w:pPr>
          </w:p>
        </w:tc>
      </w:tr>
      <w:tr w:rsidR="00611BDD" w14:paraId="54066463" w14:textId="77777777">
        <w:trPr>
          <w:jc w:val="center"/>
        </w:trPr>
        <w:tc>
          <w:tcPr>
            <w:tcW w:w="0" w:type="auto"/>
            <w:gridSpan w:val="3"/>
            <w:shd w:val="clear" w:color="auto" w:fill="FFFFFF"/>
            <w:tcMar>
              <w:top w:w="40" w:type="dxa"/>
              <w:left w:w="20" w:type="dxa"/>
              <w:bottom w:w="40" w:type="dxa"/>
              <w:right w:w="20" w:type="dxa"/>
            </w:tcMar>
            <w:vAlign w:val="bottom"/>
          </w:tcPr>
          <w:p w14:paraId="5406644E" w14:textId="77777777" w:rsidR="00611BDD" w:rsidRDefault="002E18C7">
            <w:pPr>
              <w:textAlignment w:val="bottom"/>
            </w:pPr>
            <w:r>
              <w:rPr>
                <w:rFonts w:ascii="sans-serif" w:eastAsia="sans-serif" w:hAnsi="sans-serif" w:cs="sans-serif"/>
                <w:color w:val="000000"/>
                <w:sz w:val="15"/>
                <w:szCs w:val="15"/>
              </w:rPr>
              <w:t>Net income</w:t>
            </w:r>
          </w:p>
        </w:tc>
        <w:tc>
          <w:tcPr>
            <w:tcW w:w="0" w:type="auto"/>
            <w:gridSpan w:val="2"/>
            <w:shd w:val="clear" w:color="auto" w:fill="FFFFFF"/>
            <w:tcMar>
              <w:top w:w="40" w:type="dxa"/>
              <w:left w:w="20" w:type="dxa"/>
              <w:bottom w:w="40" w:type="dxa"/>
              <w:right w:w="0" w:type="dxa"/>
            </w:tcMar>
            <w:vAlign w:val="bottom"/>
          </w:tcPr>
          <w:p w14:paraId="5406644F"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450"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51"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452"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45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54"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455"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45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57"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458"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45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5A"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45B"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45C"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5D"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45E" w14:textId="77777777" w:rsidR="00611BDD" w:rsidRDefault="002E18C7">
            <w:pPr>
              <w:jc w:val="right"/>
              <w:textAlignment w:val="bottom"/>
            </w:pPr>
            <w:r>
              <w:rPr>
                <w:rFonts w:ascii="sans-serif" w:eastAsia="sans-serif" w:hAnsi="sans-serif" w:cs="sans-serif"/>
                <w:color w:val="000000"/>
                <w:sz w:val="15"/>
                <w:szCs w:val="15"/>
              </w:rPr>
              <w:t>622 </w:t>
            </w:r>
          </w:p>
        </w:tc>
        <w:tc>
          <w:tcPr>
            <w:tcW w:w="0" w:type="auto"/>
            <w:shd w:val="clear" w:color="auto" w:fill="FFFFFF"/>
            <w:tcMar>
              <w:top w:w="40" w:type="dxa"/>
              <w:left w:w="0" w:type="dxa"/>
              <w:bottom w:w="40" w:type="dxa"/>
              <w:right w:w="20" w:type="dxa"/>
            </w:tcMar>
            <w:vAlign w:val="bottom"/>
          </w:tcPr>
          <w:p w14:paraId="5406645F"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60"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461" w14:textId="77777777" w:rsidR="00611BDD" w:rsidRDefault="002E18C7">
            <w:pPr>
              <w:jc w:val="right"/>
              <w:textAlignment w:val="bottom"/>
            </w:pPr>
            <w:r>
              <w:rPr>
                <w:rFonts w:ascii="sans-serif" w:eastAsia="sans-serif" w:hAnsi="sans-serif" w:cs="sans-serif"/>
                <w:color w:val="000000"/>
                <w:sz w:val="15"/>
                <w:szCs w:val="15"/>
              </w:rPr>
              <w:t>622 </w:t>
            </w:r>
          </w:p>
        </w:tc>
        <w:tc>
          <w:tcPr>
            <w:tcW w:w="0" w:type="auto"/>
            <w:shd w:val="clear" w:color="auto" w:fill="FFFFFF"/>
            <w:tcMar>
              <w:top w:w="40" w:type="dxa"/>
              <w:left w:w="0" w:type="dxa"/>
              <w:bottom w:w="40" w:type="dxa"/>
              <w:right w:w="20" w:type="dxa"/>
            </w:tcMar>
            <w:vAlign w:val="bottom"/>
          </w:tcPr>
          <w:p w14:paraId="54066462" w14:textId="77777777" w:rsidR="00611BDD" w:rsidRDefault="00611BDD">
            <w:pPr>
              <w:jc w:val="right"/>
              <w:rPr>
                <w:rFonts w:ascii="宋体"/>
              </w:rPr>
            </w:pPr>
          </w:p>
        </w:tc>
      </w:tr>
      <w:tr w:rsidR="00611BDD" w14:paraId="54066479" w14:textId="77777777">
        <w:trPr>
          <w:jc w:val="center"/>
        </w:trPr>
        <w:tc>
          <w:tcPr>
            <w:tcW w:w="0" w:type="auto"/>
            <w:gridSpan w:val="3"/>
            <w:shd w:val="clear" w:color="auto" w:fill="E2EFD9"/>
            <w:tcMar>
              <w:top w:w="40" w:type="dxa"/>
              <w:left w:w="20" w:type="dxa"/>
              <w:bottom w:w="40" w:type="dxa"/>
              <w:right w:w="20" w:type="dxa"/>
            </w:tcMar>
            <w:vAlign w:val="bottom"/>
          </w:tcPr>
          <w:p w14:paraId="54066464" w14:textId="77777777" w:rsidR="00611BDD" w:rsidRDefault="002E18C7">
            <w:pPr>
              <w:textAlignment w:val="bottom"/>
            </w:pPr>
            <w:r>
              <w:rPr>
                <w:rFonts w:ascii="sans-serif" w:eastAsia="sans-serif" w:hAnsi="sans-serif" w:cs="sans-serif"/>
                <w:color w:val="000000"/>
                <w:sz w:val="15"/>
                <w:szCs w:val="15"/>
              </w:rPr>
              <w:t>Other comprehensive income</w:t>
            </w:r>
          </w:p>
        </w:tc>
        <w:tc>
          <w:tcPr>
            <w:tcW w:w="0" w:type="auto"/>
            <w:gridSpan w:val="2"/>
            <w:shd w:val="clear" w:color="auto" w:fill="E2EFD9"/>
            <w:tcMar>
              <w:top w:w="40" w:type="dxa"/>
              <w:left w:w="20" w:type="dxa"/>
              <w:bottom w:w="40" w:type="dxa"/>
              <w:right w:w="0" w:type="dxa"/>
            </w:tcMar>
            <w:vAlign w:val="bottom"/>
          </w:tcPr>
          <w:p w14:paraId="54066465"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46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67"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468"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46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6A"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46B"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46C"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6D"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46E"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46F"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70"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471" w14:textId="77777777" w:rsidR="00611BDD" w:rsidRDefault="002E18C7">
            <w:pPr>
              <w:jc w:val="right"/>
              <w:textAlignment w:val="bottom"/>
            </w:pPr>
            <w:r>
              <w:rPr>
                <w:rFonts w:ascii="sans-serif" w:eastAsia="sans-serif" w:hAnsi="sans-serif" w:cs="sans-serif"/>
                <w:color w:val="000000"/>
                <w:sz w:val="15"/>
                <w:szCs w:val="15"/>
              </w:rPr>
              <w:t>14 </w:t>
            </w:r>
          </w:p>
        </w:tc>
        <w:tc>
          <w:tcPr>
            <w:tcW w:w="0" w:type="auto"/>
            <w:shd w:val="clear" w:color="auto" w:fill="E2EFD9"/>
            <w:tcMar>
              <w:top w:w="40" w:type="dxa"/>
              <w:left w:w="0" w:type="dxa"/>
              <w:bottom w:w="40" w:type="dxa"/>
              <w:right w:w="20" w:type="dxa"/>
            </w:tcMar>
            <w:vAlign w:val="bottom"/>
          </w:tcPr>
          <w:p w14:paraId="54066472"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73"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474"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475"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76"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477" w14:textId="77777777" w:rsidR="00611BDD" w:rsidRDefault="002E18C7">
            <w:pPr>
              <w:jc w:val="right"/>
              <w:textAlignment w:val="bottom"/>
            </w:pPr>
            <w:r>
              <w:rPr>
                <w:rFonts w:ascii="sans-serif" w:eastAsia="sans-serif" w:hAnsi="sans-serif" w:cs="sans-serif"/>
                <w:color w:val="000000"/>
                <w:sz w:val="15"/>
                <w:szCs w:val="15"/>
              </w:rPr>
              <w:t>14 </w:t>
            </w:r>
          </w:p>
        </w:tc>
        <w:tc>
          <w:tcPr>
            <w:tcW w:w="0" w:type="auto"/>
            <w:shd w:val="clear" w:color="auto" w:fill="E2EFD9"/>
            <w:tcMar>
              <w:top w:w="40" w:type="dxa"/>
              <w:left w:w="0" w:type="dxa"/>
              <w:bottom w:w="40" w:type="dxa"/>
              <w:right w:w="20" w:type="dxa"/>
            </w:tcMar>
            <w:vAlign w:val="bottom"/>
          </w:tcPr>
          <w:p w14:paraId="54066478" w14:textId="77777777" w:rsidR="00611BDD" w:rsidRDefault="00611BDD">
            <w:pPr>
              <w:jc w:val="right"/>
              <w:rPr>
                <w:rFonts w:ascii="宋体"/>
              </w:rPr>
            </w:pPr>
          </w:p>
        </w:tc>
      </w:tr>
      <w:tr w:rsidR="00611BDD" w14:paraId="5406648F" w14:textId="77777777">
        <w:trPr>
          <w:jc w:val="center"/>
        </w:trPr>
        <w:tc>
          <w:tcPr>
            <w:tcW w:w="0" w:type="auto"/>
            <w:gridSpan w:val="3"/>
            <w:shd w:val="clear" w:color="auto" w:fill="FFFFFF"/>
            <w:tcMar>
              <w:top w:w="40" w:type="dxa"/>
              <w:left w:w="20" w:type="dxa"/>
              <w:bottom w:w="40" w:type="dxa"/>
              <w:right w:w="20" w:type="dxa"/>
            </w:tcMar>
            <w:vAlign w:val="bottom"/>
          </w:tcPr>
          <w:p w14:paraId="5406647A" w14:textId="77777777" w:rsidR="00611BDD" w:rsidRDefault="002E18C7">
            <w:pPr>
              <w:textAlignment w:val="bottom"/>
            </w:pPr>
            <w:r>
              <w:rPr>
                <w:rFonts w:ascii="sans-serif" w:eastAsia="sans-serif" w:hAnsi="sans-serif" w:cs="sans-serif"/>
                <w:color w:val="000000"/>
                <w:sz w:val="15"/>
                <w:szCs w:val="15"/>
              </w:rPr>
              <w:t>Issuance of common stock from stock plans </w:t>
            </w:r>
          </w:p>
        </w:tc>
        <w:tc>
          <w:tcPr>
            <w:tcW w:w="0" w:type="auto"/>
            <w:gridSpan w:val="2"/>
            <w:shd w:val="clear" w:color="auto" w:fill="FFFFFF"/>
            <w:tcMar>
              <w:top w:w="40" w:type="dxa"/>
              <w:left w:w="20" w:type="dxa"/>
              <w:bottom w:w="40" w:type="dxa"/>
              <w:right w:w="0" w:type="dxa"/>
            </w:tcMar>
            <w:vAlign w:val="bottom"/>
          </w:tcPr>
          <w:p w14:paraId="5406647B" w14:textId="77777777" w:rsidR="00611BDD" w:rsidRDefault="002E18C7">
            <w:pPr>
              <w:jc w:val="right"/>
              <w:textAlignment w:val="bottom"/>
            </w:pPr>
            <w:r>
              <w:rPr>
                <w:rFonts w:ascii="sans-serif" w:eastAsia="sans-serif" w:hAnsi="sans-serif" w:cs="sans-serif"/>
                <w:color w:val="000000"/>
                <w:sz w:val="15"/>
                <w:szCs w:val="15"/>
              </w:rPr>
              <w:t>8 </w:t>
            </w:r>
          </w:p>
        </w:tc>
        <w:tc>
          <w:tcPr>
            <w:tcW w:w="0" w:type="auto"/>
            <w:shd w:val="clear" w:color="auto" w:fill="FFFFFF"/>
            <w:tcMar>
              <w:top w:w="40" w:type="dxa"/>
              <w:left w:w="0" w:type="dxa"/>
              <w:bottom w:w="40" w:type="dxa"/>
              <w:right w:w="20" w:type="dxa"/>
            </w:tcMar>
            <w:vAlign w:val="bottom"/>
          </w:tcPr>
          <w:p w14:paraId="5406647C"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7D"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47E"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47F"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80"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481" w14:textId="77777777" w:rsidR="00611BDD" w:rsidRDefault="002E18C7">
            <w:pPr>
              <w:jc w:val="right"/>
              <w:textAlignment w:val="bottom"/>
            </w:pPr>
            <w:r>
              <w:rPr>
                <w:rFonts w:ascii="sans-serif" w:eastAsia="sans-serif" w:hAnsi="sans-serif" w:cs="sans-serif"/>
                <w:color w:val="000000"/>
                <w:sz w:val="15"/>
                <w:szCs w:val="15"/>
              </w:rPr>
              <w:t>6 </w:t>
            </w:r>
          </w:p>
        </w:tc>
        <w:tc>
          <w:tcPr>
            <w:tcW w:w="0" w:type="auto"/>
            <w:shd w:val="clear" w:color="auto" w:fill="FFFFFF"/>
            <w:tcMar>
              <w:top w:w="40" w:type="dxa"/>
              <w:left w:w="0" w:type="dxa"/>
              <w:bottom w:w="40" w:type="dxa"/>
              <w:right w:w="20" w:type="dxa"/>
            </w:tcMar>
            <w:vAlign w:val="bottom"/>
          </w:tcPr>
          <w:p w14:paraId="54066482"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83"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484"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485"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86"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487"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488"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89"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48A"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48B"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8C"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48D" w14:textId="77777777" w:rsidR="00611BDD" w:rsidRDefault="002E18C7">
            <w:pPr>
              <w:jc w:val="right"/>
              <w:textAlignment w:val="bottom"/>
            </w:pPr>
            <w:r>
              <w:rPr>
                <w:rFonts w:ascii="sans-serif" w:eastAsia="sans-serif" w:hAnsi="sans-serif" w:cs="sans-serif"/>
                <w:color w:val="000000"/>
                <w:sz w:val="15"/>
                <w:szCs w:val="15"/>
              </w:rPr>
              <w:t>6 </w:t>
            </w:r>
          </w:p>
        </w:tc>
        <w:tc>
          <w:tcPr>
            <w:tcW w:w="0" w:type="auto"/>
            <w:shd w:val="clear" w:color="auto" w:fill="FFFFFF"/>
            <w:tcMar>
              <w:top w:w="40" w:type="dxa"/>
              <w:left w:w="0" w:type="dxa"/>
              <w:bottom w:w="40" w:type="dxa"/>
              <w:right w:w="20" w:type="dxa"/>
            </w:tcMar>
            <w:vAlign w:val="bottom"/>
          </w:tcPr>
          <w:p w14:paraId="5406648E" w14:textId="77777777" w:rsidR="00611BDD" w:rsidRDefault="00611BDD">
            <w:pPr>
              <w:jc w:val="right"/>
              <w:rPr>
                <w:rFonts w:ascii="宋体"/>
              </w:rPr>
            </w:pPr>
          </w:p>
        </w:tc>
      </w:tr>
      <w:tr w:rsidR="00611BDD" w14:paraId="540664A5" w14:textId="77777777">
        <w:trPr>
          <w:jc w:val="center"/>
        </w:trPr>
        <w:tc>
          <w:tcPr>
            <w:tcW w:w="0" w:type="auto"/>
            <w:gridSpan w:val="3"/>
            <w:shd w:val="clear" w:color="auto" w:fill="E2EFD9"/>
            <w:tcMar>
              <w:top w:w="40" w:type="dxa"/>
              <w:left w:w="20" w:type="dxa"/>
              <w:bottom w:w="40" w:type="dxa"/>
              <w:right w:w="20" w:type="dxa"/>
            </w:tcMar>
            <w:vAlign w:val="bottom"/>
          </w:tcPr>
          <w:p w14:paraId="54066490" w14:textId="77777777" w:rsidR="00611BDD" w:rsidRDefault="002E18C7">
            <w:pPr>
              <w:textAlignment w:val="bottom"/>
            </w:pPr>
            <w:r>
              <w:rPr>
                <w:rFonts w:ascii="sans-serif" w:eastAsia="sans-serif" w:hAnsi="sans-serif" w:cs="sans-serif"/>
                <w:color w:val="000000"/>
                <w:sz w:val="15"/>
                <w:szCs w:val="15"/>
              </w:rPr>
              <w:t>Tax withholding related to vesting of restricted stoc</w:t>
            </w:r>
            <w:r>
              <w:rPr>
                <w:rFonts w:ascii="sans-serif" w:eastAsia="sans-serif" w:hAnsi="sans-serif" w:cs="sans-serif"/>
                <w:color w:val="000000"/>
                <w:sz w:val="15"/>
                <w:szCs w:val="15"/>
              </w:rPr>
              <w:t>k units</w:t>
            </w:r>
          </w:p>
        </w:tc>
        <w:tc>
          <w:tcPr>
            <w:tcW w:w="0" w:type="auto"/>
            <w:gridSpan w:val="2"/>
            <w:shd w:val="clear" w:color="auto" w:fill="E2EFD9"/>
            <w:tcMar>
              <w:top w:w="40" w:type="dxa"/>
              <w:left w:w="20" w:type="dxa"/>
              <w:bottom w:w="40" w:type="dxa"/>
              <w:right w:w="0" w:type="dxa"/>
            </w:tcMar>
            <w:vAlign w:val="bottom"/>
          </w:tcPr>
          <w:p w14:paraId="54066491" w14:textId="77777777" w:rsidR="00611BDD" w:rsidRDefault="002E18C7">
            <w:pPr>
              <w:jc w:val="right"/>
              <w:textAlignment w:val="bottom"/>
            </w:pPr>
            <w:r>
              <w:rPr>
                <w:rFonts w:ascii="sans-serif" w:eastAsia="sans-serif" w:hAnsi="sans-serif" w:cs="sans-serif"/>
                <w:color w:val="000000"/>
                <w:sz w:val="15"/>
                <w:szCs w:val="15"/>
              </w:rPr>
              <w:t>(2)</w:t>
            </w:r>
          </w:p>
        </w:tc>
        <w:tc>
          <w:tcPr>
            <w:tcW w:w="0" w:type="auto"/>
            <w:shd w:val="clear" w:color="auto" w:fill="E2EFD9"/>
            <w:tcMar>
              <w:top w:w="40" w:type="dxa"/>
              <w:left w:w="0" w:type="dxa"/>
              <w:bottom w:w="40" w:type="dxa"/>
              <w:right w:w="20" w:type="dxa"/>
            </w:tcMar>
            <w:vAlign w:val="bottom"/>
          </w:tcPr>
          <w:p w14:paraId="54066492"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93"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494"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495"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96"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497"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498"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99"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49A" w14:textId="77777777" w:rsidR="00611BDD" w:rsidRDefault="002E18C7">
            <w:pPr>
              <w:jc w:val="right"/>
              <w:textAlignment w:val="bottom"/>
            </w:pPr>
            <w:r>
              <w:rPr>
                <w:rFonts w:ascii="sans-serif" w:eastAsia="sans-serif" w:hAnsi="sans-serif" w:cs="sans-serif"/>
                <w:color w:val="000000"/>
                <w:sz w:val="15"/>
                <w:szCs w:val="15"/>
              </w:rPr>
              <w:t>(196)</w:t>
            </w:r>
          </w:p>
        </w:tc>
        <w:tc>
          <w:tcPr>
            <w:tcW w:w="0" w:type="auto"/>
            <w:shd w:val="clear" w:color="auto" w:fill="E2EFD9"/>
            <w:tcMar>
              <w:top w:w="40" w:type="dxa"/>
              <w:left w:w="0" w:type="dxa"/>
              <w:bottom w:w="40" w:type="dxa"/>
              <w:right w:w="20" w:type="dxa"/>
            </w:tcMar>
            <w:vAlign w:val="bottom"/>
          </w:tcPr>
          <w:p w14:paraId="5406649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9C"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49D"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49E"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9F"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4A0"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4A1"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A2"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4A3" w14:textId="77777777" w:rsidR="00611BDD" w:rsidRDefault="002E18C7">
            <w:pPr>
              <w:jc w:val="right"/>
              <w:textAlignment w:val="bottom"/>
            </w:pPr>
            <w:r>
              <w:rPr>
                <w:rFonts w:ascii="sans-serif" w:eastAsia="sans-serif" w:hAnsi="sans-serif" w:cs="sans-serif"/>
                <w:color w:val="000000"/>
                <w:sz w:val="15"/>
                <w:szCs w:val="15"/>
              </w:rPr>
              <w:t>(196)</w:t>
            </w:r>
          </w:p>
        </w:tc>
        <w:tc>
          <w:tcPr>
            <w:tcW w:w="0" w:type="auto"/>
            <w:shd w:val="clear" w:color="auto" w:fill="E2EFD9"/>
            <w:tcMar>
              <w:top w:w="40" w:type="dxa"/>
              <w:left w:w="0" w:type="dxa"/>
              <w:bottom w:w="40" w:type="dxa"/>
              <w:right w:w="20" w:type="dxa"/>
            </w:tcMar>
            <w:vAlign w:val="bottom"/>
          </w:tcPr>
          <w:p w14:paraId="540664A4" w14:textId="77777777" w:rsidR="00611BDD" w:rsidRDefault="00611BDD">
            <w:pPr>
              <w:jc w:val="right"/>
              <w:rPr>
                <w:rFonts w:ascii="宋体"/>
              </w:rPr>
            </w:pPr>
          </w:p>
        </w:tc>
      </w:tr>
      <w:tr w:rsidR="00611BDD" w14:paraId="540664B4" w14:textId="77777777">
        <w:trPr>
          <w:jc w:val="center"/>
          <w:hidden/>
        </w:trPr>
        <w:tc>
          <w:tcPr>
            <w:tcW w:w="0" w:type="auto"/>
            <w:gridSpan w:val="3"/>
            <w:shd w:val="clear" w:color="auto" w:fill="auto"/>
            <w:vAlign w:val="bottom"/>
          </w:tcPr>
          <w:p w14:paraId="540664A6" w14:textId="77777777" w:rsidR="00611BDD" w:rsidRDefault="00611BDD">
            <w:pPr>
              <w:rPr>
                <w:rFonts w:ascii="宋体"/>
                <w:vanish/>
              </w:rPr>
            </w:pPr>
          </w:p>
        </w:tc>
        <w:tc>
          <w:tcPr>
            <w:tcW w:w="0" w:type="auto"/>
            <w:gridSpan w:val="3"/>
            <w:shd w:val="clear" w:color="auto" w:fill="auto"/>
            <w:vAlign w:val="bottom"/>
          </w:tcPr>
          <w:p w14:paraId="540664A7" w14:textId="77777777" w:rsidR="00611BDD" w:rsidRDefault="00611BDD">
            <w:pPr>
              <w:rPr>
                <w:rFonts w:ascii="宋体"/>
                <w:vanish/>
              </w:rPr>
            </w:pPr>
          </w:p>
        </w:tc>
        <w:tc>
          <w:tcPr>
            <w:tcW w:w="0" w:type="auto"/>
            <w:gridSpan w:val="3"/>
            <w:shd w:val="clear" w:color="auto" w:fill="auto"/>
            <w:vAlign w:val="bottom"/>
          </w:tcPr>
          <w:p w14:paraId="540664A8" w14:textId="77777777" w:rsidR="00611BDD" w:rsidRDefault="00611BDD">
            <w:pPr>
              <w:rPr>
                <w:rFonts w:ascii="宋体"/>
                <w:vanish/>
              </w:rPr>
            </w:pPr>
          </w:p>
        </w:tc>
        <w:tc>
          <w:tcPr>
            <w:tcW w:w="0" w:type="auto"/>
            <w:gridSpan w:val="3"/>
            <w:shd w:val="clear" w:color="auto" w:fill="auto"/>
            <w:vAlign w:val="bottom"/>
          </w:tcPr>
          <w:p w14:paraId="540664A9" w14:textId="77777777" w:rsidR="00611BDD" w:rsidRDefault="00611BDD">
            <w:pPr>
              <w:rPr>
                <w:rFonts w:ascii="宋体"/>
                <w:vanish/>
              </w:rPr>
            </w:pPr>
          </w:p>
        </w:tc>
        <w:tc>
          <w:tcPr>
            <w:tcW w:w="0" w:type="auto"/>
            <w:gridSpan w:val="3"/>
            <w:shd w:val="clear" w:color="auto" w:fill="auto"/>
            <w:vAlign w:val="bottom"/>
          </w:tcPr>
          <w:p w14:paraId="540664AA" w14:textId="77777777" w:rsidR="00611BDD" w:rsidRDefault="00611BDD">
            <w:pPr>
              <w:rPr>
                <w:rFonts w:ascii="宋体"/>
                <w:vanish/>
              </w:rPr>
            </w:pPr>
          </w:p>
        </w:tc>
        <w:tc>
          <w:tcPr>
            <w:tcW w:w="0" w:type="auto"/>
            <w:gridSpan w:val="3"/>
            <w:shd w:val="clear" w:color="auto" w:fill="auto"/>
            <w:vAlign w:val="bottom"/>
          </w:tcPr>
          <w:p w14:paraId="540664AB" w14:textId="77777777" w:rsidR="00611BDD" w:rsidRDefault="00611BDD">
            <w:pPr>
              <w:rPr>
                <w:rFonts w:ascii="宋体"/>
                <w:vanish/>
              </w:rPr>
            </w:pPr>
          </w:p>
        </w:tc>
        <w:tc>
          <w:tcPr>
            <w:tcW w:w="0" w:type="auto"/>
            <w:gridSpan w:val="3"/>
            <w:shd w:val="clear" w:color="auto" w:fill="auto"/>
            <w:vAlign w:val="bottom"/>
          </w:tcPr>
          <w:p w14:paraId="540664AC" w14:textId="77777777" w:rsidR="00611BDD" w:rsidRDefault="00611BDD">
            <w:pPr>
              <w:rPr>
                <w:rFonts w:ascii="宋体"/>
                <w:vanish/>
              </w:rPr>
            </w:pPr>
          </w:p>
        </w:tc>
        <w:tc>
          <w:tcPr>
            <w:tcW w:w="0" w:type="auto"/>
            <w:gridSpan w:val="3"/>
            <w:shd w:val="clear" w:color="auto" w:fill="auto"/>
            <w:vAlign w:val="bottom"/>
          </w:tcPr>
          <w:p w14:paraId="540664AD" w14:textId="77777777" w:rsidR="00611BDD" w:rsidRDefault="00611BDD">
            <w:pPr>
              <w:rPr>
                <w:rFonts w:ascii="宋体"/>
                <w:vanish/>
              </w:rPr>
            </w:pPr>
          </w:p>
        </w:tc>
        <w:tc>
          <w:tcPr>
            <w:tcW w:w="0" w:type="auto"/>
            <w:gridSpan w:val="3"/>
            <w:shd w:val="clear" w:color="auto" w:fill="auto"/>
            <w:vAlign w:val="bottom"/>
          </w:tcPr>
          <w:p w14:paraId="540664AE" w14:textId="77777777" w:rsidR="00611BDD" w:rsidRDefault="00611BDD">
            <w:pPr>
              <w:rPr>
                <w:rFonts w:ascii="宋体"/>
                <w:vanish/>
              </w:rPr>
            </w:pPr>
          </w:p>
        </w:tc>
        <w:tc>
          <w:tcPr>
            <w:tcW w:w="0" w:type="auto"/>
            <w:gridSpan w:val="3"/>
            <w:shd w:val="clear" w:color="auto" w:fill="auto"/>
            <w:vAlign w:val="bottom"/>
          </w:tcPr>
          <w:p w14:paraId="540664AF" w14:textId="77777777" w:rsidR="00611BDD" w:rsidRDefault="00611BDD">
            <w:pPr>
              <w:rPr>
                <w:rFonts w:ascii="宋体"/>
                <w:vanish/>
              </w:rPr>
            </w:pPr>
          </w:p>
        </w:tc>
        <w:tc>
          <w:tcPr>
            <w:tcW w:w="0" w:type="auto"/>
            <w:gridSpan w:val="3"/>
            <w:shd w:val="clear" w:color="auto" w:fill="auto"/>
            <w:vAlign w:val="bottom"/>
          </w:tcPr>
          <w:p w14:paraId="540664B0" w14:textId="77777777" w:rsidR="00611BDD" w:rsidRDefault="00611BDD">
            <w:pPr>
              <w:rPr>
                <w:rFonts w:ascii="宋体"/>
                <w:vanish/>
              </w:rPr>
            </w:pPr>
          </w:p>
        </w:tc>
        <w:tc>
          <w:tcPr>
            <w:tcW w:w="0" w:type="auto"/>
            <w:gridSpan w:val="3"/>
            <w:shd w:val="clear" w:color="auto" w:fill="auto"/>
            <w:vAlign w:val="bottom"/>
          </w:tcPr>
          <w:p w14:paraId="540664B1" w14:textId="77777777" w:rsidR="00611BDD" w:rsidRDefault="00611BDD">
            <w:pPr>
              <w:rPr>
                <w:rFonts w:ascii="宋体"/>
                <w:vanish/>
              </w:rPr>
            </w:pPr>
          </w:p>
        </w:tc>
        <w:tc>
          <w:tcPr>
            <w:tcW w:w="0" w:type="auto"/>
            <w:gridSpan w:val="3"/>
            <w:shd w:val="clear" w:color="auto" w:fill="auto"/>
            <w:vAlign w:val="bottom"/>
          </w:tcPr>
          <w:p w14:paraId="540664B2" w14:textId="77777777" w:rsidR="00611BDD" w:rsidRDefault="00611BDD">
            <w:pPr>
              <w:rPr>
                <w:rFonts w:ascii="宋体"/>
                <w:vanish/>
              </w:rPr>
            </w:pPr>
          </w:p>
        </w:tc>
        <w:tc>
          <w:tcPr>
            <w:tcW w:w="0" w:type="auto"/>
            <w:gridSpan w:val="3"/>
            <w:shd w:val="clear" w:color="auto" w:fill="auto"/>
            <w:vAlign w:val="bottom"/>
          </w:tcPr>
          <w:p w14:paraId="540664B3" w14:textId="77777777" w:rsidR="00611BDD" w:rsidRDefault="00611BDD">
            <w:pPr>
              <w:rPr>
                <w:rFonts w:ascii="宋体"/>
                <w:vanish/>
              </w:rPr>
            </w:pPr>
          </w:p>
        </w:tc>
      </w:tr>
      <w:tr w:rsidR="00611BDD" w14:paraId="540664CA" w14:textId="77777777">
        <w:trPr>
          <w:jc w:val="center"/>
        </w:trPr>
        <w:tc>
          <w:tcPr>
            <w:tcW w:w="0" w:type="auto"/>
            <w:gridSpan w:val="3"/>
            <w:shd w:val="clear" w:color="auto" w:fill="FFFFFF"/>
            <w:tcMar>
              <w:top w:w="40" w:type="dxa"/>
              <w:left w:w="20" w:type="dxa"/>
              <w:bottom w:w="40" w:type="dxa"/>
              <w:right w:w="20" w:type="dxa"/>
            </w:tcMar>
            <w:vAlign w:val="bottom"/>
          </w:tcPr>
          <w:p w14:paraId="540664B5" w14:textId="77777777" w:rsidR="00611BDD" w:rsidRDefault="002E18C7">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15"/>
                <w:szCs w:val="15"/>
              </w:rPr>
              <w:t xml:space="preserve">Cash dividends declared and paid </w:t>
            </w:r>
            <w:r>
              <w:rPr>
                <w:rFonts w:ascii="sans-serif" w:eastAsia="sans-serif" w:hAnsi="sans-serif" w:cs="sans-serif"/>
                <w:color w:val="000000"/>
                <w:sz w:val="15"/>
                <w:szCs w:val="15"/>
              </w:rPr>
              <w:t>($0.04 per common share)</w:t>
            </w:r>
          </w:p>
        </w:tc>
        <w:tc>
          <w:tcPr>
            <w:tcW w:w="0" w:type="auto"/>
            <w:gridSpan w:val="2"/>
            <w:shd w:val="clear" w:color="auto" w:fill="FFFFFF"/>
            <w:tcMar>
              <w:top w:w="40" w:type="dxa"/>
              <w:left w:w="20" w:type="dxa"/>
              <w:bottom w:w="40" w:type="dxa"/>
              <w:right w:w="0" w:type="dxa"/>
            </w:tcMar>
            <w:vAlign w:val="bottom"/>
          </w:tcPr>
          <w:p w14:paraId="540664B6"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4B7"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B8"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4B9"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4BA"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BB"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4BC"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4BD"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BE"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4BF"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4C0"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C1"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4C2"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4C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C4"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4C5" w14:textId="77777777" w:rsidR="00611BDD" w:rsidRDefault="002E18C7">
            <w:pPr>
              <w:jc w:val="right"/>
              <w:textAlignment w:val="bottom"/>
            </w:pPr>
            <w:r>
              <w:rPr>
                <w:rFonts w:ascii="sans-serif" w:eastAsia="sans-serif" w:hAnsi="sans-serif" w:cs="sans-serif"/>
                <w:color w:val="000000"/>
                <w:sz w:val="15"/>
                <w:szCs w:val="15"/>
              </w:rPr>
              <w:t>(99)</w:t>
            </w:r>
          </w:p>
        </w:tc>
        <w:tc>
          <w:tcPr>
            <w:tcW w:w="0" w:type="auto"/>
            <w:shd w:val="clear" w:color="auto" w:fill="FFFFFF"/>
            <w:tcMar>
              <w:top w:w="40" w:type="dxa"/>
              <w:left w:w="0" w:type="dxa"/>
              <w:bottom w:w="40" w:type="dxa"/>
              <w:right w:w="20" w:type="dxa"/>
            </w:tcMar>
            <w:vAlign w:val="bottom"/>
          </w:tcPr>
          <w:p w14:paraId="540664C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C7"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4C8" w14:textId="77777777" w:rsidR="00611BDD" w:rsidRDefault="002E18C7">
            <w:pPr>
              <w:jc w:val="right"/>
              <w:textAlignment w:val="bottom"/>
            </w:pPr>
            <w:r>
              <w:rPr>
                <w:rFonts w:ascii="sans-serif" w:eastAsia="sans-serif" w:hAnsi="sans-serif" w:cs="sans-serif"/>
                <w:color w:val="000000"/>
                <w:sz w:val="15"/>
                <w:szCs w:val="15"/>
              </w:rPr>
              <w:t>(99)</w:t>
            </w:r>
          </w:p>
        </w:tc>
        <w:tc>
          <w:tcPr>
            <w:tcW w:w="0" w:type="auto"/>
            <w:shd w:val="clear" w:color="auto" w:fill="FFFFFF"/>
            <w:tcMar>
              <w:top w:w="40" w:type="dxa"/>
              <w:left w:w="0" w:type="dxa"/>
              <w:bottom w:w="40" w:type="dxa"/>
              <w:right w:w="20" w:type="dxa"/>
            </w:tcMar>
            <w:vAlign w:val="bottom"/>
          </w:tcPr>
          <w:p w14:paraId="540664C9" w14:textId="77777777" w:rsidR="00611BDD" w:rsidRDefault="00611BDD">
            <w:pPr>
              <w:jc w:val="right"/>
              <w:rPr>
                <w:rFonts w:ascii="宋体"/>
              </w:rPr>
            </w:pPr>
          </w:p>
        </w:tc>
      </w:tr>
      <w:tr w:rsidR="00611BDD" w14:paraId="540664E0" w14:textId="77777777">
        <w:trPr>
          <w:jc w:val="center"/>
        </w:trPr>
        <w:tc>
          <w:tcPr>
            <w:tcW w:w="0" w:type="auto"/>
            <w:gridSpan w:val="3"/>
            <w:shd w:val="clear" w:color="auto" w:fill="E2EFD9"/>
            <w:tcMar>
              <w:top w:w="40" w:type="dxa"/>
              <w:left w:w="20" w:type="dxa"/>
              <w:bottom w:w="40" w:type="dxa"/>
              <w:right w:w="20" w:type="dxa"/>
            </w:tcMar>
            <w:vAlign w:val="bottom"/>
          </w:tcPr>
          <w:p w14:paraId="540664CB" w14:textId="77777777" w:rsidR="00611BDD" w:rsidRDefault="002E18C7">
            <w:pPr>
              <w:textAlignment w:val="bottom"/>
            </w:pPr>
            <w:r>
              <w:rPr>
                <w:rFonts w:ascii="sans-serif" w:eastAsia="sans-serif" w:hAnsi="sans-serif" w:cs="sans-serif"/>
                <w:color w:val="000000"/>
                <w:sz w:val="15"/>
                <w:szCs w:val="15"/>
              </w:rPr>
              <w:t xml:space="preserve">Fair value of partially vested equity awards assumed </w:t>
            </w:r>
            <w:r>
              <w:rPr>
                <w:rFonts w:ascii="sans-serif" w:eastAsia="sans-serif" w:hAnsi="sans-serif" w:cs="sans-serif"/>
                <w:color w:val="000000"/>
                <w:sz w:val="15"/>
                <w:szCs w:val="15"/>
              </w:rPr>
              <w:t>in connection with acquisitions</w:t>
            </w:r>
          </w:p>
        </w:tc>
        <w:tc>
          <w:tcPr>
            <w:tcW w:w="0" w:type="auto"/>
            <w:gridSpan w:val="2"/>
            <w:shd w:val="clear" w:color="auto" w:fill="E2EFD9"/>
            <w:tcMar>
              <w:top w:w="40" w:type="dxa"/>
              <w:left w:w="20" w:type="dxa"/>
              <w:bottom w:w="40" w:type="dxa"/>
              <w:right w:w="0" w:type="dxa"/>
            </w:tcMar>
            <w:vAlign w:val="bottom"/>
          </w:tcPr>
          <w:p w14:paraId="540664CC"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4CD"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CE"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4CF"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4D0"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D1"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4D2" w14:textId="77777777" w:rsidR="00611BDD" w:rsidRDefault="002E18C7">
            <w:pPr>
              <w:jc w:val="right"/>
              <w:textAlignment w:val="bottom"/>
            </w:pPr>
            <w:r>
              <w:rPr>
                <w:rFonts w:ascii="sans-serif" w:eastAsia="sans-serif" w:hAnsi="sans-serif" w:cs="sans-serif"/>
                <w:color w:val="000000"/>
                <w:sz w:val="15"/>
                <w:szCs w:val="15"/>
              </w:rPr>
              <w:t>86 </w:t>
            </w:r>
          </w:p>
        </w:tc>
        <w:tc>
          <w:tcPr>
            <w:tcW w:w="0" w:type="auto"/>
            <w:shd w:val="clear" w:color="auto" w:fill="E2EFD9"/>
            <w:tcMar>
              <w:top w:w="40" w:type="dxa"/>
              <w:left w:w="0" w:type="dxa"/>
              <w:bottom w:w="40" w:type="dxa"/>
              <w:right w:w="20" w:type="dxa"/>
            </w:tcMar>
            <w:vAlign w:val="bottom"/>
          </w:tcPr>
          <w:p w14:paraId="540664D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D4"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4D5"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4D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D7"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4D8"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4D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DA"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4DB"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4DC"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DD"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4DE" w14:textId="77777777" w:rsidR="00611BDD" w:rsidRDefault="002E18C7">
            <w:pPr>
              <w:jc w:val="right"/>
              <w:textAlignment w:val="bottom"/>
            </w:pPr>
            <w:r>
              <w:rPr>
                <w:rFonts w:ascii="sans-serif" w:eastAsia="sans-serif" w:hAnsi="sans-serif" w:cs="sans-serif"/>
                <w:color w:val="000000"/>
                <w:sz w:val="15"/>
                <w:szCs w:val="15"/>
              </w:rPr>
              <w:t>86 </w:t>
            </w:r>
          </w:p>
        </w:tc>
        <w:tc>
          <w:tcPr>
            <w:tcW w:w="0" w:type="auto"/>
            <w:shd w:val="clear" w:color="auto" w:fill="E2EFD9"/>
            <w:tcMar>
              <w:top w:w="40" w:type="dxa"/>
              <w:left w:w="0" w:type="dxa"/>
              <w:bottom w:w="40" w:type="dxa"/>
              <w:right w:w="20" w:type="dxa"/>
            </w:tcMar>
            <w:vAlign w:val="bottom"/>
          </w:tcPr>
          <w:p w14:paraId="540664DF" w14:textId="77777777" w:rsidR="00611BDD" w:rsidRDefault="00611BDD">
            <w:pPr>
              <w:jc w:val="right"/>
              <w:rPr>
                <w:rFonts w:ascii="宋体"/>
              </w:rPr>
            </w:pPr>
          </w:p>
        </w:tc>
      </w:tr>
      <w:tr w:rsidR="00611BDD" w14:paraId="540664F6" w14:textId="77777777">
        <w:trPr>
          <w:jc w:val="center"/>
        </w:trPr>
        <w:tc>
          <w:tcPr>
            <w:tcW w:w="0" w:type="auto"/>
            <w:gridSpan w:val="3"/>
            <w:shd w:val="clear" w:color="auto" w:fill="FFFFFF"/>
            <w:tcMar>
              <w:top w:w="40" w:type="dxa"/>
              <w:left w:w="20" w:type="dxa"/>
              <w:bottom w:w="40" w:type="dxa"/>
              <w:right w:w="20" w:type="dxa"/>
            </w:tcMar>
            <w:vAlign w:val="bottom"/>
          </w:tcPr>
          <w:p w14:paraId="540664E1" w14:textId="77777777" w:rsidR="00611BDD" w:rsidRDefault="002E18C7">
            <w:pPr>
              <w:textAlignment w:val="bottom"/>
            </w:pPr>
            <w:r>
              <w:rPr>
                <w:rFonts w:ascii="sans-serif" w:eastAsia="sans-serif" w:hAnsi="sans-serif" w:cs="sans-serif"/>
                <w:color w:val="000000"/>
                <w:sz w:val="15"/>
                <w:szCs w:val="15"/>
              </w:rPr>
              <w:t>Stock-based compensation</w:t>
            </w:r>
          </w:p>
        </w:tc>
        <w:tc>
          <w:tcPr>
            <w:tcW w:w="0" w:type="auto"/>
            <w:gridSpan w:val="2"/>
            <w:shd w:val="clear" w:color="auto" w:fill="FFFFFF"/>
            <w:tcMar>
              <w:top w:w="40" w:type="dxa"/>
              <w:left w:w="20" w:type="dxa"/>
              <w:bottom w:w="40" w:type="dxa"/>
              <w:right w:w="0" w:type="dxa"/>
            </w:tcMar>
            <w:vAlign w:val="bottom"/>
          </w:tcPr>
          <w:p w14:paraId="540664E2"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4E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E4"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4E5"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4E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E7"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4E8" w14:textId="77777777" w:rsidR="00611BDD" w:rsidRDefault="002E18C7">
            <w:pPr>
              <w:jc w:val="right"/>
              <w:textAlignment w:val="bottom"/>
            </w:pPr>
            <w:r>
              <w:rPr>
                <w:rFonts w:ascii="sans-serif" w:eastAsia="sans-serif" w:hAnsi="sans-serif" w:cs="sans-serif"/>
                <w:color w:val="000000"/>
                <w:sz w:val="15"/>
                <w:szCs w:val="15"/>
              </w:rPr>
              <w:t>382 </w:t>
            </w:r>
          </w:p>
        </w:tc>
        <w:tc>
          <w:tcPr>
            <w:tcW w:w="0" w:type="auto"/>
            <w:shd w:val="clear" w:color="auto" w:fill="FFFFFF"/>
            <w:tcMar>
              <w:top w:w="40" w:type="dxa"/>
              <w:left w:w="0" w:type="dxa"/>
              <w:bottom w:w="40" w:type="dxa"/>
              <w:right w:w="20" w:type="dxa"/>
            </w:tcMar>
            <w:vAlign w:val="bottom"/>
          </w:tcPr>
          <w:p w14:paraId="540664E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EA"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4EB"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4EC"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ED"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4EE"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4EF"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F0"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4F1"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4F2"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4F3"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4F4" w14:textId="77777777" w:rsidR="00611BDD" w:rsidRDefault="002E18C7">
            <w:pPr>
              <w:jc w:val="right"/>
              <w:textAlignment w:val="bottom"/>
            </w:pPr>
            <w:r>
              <w:rPr>
                <w:rFonts w:ascii="sans-serif" w:eastAsia="sans-serif" w:hAnsi="sans-serif" w:cs="sans-serif"/>
                <w:color w:val="000000"/>
                <w:sz w:val="15"/>
                <w:szCs w:val="15"/>
              </w:rPr>
              <w:t>382 </w:t>
            </w:r>
          </w:p>
        </w:tc>
        <w:tc>
          <w:tcPr>
            <w:tcW w:w="0" w:type="auto"/>
            <w:shd w:val="clear" w:color="auto" w:fill="FFFFFF"/>
            <w:tcMar>
              <w:top w:w="40" w:type="dxa"/>
              <w:left w:w="0" w:type="dxa"/>
              <w:bottom w:w="40" w:type="dxa"/>
              <w:right w:w="20" w:type="dxa"/>
            </w:tcMar>
            <w:vAlign w:val="bottom"/>
          </w:tcPr>
          <w:p w14:paraId="540664F5" w14:textId="77777777" w:rsidR="00611BDD" w:rsidRDefault="00611BDD">
            <w:pPr>
              <w:jc w:val="right"/>
              <w:rPr>
                <w:rFonts w:ascii="宋体"/>
              </w:rPr>
            </w:pPr>
          </w:p>
        </w:tc>
      </w:tr>
      <w:tr w:rsidR="00611BDD" w14:paraId="54066512" w14:textId="77777777">
        <w:trPr>
          <w:jc w:val="center"/>
        </w:trPr>
        <w:tc>
          <w:tcPr>
            <w:tcW w:w="0" w:type="auto"/>
            <w:gridSpan w:val="3"/>
            <w:shd w:val="clear" w:color="auto" w:fill="E2EFD9"/>
            <w:tcMar>
              <w:top w:w="40" w:type="dxa"/>
              <w:left w:w="20" w:type="dxa"/>
              <w:bottom w:w="40" w:type="dxa"/>
              <w:right w:w="20" w:type="dxa"/>
            </w:tcMar>
            <w:vAlign w:val="bottom"/>
          </w:tcPr>
          <w:p w14:paraId="540664F7" w14:textId="77777777" w:rsidR="00611BDD" w:rsidRDefault="002E18C7">
            <w:pPr>
              <w:textAlignment w:val="bottom"/>
            </w:pPr>
            <w:r>
              <w:rPr>
                <w:rFonts w:ascii="sans-serif" w:eastAsia="sans-serif" w:hAnsi="sans-serif" w:cs="sans-serif"/>
                <w:color w:val="000000"/>
                <w:sz w:val="15"/>
                <w:szCs w:val="15"/>
              </w:rPr>
              <w:t>Balances, July 26, 2020</w:t>
            </w: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4F8" w14:textId="77777777" w:rsidR="00611BDD" w:rsidRDefault="002E18C7">
            <w:pPr>
              <w:jc w:val="right"/>
              <w:textAlignment w:val="bottom"/>
            </w:pPr>
            <w:r>
              <w:rPr>
                <w:rFonts w:ascii="sans-serif" w:eastAsia="sans-serif" w:hAnsi="sans-serif" w:cs="sans-serif"/>
                <w:color w:val="000000"/>
                <w:sz w:val="15"/>
                <w:szCs w:val="15"/>
              </w:rPr>
              <w:t>2,467 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4F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FA"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4FB"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4FC" w14:textId="77777777" w:rsidR="00611BDD" w:rsidRDefault="002E18C7">
            <w:pPr>
              <w:jc w:val="right"/>
              <w:textAlignment w:val="bottom"/>
            </w:pPr>
            <w:r>
              <w:rPr>
                <w:rFonts w:ascii="sans-serif" w:eastAsia="sans-serif" w:hAnsi="sans-serif" w:cs="sans-serif"/>
                <w:color w:val="000000"/>
                <w:sz w:val="15"/>
                <w:szCs w:val="15"/>
              </w:rPr>
              <w:t>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4FD"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4FE"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4FF"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500" w14:textId="77777777" w:rsidR="00611BDD" w:rsidRDefault="002E18C7">
            <w:pPr>
              <w:jc w:val="right"/>
              <w:textAlignment w:val="bottom"/>
            </w:pPr>
            <w:r>
              <w:rPr>
                <w:rFonts w:ascii="sans-serif" w:eastAsia="sans-serif" w:hAnsi="sans-serif" w:cs="sans-serif"/>
                <w:color w:val="000000"/>
                <w:sz w:val="15"/>
                <w:szCs w:val="15"/>
              </w:rPr>
              <w:t>7,826 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501"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502"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503"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504" w14:textId="77777777" w:rsidR="00611BDD" w:rsidRDefault="002E18C7">
            <w:pPr>
              <w:jc w:val="right"/>
              <w:textAlignment w:val="bottom"/>
            </w:pPr>
            <w:r>
              <w:rPr>
                <w:rFonts w:ascii="sans-serif" w:eastAsia="sans-serif" w:hAnsi="sans-serif" w:cs="sans-serif"/>
                <w:color w:val="000000"/>
                <w:sz w:val="15"/>
                <w:szCs w:val="15"/>
              </w:rPr>
              <w:t>(10,232)</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505"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506"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507"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508" w14:textId="77777777" w:rsidR="00611BDD" w:rsidRDefault="002E18C7">
            <w:pPr>
              <w:jc w:val="right"/>
              <w:textAlignment w:val="bottom"/>
            </w:pPr>
            <w:r>
              <w:rPr>
                <w:rFonts w:ascii="sans-serif" w:eastAsia="sans-serif" w:hAnsi="sans-serif" w:cs="sans-serif"/>
                <w:color w:val="000000"/>
                <w:sz w:val="15"/>
                <w:szCs w:val="15"/>
              </w:rPr>
              <w:t>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50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50A"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50B"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50C" w14:textId="77777777" w:rsidR="00611BDD" w:rsidRDefault="002E18C7">
            <w:pPr>
              <w:jc w:val="right"/>
              <w:textAlignment w:val="bottom"/>
            </w:pPr>
            <w:r>
              <w:rPr>
                <w:rFonts w:ascii="sans-serif" w:eastAsia="sans-serif" w:hAnsi="sans-serif" w:cs="sans-serif"/>
                <w:color w:val="000000"/>
                <w:sz w:val="15"/>
                <w:szCs w:val="15"/>
              </w:rPr>
              <w:t>16,313 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50D"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50E"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50F"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510" w14:textId="77777777" w:rsidR="00611BDD" w:rsidRDefault="002E18C7">
            <w:pPr>
              <w:jc w:val="right"/>
              <w:textAlignment w:val="bottom"/>
            </w:pPr>
            <w:r>
              <w:rPr>
                <w:rFonts w:ascii="sans-serif" w:eastAsia="sans-serif" w:hAnsi="sans-serif" w:cs="sans-serif"/>
                <w:color w:val="000000"/>
                <w:sz w:val="15"/>
                <w:szCs w:val="15"/>
              </w:rPr>
              <w:t>13,914 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511" w14:textId="77777777" w:rsidR="00611BDD" w:rsidRDefault="00611BDD">
            <w:pPr>
              <w:jc w:val="right"/>
              <w:rPr>
                <w:rFonts w:ascii="宋体"/>
              </w:rPr>
            </w:pPr>
          </w:p>
        </w:tc>
      </w:tr>
    </w:tbl>
    <w:p w14:paraId="54066513" w14:textId="77777777" w:rsidR="00611BDD" w:rsidRDefault="002E18C7">
      <w:pPr>
        <w:spacing w:after="180"/>
        <w:jc w:val="center"/>
      </w:pPr>
      <w:r>
        <w:rPr>
          <w:rFonts w:ascii="sans-serif" w:eastAsia="sans-serif" w:hAnsi="sans-serif" w:cs="sans-serif"/>
          <w:color w:val="000000"/>
          <w:sz w:val="20"/>
          <w:szCs w:val="20"/>
        </w:rPr>
        <w:t>See accompanying Notes to Condensed Consolidated Financial Statements.</w:t>
      </w:r>
    </w:p>
    <w:p w14:paraId="54066514" w14:textId="77777777" w:rsidR="00611BDD" w:rsidRDefault="002E18C7">
      <w:pPr>
        <w:spacing w:after="180"/>
        <w:jc w:val="center"/>
      </w:pPr>
      <w:r>
        <w:rPr>
          <w:rFonts w:ascii="sans-serif" w:eastAsia="sans-serif" w:hAnsi="sans-serif" w:cs="sans-serif"/>
          <w:color w:val="000000"/>
          <w:sz w:val="20"/>
          <w:szCs w:val="20"/>
        </w:rPr>
        <w:t>6</w:t>
      </w:r>
    </w:p>
    <w:p w14:paraId="54066515" w14:textId="77777777" w:rsidR="00611BDD" w:rsidRDefault="002E18C7">
      <w:r>
        <w:pict w14:anchorId="54067C2A">
          <v:rect id="_x0000_i1030" style="width:415.3pt;height:1.5pt" o:hralign="center" o:hrstd="t" o:hr="t" fillcolor="#a0a0a0" stroked="f"/>
        </w:pict>
      </w:r>
    </w:p>
    <w:p w14:paraId="54066516" w14:textId="77777777" w:rsidR="00611BDD" w:rsidRDefault="00611BDD">
      <w:pPr>
        <w:spacing w:after="180"/>
        <w:jc w:val="both"/>
      </w:pPr>
    </w:p>
    <w:p w14:paraId="54066517" w14:textId="77777777" w:rsidR="00611BDD" w:rsidRDefault="002E18C7">
      <w:pPr>
        <w:jc w:val="center"/>
      </w:pPr>
      <w:r>
        <w:rPr>
          <w:rFonts w:ascii="sans-serif" w:eastAsia="sans-serif" w:hAnsi="sans-serif" w:cs="sans-serif"/>
          <w:b/>
          <w:bCs/>
          <w:color w:val="000000"/>
          <w:sz w:val="20"/>
          <w:szCs w:val="20"/>
        </w:rPr>
        <w:t xml:space="preserve">NVIDIA CORPORATION AND </w:t>
      </w:r>
      <w:r>
        <w:rPr>
          <w:rFonts w:ascii="sans-serif" w:eastAsia="sans-serif" w:hAnsi="sans-serif" w:cs="sans-serif"/>
          <w:b/>
          <w:bCs/>
          <w:color w:val="000000"/>
          <w:sz w:val="20"/>
          <w:szCs w:val="20"/>
        </w:rPr>
        <w:t>SUBSIDIARIES</w:t>
      </w:r>
    </w:p>
    <w:p w14:paraId="54066518" w14:textId="77777777" w:rsidR="00611BDD" w:rsidRDefault="002E18C7">
      <w:pPr>
        <w:jc w:val="center"/>
      </w:pPr>
      <w:r>
        <w:rPr>
          <w:rFonts w:ascii="sans-serif" w:eastAsia="sans-serif" w:hAnsi="sans-serif" w:cs="sans-serif"/>
          <w:b/>
          <w:bCs/>
          <w:color w:val="000000"/>
          <w:sz w:val="20"/>
          <w:szCs w:val="20"/>
        </w:rPr>
        <w:t>CONDENSED CONSOLIDATED STATEMENTS OF SHAREHOLDERS’ EQUITY</w:t>
      </w:r>
    </w:p>
    <w:p w14:paraId="54066519" w14:textId="77777777" w:rsidR="00611BDD" w:rsidRDefault="002E18C7">
      <w:pPr>
        <w:jc w:val="center"/>
      </w:pPr>
      <w:r>
        <w:rPr>
          <w:rFonts w:ascii="sans-serif" w:eastAsia="sans-serif" w:hAnsi="sans-serif" w:cs="sans-serif"/>
          <w:b/>
          <w:bCs/>
          <w:color w:val="000000"/>
          <w:sz w:val="20"/>
          <w:szCs w:val="20"/>
        </w:rPr>
        <w:t>FOR THE SIX MONTHS ENDED AUGUST 1, 2021 AND JULY 26, 2020</w:t>
      </w:r>
    </w:p>
    <w:p w14:paraId="5406651A" w14:textId="77777777" w:rsidR="00611BDD" w:rsidRDefault="002E18C7">
      <w:pPr>
        <w:spacing w:after="180"/>
        <w:jc w:val="center"/>
      </w:pPr>
      <w:r>
        <w:rPr>
          <w:rFonts w:ascii="sans-serif" w:eastAsia="sans-serif" w:hAnsi="sans-serif" w:cs="sans-serif"/>
          <w:b/>
          <w:bCs/>
          <w:color w:val="000000"/>
          <w:sz w:val="20"/>
          <w:szCs w:val="20"/>
        </w:rPr>
        <w:t xml:space="preserve">(Unaudited) </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2494"/>
        <w:gridCol w:w="37"/>
        <w:gridCol w:w="73"/>
        <w:gridCol w:w="389"/>
        <w:gridCol w:w="37"/>
        <w:gridCol w:w="37"/>
        <w:gridCol w:w="37"/>
        <w:gridCol w:w="36"/>
        <w:gridCol w:w="98"/>
        <w:gridCol w:w="452"/>
        <w:gridCol w:w="36"/>
        <w:gridCol w:w="36"/>
        <w:gridCol w:w="36"/>
        <w:gridCol w:w="36"/>
        <w:gridCol w:w="98"/>
        <w:gridCol w:w="593"/>
        <w:gridCol w:w="36"/>
        <w:gridCol w:w="36"/>
        <w:gridCol w:w="36"/>
        <w:gridCol w:w="36"/>
        <w:gridCol w:w="97"/>
        <w:gridCol w:w="509"/>
        <w:gridCol w:w="36"/>
        <w:gridCol w:w="36"/>
        <w:gridCol w:w="36"/>
        <w:gridCol w:w="36"/>
        <w:gridCol w:w="98"/>
        <w:gridCol w:w="916"/>
        <w:gridCol w:w="36"/>
        <w:gridCol w:w="36"/>
        <w:gridCol w:w="36"/>
        <w:gridCol w:w="36"/>
        <w:gridCol w:w="98"/>
        <w:gridCol w:w="506"/>
        <w:gridCol w:w="36"/>
        <w:gridCol w:w="36"/>
        <w:gridCol w:w="36"/>
        <w:gridCol w:w="36"/>
        <w:gridCol w:w="98"/>
        <w:gridCol w:w="802"/>
        <w:gridCol w:w="36"/>
      </w:tblGrid>
      <w:tr w:rsidR="00611BDD" w14:paraId="54066545" w14:textId="77777777">
        <w:trPr>
          <w:jc w:val="center"/>
        </w:trPr>
        <w:tc>
          <w:tcPr>
            <w:tcW w:w="50" w:type="pct"/>
            <w:shd w:val="clear" w:color="auto" w:fill="auto"/>
            <w:vAlign w:val="bottom"/>
          </w:tcPr>
          <w:p w14:paraId="5406651B" w14:textId="77777777" w:rsidR="00611BDD" w:rsidRDefault="00611BDD">
            <w:pPr>
              <w:rPr>
                <w:rFonts w:ascii="宋体"/>
              </w:rPr>
            </w:pPr>
          </w:p>
        </w:tc>
        <w:tc>
          <w:tcPr>
            <w:tcW w:w="1883" w:type="pct"/>
            <w:shd w:val="clear" w:color="auto" w:fill="auto"/>
            <w:vAlign w:val="bottom"/>
          </w:tcPr>
          <w:p w14:paraId="5406651C" w14:textId="77777777" w:rsidR="00611BDD" w:rsidRDefault="00611BDD">
            <w:pPr>
              <w:rPr>
                <w:rFonts w:ascii="宋体"/>
              </w:rPr>
            </w:pPr>
          </w:p>
        </w:tc>
        <w:tc>
          <w:tcPr>
            <w:tcW w:w="5" w:type="pct"/>
            <w:shd w:val="clear" w:color="auto" w:fill="auto"/>
            <w:vAlign w:val="bottom"/>
          </w:tcPr>
          <w:p w14:paraId="5406651D" w14:textId="77777777" w:rsidR="00611BDD" w:rsidRDefault="00611BDD">
            <w:pPr>
              <w:rPr>
                <w:rFonts w:ascii="宋体"/>
              </w:rPr>
            </w:pPr>
          </w:p>
        </w:tc>
        <w:tc>
          <w:tcPr>
            <w:tcW w:w="50" w:type="pct"/>
            <w:shd w:val="clear" w:color="auto" w:fill="auto"/>
            <w:vAlign w:val="bottom"/>
          </w:tcPr>
          <w:p w14:paraId="5406651E" w14:textId="77777777" w:rsidR="00611BDD" w:rsidRDefault="00611BDD">
            <w:pPr>
              <w:rPr>
                <w:rFonts w:ascii="宋体"/>
              </w:rPr>
            </w:pPr>
          </w:p>
        </w:tc>
        <w:tc>
          <w:tcPr>
            <w:tcW w:w="268" w:type="pct"/>
            <w:shd w:val="clear" w:color="auto" w:fill="auto"/>
            <w:vAlign w:val="bottom"/>
          </w:tcPr>
          <w:p w14:paraId="5406651F" w14:textId="77777777" w:rsidR="00611BDD" w:rsidRDefault="00611BDD">
            <w:pPr>
              <w:rPr>
                <w:rFonts w:ascii="宋体"/>
              </w:rPr>
            </w:pPr>
          </w:p>
        </w:tc>
        <w:tc>
          <w:tcPr>
            <w:tcW w:w="5" w:type="pct"/>
            <w:shd w:val="clear" w:color="auto" w:fill="auto"/>
            <w:vAlign w:val="bottom"/>
          </w:tcPr>
          <w:p w14:paraId="54066520" w14:textId="77777777" w:rsidR="00611BDD" w:rsidRDefault="00611BDD">
            <w:pPr>
              <w:rPr>
                <w:rFonts w:ascii="宋体"/>
              </w:rPr>
            </w:pPr>
          </w:p>
        </w:tc>
        <w:tc>
          <w:tcPr>
            <w:tcW w:w="5" w:type="pct"/>
            <w:shd w:val="clear" w:color="auto" w:fill="auto"/>
            <w:vAlign w:val="bottom"/>
          </w:tcPr>
          <w:p w14:paraId="54066521" w14:textId="77777777" w:rsidR="00611BDD" w:rsidRDefault="00611BDD">
            <w:pPr>
              <w:rPr>
                <w:rFonts w:ascii="宋体"/>
              </w:rPr>
            </w:pPr>
          </w:p>
        </w:tc>
        <w:tc>
          <w:tcPr>
            <w:tcW w:w="26" w:type="pct"/>
            <w:shd w:val="clear" w:color="auto" w:fill="auto"/>
            <w:vAlign w:val="bottom"/>
          </w:tcPr>
          <w:p w14:paraId="54066522" w14:textId="77777777" w:rsidR="00611BDD" w:rsidRDefault="00611BDD">
            <w:pPr>
              <w:rPr>
                <w:rFonts w:ascii="宋体"/>
              </w:rPr>
            </w:pPr>
          </w:p>
        </w:tc>
        <w:tc>
          <w:tcPr>
            <w:tcW w:w="5" w:type="pct"/>
            <w:shd w:val="clear" w:color="auto" w:fill="auto"/>
            <w:vAlign w:val="bottom"/>
          </w:tcPr>
          <w:p w14:paraId="54066523" w14:textId="77777777" w:rsidR="00611BDD" w:rsidRDefault="00611BDD">
            <w:pPr>
              <w:rPr>
                <w:rFonts w:ascii="宋体"/>
              </w:rPr>
            </w:pPr>
          </w:p>
        </w:tc>
        <w:tc>
          <w:tcPr>
            <w:tcW w:w="50" w:type="pct"/>
            <w:shd w:val="clear" w:color="auto" w:fill="auto"/>
            <w:vAlign w:val="bottom"/>
          </w:tcPr>
          <w:p w14:paraId="54066524" w14:textId="77777777" w:rsidR="00611BDD" w:rsidRDefault="00611BDD">
            <w:pPr>
              <w:rPr>
                <w:rFonts w:ascii="宋体"/>
              </w:rPr>
            </w:pPr>
          </w:p>
        </w:tc>
        <w:tc>
          <w:tcPr>
            <w:tcW w:w="260" w:type="pct"/>
            <w:shd w:val="clear" w:color="auto" w:fill="auto"/>
            <w:vAlign w:val="bottom"/>
          </w:tcPr>
          <w:p w14:paraId="54066525" w14:textId="77777777" w:rsidR="00611BDD" w:rsidRDefault="00611BDD">
            <w:pPr>
              <w:rPr>
                <w:rFonts w:ascii="宋体"/>
              </w:rPr>
            </w:pPr>
          </w:p>
        </w:tc>
        <w:tc>
          <w:tcPr>
            <w:tcW w:w="5" w:type="pct"/>
            <w:shd w:val="clear" w:color="auto" w:fill="auto"/>
            <w:vAlign w:val="bottom"/>
          </w:tcPr>
          <w:p w14:paraId="54066526" w14:textId="77777777" w:rsidR="00611BDD" w:rsidRDefault="00611BDD">
            <w:pPr>
              <w:rPr>
                <w:rFonts w:ascii="宋体"/>
              </w:rPr>
            </w:pPr>
          </w:p>
        </w:tc>
        <w:tc>
          <w:tcPr>
            <w:tcW w:w="5" w:type="pct"/>
            <w:shd w:val="clear" w:color="auto" w:fill="auto"/>
            <w:vAlign w:val="bottom"/>
          </w:tcPr>
          <w:p w14:paraId="54066527" w14:textId="77777777" w:rsidR="00611BDD" w:rsidRDefault="00611BDD">
            <w:pPr>
              <w:rPr>
                <w:rFonts w:ascii="宋体"/>
              </w:rPr>
            </w:pPr>
          </w:p>
        </w:tc>
        <w:tc>
          <w:tcPr>
            <w:tcW w:w="26" w:type="pct"/>
            <w:shd w:val="clear" w:color="auto" w:fill="auto"/>
            <w:vAlign w:val="bottom"/>
          </w:tcPr>
          <w:p w14:paraId="54066528" w14:textId="77777777" w:rsidR="00611BDD" w:rsidRDefault="00611BDD">
            <w:pPr>
              <w:rPr>
                <w:rFonts w:ascii="宋体"/>
              </w:rPr>
            </w:pPr>
          </w:p>
        </w:tc>
        <w:tc>
          <w:tcPr>
            <w:tcW w:w="5" w:type="pct"/>
            <w:shd w:val="clear" w:color="auto" w:fill="auto"/>
            <w:vAlign w:val="bottom"/>
          </w:tcPr>
          <w:p w14:paraId="54066529" w14:textId="77777777" w:rsidR="00611BDD" w:rsidRDefault="00611BDD">
            <w:pPr>
              <w:rPr>
                <w:rFonts w:ascii="宋体"/>
              </w:rPr>
            </w:pPr>
          </w:p>
        </w:tc>
        <w:tc>
          <w:tcPr>
            <w:tcW w:w="50" w:type="pct"/>
            <w:shd w:val="clear" w:color="auto" w:fill="auto"/>
            <w:vAlign w:val="bottom"/>
          </w:tcPr>
          <w:p w14:paraId="5406652A" w14:textId="77777777" w:rsidR="00611BDD" w:rsidRDefault="00611BDD">
            <w:pPr>
              <w:rPr>
                <w:rFonts w:ascii="宋体"/>
              </w:rPr>
            </w:pPr>
          </w:p>
        </w:tc>
        <w:tc>
          <w:tcPr>
            <w:tcW w:w="334" w:type="pct"/>
            <w:shd w:val="clear" w:color="auto" w:fill="auto"/>
            <w:vAlign w:val="bottom"/>
          </w:tcPr>
          <w:p w14:paraId="5406652B" w14:textId="77777777" w:rsidR="00611BDD" w:rsidRDefault="00611BDD">
            <w:pPr>
              <w:rPr>
                <w:rFonts w:ascii="宋体"/>
              </w:rPr>
            </w:pPr>
          </w:p>
        </w:tc>
        <w:tc>
          <w:tcPr>
            <w:tcW w:w="5" w:type="pct"/>
            <w:shd w:val="clear" w:color="auto" w:fill="auto"/>
            <w:vAlign w:val="bottom"/>
          </w:tcPr>
          <w:p w14:paraId="5406652C" w14:textId="77777777" w:rsidR="00611BDD" w:rsidRDefault="00611BDD">
            <w:pPr>
              <w:rPr>
                <w:rFonts w:ascii="宋体"/>
              </w:rPr>
            </w:pPr>
          </w:p>
        </w:tc>
        <w:tc>
          <w:tcPr>
            <w:tcW w:w="5" w:type="pct"/>
            <w:shd w:val="clear" w:color="auto" w:fill="auto"/>
            <w:vAlign w:val="bottom"/>
          </w:tcPr>
          <w:p w14:paraId="5406652D" w14:textId="77777777" w:rsidR="00611BDD" w:rsidRDefault="00611BDD">
            <w:pPr>
              <w:rPr>
                <w:rFonts w:ascii="宋体"/>
              </w:rPr>
            </w:pPr>
          </w:p>
        </w:tc>
        <w:tc>
          <w:tcPr>
            <w:tcW w:w="26" w:type="pct"/>
            <w:shd w:val="clear" w:color="auto" w:fill="auto"/>
            <w:vAlign w:val="bottom"/>
          </w:tcPr>
          <w:p w14:paraId="5406652E" w14:textId="77777777" w:rsidR="00611BDD" w:rsidRDefault="00611BDD">
            <w:pPr>
              <w:rPr>
                <w:rFonts w:ascii="宋体"/>
              </w:rPr>
            </w:pPr>
          </w:p>
        </w:tc>
        <w:tc>
          <w:tcPr>
            <w:tcW w:w="5" w:type="pct"/>
            <w:shd w:val="clear" w:color="auto" w:fill="auto"/>
            <w:vAlign w:val="bottom"/>
          </w:tcPr>
          <w:p w14:paraId="5406652F" w14:textId="77777777" w:rsidR="00611BDD" w:rsidRDefault="00611BDD">
            <w:pPr>
              <w:rPr>
                <w:rFonts w:ascii="宋体"/>
              </w:rPr>
            </w:pPr>
          </w:p>
        </w:tc>
        <w:tc>
          <w:tcPr>
            <w:tcW w:w="50" w:type="pct"/>
            <w:shd w:val="clear" w:color="auto" w:fill="auto"/>
            <w:vAlign w:val="bottom"/>
          </w:tcPr>
          <w:p w14:paraId="54066530" w14:textId="77777777" w:rsidR="00611BDD" w:rsidRDefault="00611BDD">
            <w:pPr>
              <w:rPr>
                <w:rFonts w:ascii="宋体"/>
              </w:rPr>
            </w:pPr>
          </w:p>
        </w:tc>
        <w:tc>
          <w:tcPr>
            <w:tcW w:w="304" w:type="pct"/>
            <w:shd w:val="clear" w:color="auto" w:fill="auto"/>
            <w:vAlign w:val="bottom"/>
          </w:tcPr>
          <w:p w14:paraId="54066531" w14:textId="77777777" w:rsidR="00611BDD" w:rsidRDefault="00611BDD">
            <w:pPr>
              <w:rPr>
                <w:rFonts w:ascii="宋体"/>
              </w:rPr>
            </w:pPr>
          </w:p>
        </w:tc>
        <w:tc>
          <w:tcPr>
            <w:tcW w:w="5" w:type="pct"/>
            <w:shd w:val="clear" w:color="auto" w:fill="auto"/>
            <w:vAlign w:val="bottom"/>
          </w:tcPr>
          <w:p w14:paraId="54066532" w14:textId="77777777" w:rsidR="00611BDD" w:rsidRDefault="00611BDD">
            <w:pPr>
              <w:rPr>
                <w:rFonts w:ascii="宋体"/>
              </w:rPr>
            </w:pPr>
          </w:p>
        </w:tc>
        <w:tc>
          <w:tcPr>
            <w:tcW w:w="5" w:type="pct"/>
            <w:shd w:val="clear" w:color="auto" w:fill="auto"/>
            <w:vAlign w:val="bottom"/>
          </w:tcPr>
          <w:p w14:paraId="54066533" w14:textId="77777777" w:rsidR="00611BDD" w:rsidRDefault="00611BDD">
            <w:pPr>
              <w:rPr>
                <w:rFonts w:ascii="宋体"/>
              </w:rPr>
            </w:pPr>
          </w:p>
        </w:tc>
        <w:tc>
          <w:tcPr>
            <w:tcW w:w="26" w:type="pct"/>
            <w:shd w:val="clear" w:color="auto" w:fill="auto"/>
            <w:vAlign w:val="bottom"/>
          </w:tcPr>
          <w:p w14:paraId="54066534" w14:textId="77777777" w:rsidR="00611BDD" w:rsidRDefault="00611BDD">
            <w:pPr>
              <w:rPr>
                <w:rFonts w:ascii="宋体"/>
              </w:rPr>
            </w:pPr>
          </w:p>
        </w:tc>
        <w:tc>
          <w:tcPr>
            <w:tcW w:w="5" w:type="pct"/>
            <w:shd w:val="clear" w:color="auto" w:fill="auto"/>
            <w:vAlign w:val="bottom"/>
          </w:tcPr>
          <w:p w14:paraId="54066535" w14:textId="77777777" w:rsidR="00611BDD" w:rsidRDefault="00611BDD">
            <w:pPr>
              <w:rPr>
                <w:rFonts w:ascii="宋体"/>
              </w:rPr>
            </w:pPr>
          </w:p>
        </w:tc>
        <w:tc>
          <w:tcPr>
            <w:tcW w:w="50" w:type="pct"/>
            <w:shd w:val="clear" w:color="auto" w:fill="auto"/>
            <w:vAlign w:val="bottom"/>
          </w:tcPr>
          <w:p w14:paraId="54066536" w14:textId="77777777" w:rsidR="00611BDD" w:rsidRDefault="00611BDD">
            <w:pPr>
              <w:rPr>
                <w:rFonts w:ascii="宋体"/>
              </w:rPr>
            </w:pPr>
          </w:p>
        </w:tc>
        <w:tc>
          <w:tcPr>
            <w:tcW w:w="525" w:type="pct"/>
            <w:shd w:val="clear" w:color="auto" w:fill="auto"/>
            <w:vAlign w:val="bottom"/>
          </w:tcPr>
          <w:p w14:paraId="54066537" w14:textId="77777777" w:rsidR="00611BDD" w:rsidRDefault="00611BDD">
            <w:pPr>
              <w:rPr>
                <w:rFonts w:ascii="宋体"/>
              </w:rPr>
            </w:pPr>
          </w:p>
        </w:tc>
        <w:tc>
          <w:tcPr>
            <w:tcW w:w="5" w:type="pct"/>
            <w:shd w:val="clear" w:color="auto" w:fill="auto"/>
            <w:vAlign w:val="bottom"/>
          </w:tcPr>
          <w:p w14:paraId="54066538" w14:textId="77777777" w:rsidR="00611BDD" w:rsidRDefault="00611BDD">
            <w:pPr>
              <w:rPr>
                <w:rFonts w:ascii="宋体"/>
              </w:rPr>
            </w:pPr>
          </w:p>
        </w:tc>
        <w:tc>
          <w:tcPr>
            <w:tcW w:w="5" w:type="pct"/>
            <w:shd w:val="clear" w:color="auto" w:fill="auto"/>
            <w:vAlign w:val="bottom"/>
          </w:tcPr>
          <w:p w14:paraId="54066539" w14:textId="77777777" w:rsidR="00611BDD" w:rsidRDefault="00611BDD">
            <w:pPr>
              <w:rPr>
                <w:rFonts w:ascii="宋体"/>
              </w:rPr>
            </w:pPr>
          </w:p>
        </w:tc>
        <w:tc>
          <w:tcPr>
            <w:tcW w:w="26" w:type="pct"/>
            <w:shd w:val="clear" w:color="auto" w:fill="auto"/>
            <w:vAlign w:val="bottom"/>
          </w:tcPr>
          <w:p w14:paraId="5406653A" w14:textId="77777777" w:rsidR="00611BDD" w:rsidRDefault="00611BDD">
            <w:pPr>
              <w:rPr>
                <w:rFonts w:ascii="宋体"/>
              </w:rPr>
            </w:pPr>
          </w:p>
        </w:tc>
        <w:tc>
          <w:tcPr>
            <w:tcW w:w="5" w:type="pct"/>
            <w:shd w:val="clear" w:color="auto" w:fill="auto"/>
            <w:vAlign w:val="bottom"/>
          </w:tcPr>
          <w:p w14:paraId="5406653B" w14:textId="77777777" w:rsidR="00611BDD" w:rsidRDefault="00611BDD">
            <w:pPr>
              <w:rPr>
                <w:rFonts w:ascii="宋体"/>
              </w:rPr>
            </w:pPr>
          </w:p>
        </w:tc>
        <w:tc>
          <w:tcPr>
            <w:tcW w:w="50" w:type="pct"/>
            <w:shd w:val="clear" w:color="auto" w:fill="auto"/>
            <w:vAlign w:val="bottom"/>
          </w:tcPr>
          <w:p w14:paraId="5406653C" w14:textId="77777777" w:rsidR="00611BDD" w:rsidRDefault="00611BDD">
            <w:pPr>
              <w:rPr>
                <w:rFonts w:ascii="宋体"/>
              </w:rPr>
            </w:pPr>
          </w:p>
        </w:tc>
        <w:tc>
          <w:tcPr>
            <w:tcW w:w="297" w:type="pct"/>
            <w:shd w:val="clear" w:color="auto" w:fill="auto"/>
            <w:vAlign w:val="bottom"/>
          </w:tcPr>
          <w:p w14:paraId="5406653D" w14:textId="77777777" w:rsidR="00611BDD" w:rsidRDefault="00611BDD">
            <w:pPr>
              <w:rPr>
                <w:rFonts w:ascii="宋体"/>
              </w:rPr>
            </w:pPr>
          </w:p>
        </w:tc>
        <w:tc>
          <w:tcPr>
            <w:tcW w:w="5" w:type="pct"/>
            <w:shd w:val="clear" w:color="auto" w:fill="auto"/>
            <w:vAlign w:val="bottom"/>
          </w:tcPr>
          <w:p w14:paraId="5406653E" w14:textId="77777777" w:rsidR="00611BDD" w:rsidRDefault="00611BDD">
            <w:pPr>
              <w:rPr>
                <w:rFonts w:ascii="宋体"/>
              </w:rPr>
            </w:pPr>
          </w:p>
        </w:tc>
        <w:tc>
          <w:tcPr>
            <w:tcW w:w="5" w:type="pct"/>
            <w:shd w:val="clear" w:color="auto" w:fill="auto"/>
            <w:vAlign w:val="bottom"/>
          </w:tcPr>
          <w:p w14:paraId="5406653F" w14:textId="77777777" w:rsidR="00611BDD" w:rsidRDefault="00611BDD">
            <w:pPr>
              <w:rPr>
                <w:rFonts w:ascii="宋体"/>
              </w:rPr>
            </w:pPr>
          </w:p>
        </w:tc>
        <w:tc>
          <w:tcPr>
            <w:tcW w:w="26" w:type="pct"/>
            <w:shd w:val="clear" w:color="auto" w:fill="auto"/>
            <w:vAlign w:val="bottom"/>
          </w:tcPr>
          <w:p w14:paraId="54066540" w14:textId="77777777" w:rsidR="00611BDD" w:rsidRDefault="00611BDD">
            <w:pPr>
              <w:rPr>
                <w:rFonts w:ascii="宋体"/>
              </w:rPr>
            </w:pPr>
          </w:p>
        </w:tc>
        <w:tc>
          <w:tcPr>
            <w:tcW w:w="5" w:type="pct"/>
            <w:shd w:val="clear" w:color="auto" w:fill="auto"/>
            <w:vAlign w:val="bottom"/>
          </w:tcPr>
          <w:p w14:paraId="54066541" w14:textId="77777777" w:rsidR="00611BDD" w:rsidRDefault="00611BDD">
            <w:pPr>
              <w:rPr>
                <w:rFonts w:ascii="宋体"/>
              </w:rPr>
            </w:pPr>
          </w:p>
        </w:tc>
        <w:tc>
          <w:tcPr>
            <w:tcW w:w="50" w:type="pct"/>
            <w:shd w:val="clear" w:color="auto" w:fill="auto"/>
            <w:vAlign w:val="bottom"/>
          </w:tcPr>
          <w:p w14:paraId="54066542" w14:textId="77777777" w:rsidR="00611BDD" w:rsidRDefault="00611BDD">
            <w:pPr>
              <w:rPr>
                <w:rFonts w:ascii="宋体"/>
              </w:rPr>
            </w:pPr>
          </w:p>
        </w:tc>
        <w:tc>
          <w:tcPr>
            <w:tcW w:w="466" w:type="pct"/>
            <w:shd w:val="clear" w:color="auto" w:fill="auto"/>
            <w:vAlign w:val="bottom"/>
          </w:tcPr>
          <w:p w14:paraId="54066543" w14:textId="77777777" w:rsidR="00611BDD" w:rsidRDefault="00611BDD">
            <w:pPr>
              <w:rPr>
                <w:rFonts w:ascii="宋体"/>
              </w:rPr>
            </w:pPr>
          </w:p>
        </w:tc>
        <w:tc>
          <w:tcPr>
            <w:tcW w:w="5" w:type="pct"/>
            <w:shd w:val="clear" w:color="auto" w:fill="auto"/>
            <w:vAlign w:val="bottom"/>
          </w:tcPr>
          <w:p w14:paraId="54066544" w14:textId="77777777" w:rsidR="00611BDD" w:rsidRDefault="00611BDD">
            <w:pPr>
              <w:rPr>
                <w:rFonts w:ascii="宋体"/>
              </w:rPr>
            </w:pPr>
          </w:p>
        </w:tc>
      </w:tr>
      <w:tr w:rsidR="00611BDD" w14:paraId="54066553" w14:textId="77777777">
        <w:trPr>
          <w:trHeight w:val="420"/>
          <w:jc w:val="center"/>
        </w:trPr>
        <w:tc>
          <w:tcPr>
            <w:tcW w:w="0" w:type="auto"/>
            <w:gridSpan w:val="3"/>
            <w:shd w:val="clear" w:color="auto" w:fill="auto"/>
            <w:tcMar>
              <w:top w:w="0" w:type="dxa"/>
              <w:left w:w="20" w:type="dxa"/>
              <w:bottom w:w="0" w:type="dxa"/>
              <w:right w:w="20" w:type="dxa"/>
            </w:tcMar>
            <w:vAlign w:val="bottom"/>
          </w:tcPr>
          <w:p w14:paraId="54066546" w14:textId="77777777" w:rsidR="00611BDD" w:rsidRDefault="00611BDD">
            <w:pPr>
              <w:rPr>
                <w:rFonts w:ascii="宋体"/>
              </w:rPr>
            </w:pPr>
          </w:p>
        </w:tc>
        <w:tc>
          <w:tcPr>
            <w:tcW w:w="0" w:type="auto"/>
            <w:gridSpan w:val="9"/>
            <w:shd w:val="clear" w:color="auto" w:fill="auto"/>
            <w:tcMar>
              <w:top w:w="40" w:type="dxa"/>
              <w:left w:w="20" w:type="dxa"/>
              <w:bottom w:w="40" w:type="dxa"/>
              <w:right w:w="20" w:type="dxa"/>
            </w:tcMar>
            <w:vAlign w:val="bottom"/>
          </w:tcPr>
          <w:p w14:paraId="54066547" w14:textId="77777777" w:rsidR="00611BDD" w:rsidRDefault="002E18C7">
            <w:pPr>
              <w:pBdr>
                <w:top w:val="none" w:sz="0" w:space="0" w:color="auto"/>
                <w:left w:val="none" w:sz="0" w:space="0" w:color="auto"/>
                <w:bottom w:val="none" w:sz="0" w:space="0" w:color="auto"/>
                <w:right w:val="none" w:sz="0" w:space="0" w:color="auto"/>
              </w:pBdr>
              <w:jc w:val="center"/>
              <w:textAlignment w:val="bottom"/>
            </w:pPr>
            <w:r>
              <w:rPr>
                <w:rFonts w:ascii="sans-serif" w:eastAsia="sans-serif" w:hAnsi="sans-serif" w:cs="sans-serif"/>
                <w:b/>
                <w:bCs/>
                <w:color w:val="000000"/>
                <w:sz w:val="15"/>
                <w:szCs w:val="15"/>
              </w:rPr>
              <w:t>Common Stock</w:t>
            </w:r>
          </w:p>
          <w:p w14:paraId="54066548" w14:textId="77777777" w:rsidR="00611BDD" w:rsidRDefault="002E18C7">
            <w:pPr>
              <w:pBdr>
                <w:top w:val="none" w:sz="0" w:space="0" w:color="auto"/>
                <w:left w:val="none" w:sz="0" w:space="0" w:color="auto"/>
                <w:bottom w:val="none" w:sz="0" w:space="0" w:color="auto"/>
                <w:right w:val="none" w:sz="0" w:space="0" w:color="auto"/>
              </w:pBdr>
              <w:jc w:val="center"/>
              <w:textAlignment w:val="bottom"/>
            </w:pPr>
            <w:r>
              <w:rPr>
                <w:rFonts w:ascii="sans-serif" w:eastAsia="sans-serif" w:hAnsi="sans-serif" w:cs="sans-serif"/>
                <w:b/>
                <w:bCs/>
                <w:color w:val="000000"/>
                <w:sz w:val="15"/>
                <w:szCs w:val="15"/>
              </w:rPr>
              <w:t>Outstanding</w:t>
            </w:r>
          </w:p>
        </w:tc>
        <w:tc>
          <w:tcPr>
            <w:tcW w:w="0" w:type="auto"/>
            <w:gridSpan w:val="3"/>
            <w:shd w:val="clear" w:color="auto" w:fill="auto"/>
            <w:tcMar>
              <w:top w:w="0" w:type="dxa"/>
              <w:left w:w="20" w:type="dxa"/>
              <w:bottom w:w="0" w:type="dxa"/>
              <w:right w:w="20" w:type="dxa"/>
            </w:tcMar>
            <w:vAlign w:val="bottom"/>
          </w:tcPr>
          <w:p w14:paraId="54066549" w14:textId="77777777" w:rsidR="00611BDD" w:rsidRDefault="00611BD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406654A" w14:textId="77777777" w:rsidR="00611BDD" w:rsidRDefault="002E18C7">
            <w:pPr>
              <w:jc w:val="center"/>
              <w:textAlignment w:val="bottom"/>
            </w:pPr>
            <w:r>
              <w:rPr>
                <w:rFonts w:ascii="sans-serif" w:eastAsia="sans-serif" w:hAnsi="sans-serif" w:cs="sans-serif"/>
                <w:b/>
                <w:bCs/>
                <w:color w:val="000000"/>
                <w:sz w:val="15"/>
                <w:szCs w:val="15"/>
              </w:rPr>
              <w:t>Additional Pa</w:t>
            </w:r>
            <w:r>
              <w:rPr>
                <w:rFonts w:ascii="sans-serif" w:eastAsia="sans-serif" w:hAnsi="sans-serif" w:cs="sans-serif"/>
                <w:b/>
                <w:bCs/>
                <w:color w:val="000000"/>
                <w:sz w:val="15"/>
                <w:szCs w:val="15"/>
              </w:rPr>
              <w:t>id-in Capital</w:t>
            </w:r>
          </w:p>
        </w:tc>
        <w:tc>
          <w:tcPr>
            <w:tcW w:w="0" w:type="auto"/>
            <w:gridSpan w:val="3"/>
            <w:shd w:val="clear" w:color="auto" w:fill="auto"/>
            <w:tcMar>
              <w:top w:w="0" w:type="dxa"/>
              <w:left w:w="20" w:type="dxa"/>
              <w:bottom w:w="0" w:type="dxa"/>
              <w:right w:w="20" w:type="dxa"/>
            </w:tcMar>
            <w:vAlign w:val="bottom"/>
          </w:tcPr>
          <w:p w14:paraId="5406654B" w14:textId="77777777" w:rsidR="00611BDD" w:rsidRDefault="00611BD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406654C" w14:textId="77777777" w:rsidR="00611BDD" w:rsidRDefault="002E18C7">
            <w:pPr>
              <w:jc w:val="center"/>
              <w:textAlignment w:val="bottom"/>
            </w:pPr>
            <w:r>
              <w:rPr>
                <w:rFonts w:ascii="sans-serif" w:eastAsia="sans-serif" w:hAnsi="sans-serif" w:cs="sans-serif"/>
                <w:b/>
                <w:bCs/>
                <w:color w:val="000000"/>
                <w:sz w:val="15"/>
                <w:szCs w:val="15"/>
              </w:rPr>
              <w:t>Treasury Stock</w:t>
            </w:r>
          </w:p>
        </w:tc>
        <w:tc>
          <w:tcPr>
            <w:tcW w:w="0" w:type="auto"/>
            <w:gridSpan w:val="3"/>
            <w:shd w:val="clear" w:color="auto" w:fill="auto"/>
            <w:tcMar>
              <w:top w:w="0" w:type="dxa"/>
              <w:left w:w="20" w:type="dxa"/>
              <w:bottom w:w="0" w:type="dxa"/>
              <w:right w:w="20" w:type="dxa"/>
            </w:tcMar>
            <w:vAlign w:val="bottom"/>
          </w:tcPr>
          <w:p w14:paraId="5406654D" w14:textId="77777777" w:rsidR="00611BDD" w:rsidRDefault="00611BD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406654E" w14:textId="77777777" w:rsidR="00611BDD" w:rsidRDefault="002E18C7">
            <w:pPr>
              <w:jc w:val="center"/>
              <w:textAlignment w:val="bottom"/>
            </w:pPr>
            <w:r>
              <w:rPr>
                <w:rFonts w:ascii="sans-serif" w:eastAsia="sans-serif" w:hAnsi="sans-serif" w:cs="sans-serif"/>
                <w:b/>
                <w:bCs/>
                <w:color w:val="000000"/>
                <w:sz w:val="15"/>
                <w:szCs w:val="15"/>
              </w:rPr>
              <w:t>Accumulated Other Comprehensive Income</w:t>
            </w:r>
          </w:p>
        </w:tc>
        <w:tc>
          <w:tcPr>
            <w:tcW w:w="0" w:type="auto"/>
            <w:gridSpan w:val="3"/>
            <w:shd w:val="clear" w:color="auto" w:fill="auto"/>
            <w:tcMar>
              <w:top w:w="0" w:type="dxa"/>
              <w:left w:w="20" w:type="dxa"/>
              <w:bottom w:w="0" w:type="dxa"/>
              <w:right w:w="20" w:type="dxa"/>
            </w:tcMar>
            <w:vAlign w:val="bottom"/>
          </w:tcPr>
          <w:p w14:paraId="5406654F" w14:textId="77777777" w:rsidR="00611BDD" w:rsidRDefault="00611BD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4066550" w14:textId="77777777" w:rsidR="00611BDD" w:rsidRDefault="002E18C7">
            <w:pPr>
              <w:jc w:val="center"/>
              <w:textAlignment w:val="bottom"/>
            </w:pPr>
            <w:r>
              <w:rPr>
                <w:rFonts w:ascii="sans-serif" w:eastAsia="sans-serif" w:hAnsi="sans-serif" w:cs="sans-serif"/>
                <w:b/>
                <w:bCs/>
                <w:color w:val="000000"/>
                <w:sz w:val="15"/>
                <w:szCs w:val="15"/>
              </w:rPr>
              <w:t>Retained Earnings</w:t>
            </w:r>
          </w:p>
        </w:tc>
        <w:tc>
          <w:tcPr>
            <w:tcW w:w="0" w:type="auto"/>
            <w:gridSpan w:val="3"/>
            <w:shd w:val="clear" w:color="auto" w:fill="auto"/>
            <w:tcMar>
              <w:top w:w="0" w:type="dxa"/>
              <w:left w:w="20" w:type="dxa"/>
              <w:bottom w:w="0" w:type="dxa"/>
              <w:right w:w="20" w:type="dxa"/>
            </w:tcMar>
            <w:vAlign w:val="bottom"/>
          </w:tcPr>
          <w:p w14:paraId="54066551" w14:textId="77777777" w:rsidR="00611BDD" w:rsidRDefault="00611BD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4066552" w14:textId="77777777" w:rsidR="00611BDD" w:rsidRDefault="002E18C7">
            <w:pPr>
              <w:jc w:val="center"/>
              <w:textAlignment w:val="bottom"/>
            </w:pPr>
            <w:r>
              <w:rPr>
                <w:rFonts w:ascii="sans-serif" w:eastAsia="sans-serif" w:hAnsi="sans-serif" w:cs="sans-serif"/>
                <w:b/>
                <w:bCs/>
                <w:color w:val="000000"/>
                <w:sz w:val="15"/>
                <w:szCs w:val="15"/>
              </w:rPr>
              <w:t>Total Shareholders' Equity</w:t>
            </w:r>
          </w:p>
        </w:tc>
      </w:tr>
      <w:tr w:rsidR="00611BDD" w14:paraId="54066562" w14:textId="77777777">
        <w:trPr>
          <w:trHeight w:val="240"/>
          <w:jc w:val="center"/>
        </w:trPr>
        <w:tc>
          <w:tcPr>
            <w:tcW w:w="0" w:type="auto"/>
            <w:gridSpan w:val="3"/>
            <w:shd w:val="clear" w:color="auto" w:fill="auto"/>
            <w:tcMar>
              <w:top w:w="40" w:type="dxa"/>
              <w:left w:w="20" w:type="dxa"/>
              <w:bottom w:w="40" w:type="dxa"/>
              <w:right w:w="20" w:type="dxa"/>
            </w:tcMar>
            <w:vAlign w:val="bottom"/>
          </w:tcPr>
          <w:p w14:paraId="54066554" w14:textId="77777777" w:rsidR="00611BDD" w:rsidRDefault="002E18C7">
            <w:pPr>
              <w:textAlignment w:val="bottom"/>
            </w:pPr>
            <w:r>
              <w:rPr>
                <w:rFonts w:ascii="sans-serif" w:eastAsia="sans-serif" w:hAnsi="sans-serif" w:cs="sans-serif"/>
                <w:b/>
                <w:bCs/>
                <w:color w:val="000000"/>
                <w:sz w:val="15"/>
                <w:szCs w:val="15"/>
              </w:rPr>
              <w:t>(In millions, except per share data)</w:t>
            </w:r>
          </w:p>
        </w:tc>
        <w:tc>
          <w:tcPr>
            <w:tcW w:w="0" w:type="auto"/>
            <w:gridSpan w:val="3"/>
            <w:shd w:val="clear" w:color="auto" w:fill="auto"/>
            <w:tcMar>
              <w:top w:w="40" w:type="dxa"/>
              <w:left w:w="20" w:type="dxa"/>
              <w:bottom w:w="40" w:type="dxa"/>
              <w:right w:w="20" w:type="dxa"/>
            </w:tcMar>
            <w:vAlign w:val="bottom"/>
          </w:tcPr>
          <w:p w14:paraId="54066555" w14:textId="77777777" w:rsidR="00611BDD" w:rsidRDefault="002E18C7">
            <w:pPr>
              <w:jc w:val="center"/>
              <w:textAlignment w:val="bottom"/>
            </w:pPr>
            <w:r>
              <w:rPr>
                <w:rFonts w:ascii="sans-serif" w:eastAsia="sans-serif" w:hAnsi="sans-serif" w:cs="sans-serif"/>
                <w:b/>
                <w:bCs/>
                <w:color w:val="000000"/>
                <w:sz w:val="15"/>
                <w:szCs w:val="15"/>
              </w:rPr>
              <w:t>Shares</w:t>
            </w:r>
          </w:p>
        </w:tc>
        <w:tc>
          <w:tcPr>
            <w:tcW w:w="0" w:type="auto"/>
            <w:gridSpan w:val="3"/>
            <w:shd w:val="clear" w:color="auto" w:fill="auto"/>
            <w:tcMar>
              <w:top w:w="0" w:type="dxa"/>
              <w:left w:w="20" w:type="dxa"/>
              <w:bottom w:w="0" w:type="dxa"/>
              <w:right w:w="20" w:type="dxa"/>
            </w:tcMar>
            <w:vAlign w:val="bottom"/>
          </w:tcPr>
          <w:p w14:paraId="54066556"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6557" w14:textId="77777777" w:rsidR="00611BDD" w:rsidRDefault="002E18C7">
            <w:pPr>
              <w:jc w:val="center"/>
              <w:textAlignment w:val="bottom"/>
            </w:pPr>
            <w:r>
              <w:rPr>
                <w:rFonts w:ascii="sans-serif" w:eastAsia="sans-serif" w:hAnsi="sans-serif" w:cs="sans-serif"/>
                <w:b/>
                <w:bCs/>
                <w:color w:val="000000"/>
                <w:sz w:val="15"/>
                <w:szCs w:val="15"/>
              </w:rPr>
              <w:t>Amount</w:t>
            </w:r>
          </w:p>
        </w:tc>
        <w:tc>
          <w:tcPr>
            <w:tcW w:w="0" w:type="auto"/>
            <w:gridSpan w:val="3"/>
            <w:shd w:val="clear" w:color="auto" w:fill="auto"/>
            <w:tcMar>
              <w:top w:w="0" w:type="dxa"/>
              <w:left w:w="20" w:type="dxa"/>
              <w:bottom w:w="0" w:type="dxa"/>
              <w:right w:w="20" w:type="dxa"/>
            </w:tcMar>
            <w:vAlign w:val="bottom"/>
          </w:tcPr>
          <w:p w14:paraId="54066558" w14:textId="77777777" w:rsidR="00611BDD" w:rsidRDefault="00611BDD">
            <w:pPr>
              <w:rPr>
                <w:rFonts w:ascii="宋体"/>
              </w:rPr>
            </w:pPr>
          </w:p>
        </w:tc>
        <w:tc>
          <w:tcPr>
            <w:tcW w:w="0" w:type="auto"/>
            <w:gridSpan w:val="3"/>
            <w:vMerge/>
            <w:shd w:val="clear" w:color="auto" w:fill="auto"/>
            <w:tcMar>
              <w:top w:w="40" w:type="dxa"/>
              <w:left w:w="20" w:type="dxa"/>
              <w:bottom w:w="40" w:type="dxa"/>
              <w:right w:w="20" w:type="dxa"/>
            </w:tcMar>
            <w:vAlign w:val="bottom"/>
          </w:tcPr>
          <w:p w14:paraId="54066559" w14:textId="77777777" w:rsidR="00611BDD" w:rsidRDefault="00611BDD">
            <w:pPr>
              <w:jc w:val="center"/>
              <w:rPr>
                <w:rFonts w:ascii="宋体"/>
              </w:rPr>
            </w:pPr>
          </w:p>
        </w:tc>
        <w:tc>
          <w:tcPr>
            <w:tcW w:w="0" w:type="auto"/>
            <w:gridSpan w:val="3"/>
            <w:shd w:val="clear" w:color="auto" w:fill="auto"/>
            <w:tcMar>
              <w:top w:w="0" w:type="dxa"/>
              <w:left w:w="20" w:type="dxa"/>
              <w:bottom w:w="0" w:type="dxa"/>
              <w:right w:w="20" w:type="dxa"/>
            </w:tcMar>
            <w:vAlign w:val="bottom"/>
          </w:tcPr>
          <w:p w14:paraId="5406655A" w14:textId="77777777" w:rsidR="00611BDD" w:rsidRDefault="00611BDD">
            <w:pPr>
              <w:rPr>
                <w:rFonts w:ascii="宋体"/>
              </w:rPr>
            </w:pPr>
          </w:p>
        </w:tc>
        <w:tc>
          <w:tcPr>
            <w:tcW w:w="0" w:type="auto"/>
            <w:gridSpan w:val="3"/>
            <w:vMerge/>
            <w:shd w:val="clear" w:color="auto" w:fill="auto"/>
            <w:tcMar>
              <w:top w:w="40" w:type="dxa"/>
              <w:left w:w="20" w:type="dxa"/>
              <w:bottom w:w="40" w:type="dxa"/>
              <w:right w:w="20" w:type="dxa"/>
            </w:tcMar>
            <w:vAlign w:val="bottom"/>
          </w:tcPr>
          <w:p w14:paraId="5406655B" w14:textId="77777777" w:rsidR="00611BDD" w:rsidRDefault="00611BDD">
            <w:pPr>
              <w:jc w:val="center"/>
              <w:rPr>
                <w:rFonts w:ascii="宋体"/>
              </w:rPr>
            </w:pPr>
          </w:p>
        </w:tc>
        <w:tc>
          <w:tcPr>
            <w:tcW w:w="0" w:type="auto"/>
            <w:gridSpan w:val="3"/>
            <w:shd w:val="clear" w:color="auto" w:fill="auto"/>
            <w:tcMar>
              <w:top w:w="0" w:type="dxa"/>
              <w:left w:w="20" w:type="dxa"/>
              <w:bottom w:w="0" w:type="dxa"/>
              <w:right w:w="20" w:type="dxa"/>
            </w:tcMar>
            <w:vAlign w:val="bottom"/>
          </w:tcPr>
          <w:p w14:paraId="5406655C" w14:textId="77777777" w:rsidR="00611BDD" w:rsidRDefault="00611BDD">
            <w:pPr>
              <w:rPr>
                <w:rFonts w:ascii="宋体"/>
              </w:rPr>
            </w:pPr>
          </w:p>
        </w:tc>
        <w:tc>
          <w:tcPr>
            <w:tcW w:w="0" w:type="auto"/>
            <w:gridSpan w:val="3"/>
            <w:vMerge/>
            <w:shd w:val="clear" w:color="auto" w:fill="auto"/>
            <w:tcMar>
              <w:top w:w="40" w:type="dxa"/>
              <w:left w:w="20" w:type="dxa"/>
              <w:bottom w:w="40" w:type="dxa"/>
              <w:right w:w="20" w:type="dxa"/>
            </w:tcMar>
            <w:vAlign w:val="bottom"/>
          </w:tcPr>
          <w:p w14:paraId="5406655D" w14:textId="77777777" w:rsidR="00611BDD" w:rsidRDefault="00611BDD">
            <w:pPr>
              <w:jc w:val="center"/>
              <w:rPr>
                <w:rFonts w:ascii="宋体"/>
              </w:rPr>
            </w:pPr>
          </w:p>
        </w:tc>
        <w:tc>
          <w:tcPr>
            <w:tcW w:w="0" w:type="auto"/>
            <w:gridSpan w:val="3"/>
            <w:shd w:val="clear" w:color="auto" w:fill="auto"/>
            <w:tcMar>
              <w:top w:w="0" w:type="dxa"/>
              <w:left w:w="20" w:type="dxa"/>
              <w:bottom w:w="0" w:type="dxa"/>
              <w:right w:w="20" w:type="dxa"/>
            </w:tcMar>
            <w:vAlign w:val="bottom"/>
          </w:tcPr>
          <w:p w14:paraId="5406655E" w14:textId="77777777" w:rsidR="00611BDD" w:rsidRDefault="00611BDD">
            <w:pPr>
              <w:rPr>
                <w:rFonts w:ascii="宋体"/>
              </w:rPr>
            </w:pPr>
          </w:p>
        </w:tc>
        <w:tc>
          <w:tcPr>
            <w:tcW w:w="0" w:type="auto"/>
            <w:gridSpan w:val="3"/>
            <w:vMerge/>
            <w:shd w:val="clear" w:color="auto" w:fill="auto"/>
            <w:tcMar>
              <w:top w:w="40" w:type="dxa"/>
              <w:left w:w="20" w:type="dxa"/>
              <w:bottom w:w="40" w:type="dxa"/>
              <w:right w:w="20" w:type="dxa"/>
            </w:tcMar>
            <w:vAlign w:val="bottom"/>
          </w:tcPr>
          <w:p w14:paraId="5406655F" w14:textId="77777777" w:rsidR="00611BDD" w:rsidRDefault="00611BDD">
            <w:pPr>
              <w:jc w:val="center"/>
              <w:rPr>
                <w:rFonts w:ascii="宋体"/>
              </w:rPr>
            </w:pPr>
          </w:p>
        </w:tc>
        <w:tc>
          <w:tcPr>
            <w:tcW w:w="0" w:type="auto"/>
            <w:gridSpan w:val="3"/>
            <w:shd w:val="clear" w:color="auto" w:fill="auto"/>
            <w:tcMar>
              <w:top w:w="0" w:type="dxa"/>
              <w:left w:w="20" w:type="dxa"/>
              <w:bottom w:w="0" w:type="dxa"/>
              <w:right w:w="20" w:type="dxa"/>
            </w:tcMar>
            <w:vAlign w:val="bottom"/>
          </w:tcPr>
          <w:p w14:paraId="54066560" w14:textId="77777777" w:rsidR="00611BDD" w:rsidRDefault="00611BDD">
            <w:pPr>
              <w:rPr>
                <w:rFonts w:ascii="宋体"/>
              </w:rPr>
            </w:pPr>
          </w:p>
        </w:tc>
        <w:tc>
          <w:tcPr>
            <w:tcW w:w="0" w:type="auto"/>
            <w:gridSpan w:val="3"/>
            <w:vMerge/>
            <w:shd w:val="clear" w:color="auto" w:fill="auto"/>
            <w:tcMar>
              <w:top w:w="40" w:type="dxa"/>
              <w:left w:w="20" w:type="dxa"/>
              <w:bottom w:w="40" w:type="dxa"/>
              <w:right w:w="20" w:type="dxa"/>
            </w:tcMar>
            <w:vAlign w:val="bottom"/>
          </w:tcPr>
          <w:p w14:paraId="54066561" w14:textId="77777777" w:rsidR="00611BDD" w:rsidRDefault="00611BDD">
            <w:pPr>
              <w:jc w:val="center"/>
              <w:rPr>
                <w:rFonts w:ascii="宋体"/>
              </w:rPr>
            </w:pPr>
          </w:p>
        </w:tc>
      </w:tr>
      <w:tr w:rsidR="00611BDD" w14:paraId="5406657E" w14:textId="77777777">
        <w:trPr>
          <w:jc w:val="center"/>
        </w:trPr>
        <w:tc>
          <w:tcPr>
            <w:tcW w:w="0" w:type="auto"/>
            <w:gridSpan w:val="3"/>
            <w:shd w:val="clear" w:color="auto" w:fill="E2EFD9"/>
            <w:tcMar>
              <w:top w:w="40" w:type="dxa"/>
              <w:left w:w="20" w:type="dxa"/>
              <w:bottom w:w="40" w:type="dxa"/>
              <w:right w:w="20" w:type="dxa"/>
            </w:tcMar>
            <w:vAlign w:val="bottom"/>
          </w:tcPr>
          <w:p w14:paraId="54066563" w14:textId="77777777" w:rsidR="00611BDD" w:rsidRDefault="002E18C7">
            <w:pPr>
              <w:textAlignment w:val="bottom"/>
            </w:pPr>
            <w:r>
              <w:rPr>
                <w:rFonts w:ascii="sans-serif" w:eastAsia="sans-serif" w:hAnsi="sans-serif" w:cs="sans-serif"/>
                <w:color w:val="000000"/>
                <w:sz w:val="15"/>
                <w:szCs w:val="15"/>
              </w:rPr>
              <w:t>Balances, January 31, 2021</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6564" w14:textId="77777777" w:rsidR="00611BDD" w:rsidRDefault="002E18C7">
            <w:pPr>
              <w:jc w:val="right"/>
              <w:textAlignment w:val="bottom"/>
            </w:pPr>
            <w:r>
              <w:rPr>
                <w:rFonts w:ascii="sans-serif" w:eastAsia="sans-serif" w:hAnsi="sans-serif" w:cs="sans-serif"/>
                <w:color w:val="000000"/>
                <w:sz w:val="15"/>
                <w:szCs w:val="15"/>
              </w:rPr>
              <w:t>2,479 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565"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566" w14:textId="77777777" w:rsidR="00611BDD" w:rsidRDefault="00611BD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4066567"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4066568" w14:textId="77777777" w:rsidR="00611BDD" w:rsidRDefault="002E18C7">
            <w:pPr>
              <w:jc w:val="right"/>
              <w:textAlignment w:val="bottom"/>
            </w:pPr>
            <w:r>
              <w:rPr>
                <w:rFonts w:ascii="sans-serif" w:eastAsia="sans-serif" w:hAnsi="sans-serif" w:cs="sans-serif"/>
                <w:color w:val="000000"/>
                <w:sz w:val="15"/>
                <w:szCs w:val="15"/>
              </w:rPr>
              <w:t>3 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56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56A" w14:textId="77777777" w:rsidR="00611BDD" w:rsidRDefault="00611BD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406656B"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406656C" w14:textId="77777777" w:rsidR="00611BDD" w:rsidRDefault="002E18C7">
            <w:pPr>
              <w:jc w:val="right"/>
              <w:textAlignment w:val="bottom"/>
            </w:pPr>
            <w:r>
              <w:rPr>
                <w:rFonts w:ascii="sans-serif" w:eastAsia="sans-serif" w:hAnsi="sans-serif" w:cs="sans-serif"/>
                <w:color w:val="000000"/>
                <w:sz w:val="15"/>
                <w:szCs w:val="15"/>
              </w:rPr>
              <w:t>8,719 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56D"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56E" w14:textId="77777777" w:rsidR="00611BDD" w:rsidRDefault="00611BD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406656F"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4066570" w14:textId="77777777" w:rsidR="00611BDD" w:rsidRDefault="002E18C7">
            <w:pPr>
              <w:jc w:val="right"/>
              <w:textAlignment w:val="bottom"/>
            </w:pPr>
            <w:r>
              <w:rPr>
                <w:rFonts w:ascii="sans-serif" w:eastAsia="sans-serif" w:hAnsi="sans-serif" w:cs="sans-serif"/>
                <w:color w:val="000000"/>
                <w:sz w:val="15"/>
                <w:szCs w:val="15"/>
              </w:rPr>
              <w:t>(10,756)</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571"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572" w14:textId="77777777" w:rsidR="00611BDD" w:rsidRDefault="00611BD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4066573"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4066574" w14:textId="77777777" w:rsidR="00611BDD" w:rsidRDefault="002E18C7">
            <w:pPr>
              <w:jc w:val="right"/>
              <w:textAlignment w:val="bottom"/>
            </w:pPr>
            <w:r>
              <w:rPr>
                <w:rFonts w:ascii="sans-serif" w:eastAsia="sans-serif" w:hAnsi="sans-serif" w:cs="sans-serif"/>
                <w:color w:val="000000"/>
                <w:sz w:val="15"/>
                <w:szCs w:val="15"/>
              </w:rPr>
              <w:t>19 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575"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576" w14:textId="77777777" w:rsidR="00611BDD" w:rsidRDefault="00611BD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4066577"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4066578" w14:textId="77777777" w:rsidR="00611BDD" w:rsidRDefault="002E18C7">
            <w:pPr>
              <w:jc w:val="right"/>
              <w:textAlignment w:val="bottom"/>
            </w:pPr>
            <w:r>
              <w:rPr>
                <w:rFonts w:ascii="sans-serif" w:eastAsia="sans-serif" w:hAnsi="sans-serif" w:cs="sans-serif"/>
                <w:color w:val="000000"/>
                <w:sz w:val="15"/>
                <w:szCs w:val="15"/>
              </w:rPr>
              <w:t>18,908 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57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57A" w14:textId="77777777" w:rsidR="00611BDD" w:rsidRDefault="00611BDD">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5406657B"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5406657C" w14:textId="77777777" w:rsidR="00611BDD" w:rsidRDefault="002E18C7">
            <w:pPr>
              <w:jc w:val="right"/>
              <w:textAlignment w:val="bottom"/>
            </w:pPr>
            <w:r>
              <w:rPr>
                <w:rFonts w:ascii="sans-serif" w:eastAsia="sans-serif" w:hAnsi="sans-serif" w:cs="sans-serif"/>
                <w:color w:val="000000"/>
                <w:sz w:val="15"/>
                <w:szCs w:val="15"/>
              </w:rPr>
              <w:t>16,893 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57D" w14:textId="77777777" w:rsidR="00611BDD" w:rsidRDefault="00611BDD">
            <w:pPr>
              <w:jc w:val="right"/>
              <w:rPr>
                <w:rFonts w:ascii="宋体"/>
              </w:rPr>
            </w:pPr>
          </w:p>
        </w:tc>
      </w:tr>
      <w:tr w:rsidR="00611BDD" w14:paraId="54066594" w14:textId="77777777">
        <w:trPr>
          <w:jc w:val="center"/>
        </w:trPr>
        <w:tc>
          <w:tcPr>
            <w:tcW w:w="0" w:type="auto"/>
            <w:gridSpan w:val="3"/>
            <w:shd w:val="clear" w:color="auto" w:fill="FFFFFF"/>
            <w:tcMar>
              <w:top w:w="40" w:type="dxa"/>
              <w:left w:w="20" w:type="dxa"/>
              <w:bottom w:w="40" w:type="dxa"/>
              <w:right w:w="20" w:type="dxa"/>
            </w:tcMar>
            <w:vAlign w:val="bottom"/>
          </w:tcPr>
          <w:p w14:paraId="5406657F" w14:textId="77777777" w:rsidR="00611BDD" w:rsidRDefault="002E18C7">
            <w:pPr>
              <w:textAlignment w:val="bottom"/>
            </w:pPr>
            <w:r>
              <w:rPr>
                <w:rFonts w:ascii="sans-serif" w:eastAsia="sans-serif" w:hAnsi="sans-serif" w:cs="sans-serif"/>
                <w:color w:val="000000"/>
                <w:sz w:val="15"/>
                <w:szCs w:val="15"/>
              </w:rPr>
              <w:t>Net income</w:t>
            </w:r>
          </w:p>
        </w:tc>
        <w:tc>
          <w:tcPr>
            <w:tcW w:w="0" w:type="auto"/>
            <w:gridSpan w:val="2"/>
            <w:shd w:val="clear" w:color="auto" w:fill="FFFFFF"/>
            <w:tcMar>
              <w:top w:w="40" w:type="dxa"/>
              <w:left w:w="20" w:type="dxa"/>
              <w:bottom w:w="40" w:type="dxa"/>
              <w:right w:w="0" w:type="dxa"/>
            </w:tcMar>
            <w:vAlign w:val="bottom"/>
          </w:tcPr>
          <w:p w14:paraId="54066580"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581"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582"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583"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584"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585"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586"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587"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588"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589"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58A"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58B"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58C"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58D"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58E"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58F" w14:textId="77777777" w:rsidR="00611BDD" w:rsidRDefault="002E18C7">
            <w:pPr>
              <w:jc w:val="right"/>
              <w:textAlignment w:val="bottom"/>
            </w:pPr>
            <w:r>
              <w:rPr>
                <w:rFonts w:ascii="sans-serif" w:eastAsia="sans-serif" w:hAnsi="sans-serif" w:cs="sans-serif"/>
                <w:color w:val="000000"/>
                <w:sz w:val="15"/>
                <w:szCs w:val="15"/>
              </w:rPr>
              <w:t>4,285 </w:t>
            </w:r>
          </w:p>
        </w:tc>
        <w:tc>
          <w:tcPr>
            <w:tcW w:w="0" w:type="auto"/>
            <w:shd w:val="clear" w:color="auto" w:fill="FFFFFF"/>
            <w:tcMar>
              <w:top w:w="40" w:type="dxa"/>
              <w:left w:w="0" w:type="dxa"/>
              <w:bottom w:w="40" w:type="dxa"/>
              <w:right w:w="20" w:type="dxa"/>
            </w:tcMar>
            <w:vAlign w:val="bottom"/>
          </w:tcPr>
          <w:p w14:paraId="54066590"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591"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592" w14:textId="77777777" w:rsidR="00611BDD" w:rsidRDefault="002E18C7">
            <w:pPr>
              <w:jc w:val="right"/>
              <w:textAlignment w:val="bottom"/>
            </w:pPr>
            <w:r>
              <w:rPr>
                <w:rFonts w:ascii="sans-serif" w:eastAsia="sans-serif" w:hAnsi="sans-serif" w:cs="sans-serif"/>
                <w:color w:val="000000"/>
                <w:sz w:val="15"/>
                <w:szCs w:val="15"/>
              </w:rPr>
              <w:t>4,285 </w:t>
            </w:r>
          </w:p>
        </w:tc>
        <w:tc>
          <w:tcPr>
            <w:tcW w:w="0" w:type="auto"/>
            <w:shd w:val="clear" w:color="auto" w:fill="FFFFFF"/>
            <w:tcMar>
              <w:top w:w="40" w:type="dxa"/>
              <w:left w:w="0" w:type="dxa"/>
              <w:bottom w:w="40" w:type="dxa"/>
              <w:right w:w="20" w:type="dxa"/>
            </w:tcMar>
            <w:vAlign w:val="bottom"/>
          </w:tcPr>
          <w:p w14:paraId="54066593" w14:textId="77777777" w:rsidR="00611BDD" w:rsidRDefault="00611BDD">
            <w:pPr>
              <w:jc w:val="right"/>
              <w:rPr>
                <w:rFonts w:ascii="宋体"/>
              </w:rPr>
            </w:pPr>
          </w:p>
        </w:tc>
      </w:tr>
      <w:tr w:rsidR="00611BDD" w14:paraId="540665AA" w14:textId="77777777">
        <w:trPr>
          <w:jc w:val="center"/>
        </w:trPr>
        <w:tc>
          <w:tcPr>
            <w:tcW w:w="0" w:type="auto"/>
            <w:gridSpan w:val="3"/>
            <w:shd w:val="clear" w:color="auto" w:fill="E2EFD9"/>
            <w:tcMar>
              <w:top w:w="40" w:type="dxa"/>
              <w:left w:w="20" w:type="dxa"/>
              <w:bottom w:w="40" w:type="dxa"/>
              <w:right w:w="20" w:type="dxa"/>
            </w:tcMar>
            <w:vAlign w:val="bottom"/>
          </w:tcPr>
          <w:p w14:paraId="54066595" w14:textId="77777777" w:rsidR="00611BDD" w:rsidRDefault="002E18C7">
            <w:pPr>
              <w:textAlignment w:val="bottom"/>
            </w:pPr>
            <w:r>
              <w:rPr>
                <w:rFonts w:ascii="sans-serif" w:eastAsia="sans-serif" w:hAnsi="sans-serif" w:cs="sans-serif"/>
                <w:color w:val="000000"/>
                <w:sz w:val="15"/>
                <w:szCs w:val="15"/>
              </w:rPr>
              <w:t>Other comprehensive loss</w:t>
            </w:r>
          </w:p>
        </w:tc>
        <w:tc>
          <w:tcPr>
            <w:tcW w:w="0" w:type="auto"/>
            <w:gridSpan w:val="2"/>
            <w:shd w:val="clear" w:color="auto" w:fill="E2EFD9"/>
            <w:tcMar>
              <w:top w:w="40" w:type="dxa"/>
              <w:left w:w="20" w:type="dxa"/>
              <w:bottom w:w="40" w:type="dxa"/>
              <w:right w:w="0" w:type="dxa"/>
            </w:tcMar>
            <w:vAlign w:val="bottom"/>
          </w:tcPr>
          <w:p w14:paraId="54066596"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597"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598"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599"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59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59B"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59C"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59D"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59E"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59F"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5A0"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5A1"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5A2" w14:textId="77777777" w:rsidR="00611BDD" w:rsidRDefault="002E18C7">
            <w:pPr>
              <w:jc w:val="right"/>
              <w:textAlignment w:val="bottom"/>
            </w:pPr>
            <w:r>
              <w:rPr>
                <w:rFonts w:ascii="sans-serif" w:eastAsia="sans-serif" w:hAnsi="sans-serif" w:cs="sans-serif"/>
                <w:color w:val="000000"/>
                <w:sz w:val="15"/>
                <w:szCs w:val="15"/>
              </w:rPr>
              <w:t>(11)</w:t>
            </w:r>
          </w:p>
        </w:tc>
        <w:tc>
          <w:tcPr>
            <w:tcW w:w="0" w:type="auto"/>
            <w:shd w:val="clear" w:color="auto" w:fill="E2EFD9"/>
            <w:tcMar>
              <w:top w:w="40" w:type="dxa"/>
              <w:left w:w="0" w:type="dxa"/>
              <w:bottom w:w="40" w:type="dxa"/>
              <w:right w:w="20" w:type="dxa"/>
            </w:tcMar>
            <w:vAlign w:val="bottom"/>
          </w:tcPr>
          <w:p w14:paraId="540665A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5A4"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5A5"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5A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5A7"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5A8" w14:textId="77777777" w:rsidR="00611BDD" w:rsidRDefault="002E18C7">
            <w:pPr>
              <w:jc w:val="right"/>
              <w:textAlignment w:val="bottom"/>
            </w:pPr>
            <w:r>
              <w:rPr>
                <w:rFonts w:ascii="sans-serif" w:eastAsia="sans-serif" w:hAnsi="sans-serif" w:cs="sans-serif"/>
                <w:color w:val="000000"/>
                <w:sz w:val="15"/>
                <w:szCs w:val="15"/>
              </w:rPr>
              <w:t>(11)</w:t>
            </w:r>
          </w:p>
        </w:tc>
        <w:tc>
          <w:tcPr>
            <w:tcW w:w="0" w:type="auto"/>
            <w:shd w:val="clear" w:color="auto" w:fill="E2EFD9"/>
            <w:tcMar>
              <w:top w:w="40" w:type="dxa"/>
              <w:left w:w="0" w:type="dxa"/>
              <w:bottom w:w="40" w:type="dxa"/>
              <w:right w:w="20" w:type="dxa"/>
            </w:tcMar>
            <w:vAlign w:val="bottom"/>
          </w:tcPr>
          <w:p w14:paraId="540665A9" w14:textId="77777777" w:rsidR="00611BDD" w:rsidRDefault="00611BDD">
            <w:pPr>
              <w:jc w:val="right"/>
              <w:rPr>
                <w:rFonts w:ascii="宋体"/>
              </w:rPr>
            </w:pPr>
          </w:p>
        </w:tc>
      </w:tr>
      <w:tr w:rsidR="00611BDD" w14:paraId="540665C0" w14:textId="77777777">
        <w:trPr>
          <w:jc w:val="center"/>
        </w:trPr>
        <w:tc>
          <w:tcPr>
            <w:tcW w:w="0" w:type="auto"/>
            <w:gridSpan w:val="3"/>
            <w:shd w:val="clear" w:color="auto" w:fill="FFFFFF"/>
            <w:tcMar>
              <w:top w:w="40" w:type="dxa"/>
              <w:left w:w="20" w:type="dxa"/>
              <w:bottom w:w="40" w:type="dxa"/>
              <w:right w:w="20" w:type="dxa"/>
            </w:tcMar>
            <w:vAlign w:val="bottom"/>
          </w:tcPr>
          <w:p w14:paraId="540665AB" w14:textId="77777777" w:rsidR="00611BDD" w:rsidRDefault="002E18C7">
            <w:pPr>
              <w:textAlignment w:val="bottom"/>
            </w:pPr>
            <w:r>
              <w:rPr>
                <w:rFonts w:ascii="sans-serif" w:eastAsia="sans-serif" w:hAnsi="sans-serif" w:cs="sans-serif"/>
                <w:color w:val="000000"/>
                <w:sz w:val="15"/>
                <w:szCs w:val="15"/>
              </w:rPr>
              <w:t xml:space="preserve">Issuance of common stock from stock </w:t>
            </w:r>
            <w:r>
              <w:rPr>
                <w:rFonts w:ascii="sans-serif" w:eastAsia="sans-serif" w:hAnsi="sans-serif" w:cs="sans-serif"/>
                <w:color w:val="000000"/>
                <w:sz w:val="15"/>
                <w:szCs w:val="15"/>
              </w:rPr>
              <w:t>plans </w:t>
            </w:r>
          </w:p>
        </w:tc>
        <w:tc>
          <w:tcPr>
            <w:tcW w:w="0" w:type="auto"/>
            <w:gridSpan w:val="2"/>
            <w:shd w:val="clear" w:color="auto" w:fill="FFFFFF"/>
            <w:tcMar>
              <w:top w:w="40" w:type="dxa"/>
              <w:left w:w="20" w:type="dxa"/>
              <w:bottom w:w="40" w:type="dxa"/>
              <w:right w:w="0" w:type="dxa"/>
            </w:tcMar>
            <w:vAlign w:val="bottom"/>
          </w:tcPr>
          <w:p w14:paraId="540665AC" w14:textId="77777777" w:rsidR="00611BDD" w:rsidRDefault="002E18C7">
            <w:pPr>
              <w:jc w:val="right"/>
              <w:textAlignment w:val="bottom"/>
            </w:pPr>
            <w:r>
              <w:rPr>
                <w:rFonts w:ascii="sans-serif" w:eastAsia="sans-serif" w:hAnsi="sans-serif" w:cs="sans-serif"/>
                <w:color w:val="000000"/>
                <w:sz w:val="15"/>
                <w:szCs w:val="15"/>
              </w:rPr>
              <w:t>22 </w:t>
            </w:r>
          </w:p>
        </w:tc>
        <w:tc>
          <w:tcPr>
            <w:tcW w:w="0" w:type="auto"/>
            <w:shd w:val="clear" w:color="auto" w:fill="FFFFFF"/>
            <w:tcMar>
              <w:top w:w="40" w:type="dxa"/>
              <w:left w:w="0" w:type="dxa"/>
              <w:bottom w:w="40" w:type="dxa"/>
              <w:right w:w="20" w:type="dxa"/>
            </w:tcMar>
            <w:vAlign w:val="bottom"/>
          </w:tcPr>
          <w:p w14:paraId="540665AD"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5AE"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5AF"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5B0"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5B1"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5B2" w14:textId="77777777" w:rsidR="00611BDD" w:rsidRDefault="002E18C7">
            <w:pPr>
              <w:jc w:val="right"/>
              <w:textAlignment w:val="bottom"/>
            </w:pPr>
            <w:r>
              <w:rPr>
                <w:rFonts w:ascii="sans-serif" w:eastAsia="sans-serif" w:hAnsi="sans-serif" w:cs="sans-serif"/>
                <w:color w:val="000000"/>
                <w:sz w:val="15"/>
                <w:szCs w:val="15"/>
              </w:rPr>
              <w:t>128 </w:t>
            </w:r>
          </w:p>
        </w:tc>
        <w:tc>
          <w:tcPr>
            <w:tcW w:w="0" w:type="auto"/>
            <w:shd w:val="clear" w:color="auto" w:fill="FFFFFF"/>
            <w:tcMar>
              <w:top w:w="40" w:type="dxa"/>
              <w:left w:w="0" w:type="dxa"/>
              <w:bottom w:w="40" w:type="dxa"/>
              <w:right w:w="20" w:type="dxa"/>
            </w:tcMar>
            <w:vAlign w:val="bottom"/>
          </w:tcPr>
          <w:p w14:paraId="540665B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5B4"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5B5"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5B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5B7"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5B8"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5B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5BA"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5BB"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5BC"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5BD"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5BE" w14:textId="77777777" w:rsidR="00611BDD" w:rsidRDefault="002E18C7">
            <w:pPr>
              <w:jc w:val="right"/>
              <w:textAlignment w:val="bottom"/>
            </w:pPr>
            <w:r>
              <w:rPr>
                <w:rFonts w:ascii="sans-serif" w:eastAsia="sans-serif" w:hAnsi="sans-serif" w:cs="sans-serif"/>
                <w:color w:val="000000"/>
                <w:sz w:val="15"/>
                <w:szCs w:val="15"/>
              </w:rPr>
              <w:t>128 </w:t>
            </w:r>
          </w:p>
        </w:tc>
        <w:tc>
          <w:tcPr>
            <w:tcW w:w="0" w:type="auto"/>
            <w:shd w:val="clear" w:color="auto" w:fill="FFFFFF"/>
            <w:tcMar>
              <w:top w:w="40" w:type="dxa"/>
              <w:left w:w="0" w:type="dxa"/>
              <w:bottom w:w="40" w:type="dxa"/>
              <w:right w:w="20" w:type="dxa"/>
            </w:tcMar>
            <w:vAlign w:val="bottom"/>
          </w:tcPr>
          <w:p w14:paraId="540665BF" w14:textId="77777777" w:rsidR="00611BDD" w:rsidRDefault="00611BDD">
            <w:pPr>
              <w:jc w:val="right"/>
              <w:rPr>
                <w:rFonts w:ascii="宋体"/>
              </w:rPr>
            </w:pPr>
          </w:p>
        </w:tc>
      </w:tr>
      <w:tr w:rsidR="00611BDD" w14:paraId="540665D6" w14:textId="77777777">
        <w:trPr>
          <w:jc w:val="center"/>
        </w:trPr>
        <w:tc>
          <w:tcPr>
            <w:tcW w:w="0" w:type="auto"/>
            <w:gridSpan w:val="3"/>
            <w:shd w:val="clear" w:color="auto" w:fill="E2EFD9"/>
            <w:tcMar>
              <w:top w:w="40" w:type="dxa"/>
              <w:left w:w="20" w:type="dxa"/>
              <w:bottom w:w="40" w:type="dxa"/>
              <w:right w:w="20" w:type="dxa"/>
            </w:tcMar>
            <w:vAlign w:val="bottom"/>
          </w:tcPr>
          <w:p w14:paraId="540665C1" w14:textId="77777777" w:rsidR="00611BDD" w:rsidRDefault="002E18C7">
            <w:pPr>
              <w:textAlignment w:val="bottom"/>
            </w:pPr>
            <w:r>
              <w:rPr>
                <w:rFonts w:ascii="sans-serif" w:eastAsia="sans-serif" w:hAnsi="sans-serif" w:cs="sans-serif"/>
                <w:color w:val="000000"/>
                <w:sz w:val="15"/>
                <w:szCs w:val="15"/>
              </w:rPr>
              <w:t xml:space="preserve">Tax </w:t>
            </w:r>
            <w:r>
              <w:rPr>
                <w:rFonts w:ascii="sans-serif" w:eastAsia="sans-serif" w:hAnsi="sans-serif" w:cs="sans-serif"/>
                <w:color w:val="000000"/>
                <w:sz w:val="15"/>
                <w:szCs w:val="15"/>
              </w:rPr>
              <w:t>withholding related to vesting of restricted stock units</w:t>
            </w:r>
          </w:p>
        </w:tc>
        <w:tc>
          <w:tcPr>
            <w:tcW w:w="0" w:type="auto"/>
            <w:gridSpan w:val="2"/>
            <w:shd w:val="clear" w:color="auto" w:fill="E2EFD9"/>
            <w:tcMar>
              <w:top w:w="40" w:type="dxa"/>
              <w:left w:w="20" w:type="dxa"/>
              <w:bottom w:w="40" w:type="dxa"/>
              <w:right w:w="0" w:type="dxa"/>
            </w:tcMar>
            <w:vAlign w:val="bottom"/>
          </w:tcPr>
          <w:p w14:paraId="540665C2" w14:textId="77777777" w:rsidR="00611BDD" w:rsidRDefault="002E18C7">
            <w:pPr>
              <w:jc w:val="right"/>
              <w:textAlignment w:val="bottom"/>
            </w:pPr>
            <w:r>
              <w:rPr>
                <w:rFonts w:ascii="sans-serif" w:eastAsia="sans-serif" w:hAnsi="sans-serif" w:cs="sans-serif"/>
                <w:color w:val="000000"/>
                <w:sz w:val="15"/>
                <w:szCs w:val="15"/>
              </w:rPr>
              <w:t>(5)</w:t>
            </w:r>
          </w:p>
        </w:tc>
        <w:tc>
          <w:tcPr>
            <w:tcW w:w="0" w:type="auto"/>
            <w:shd w:val="clear" w:color="auto" w:fill="E2EFD9"/>
            <w:tcMar>
              <w:top w:w="40" w:type="dxa"/>
              <w:left w:w="0" w:type="dxa"/>
              <w:bottom w:w="40" w:type="dxa"/>
              <w:right w:w="20" w:type="dxa"/>
            </w:tcMar>
            <w:vAlign w:val="bottom"/>
          </w:tcPr>
          <w:p w14:paraId="540665C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5C4"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5C5"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5C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5C7"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5C8"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5C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5CA"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5CB" w14:textId="77777777" w:rsidR="00611BDD" w:rsidRDefault="002E18C7">
            <w:pPr>
              <w:jc w:val="right"/>
              <w:textAlignment w:val="bottom"/>
            </w:pPr>
            <w:r>
              <w:rPr>
                <w:rFonts w:ascii="sans-serif" w:eastAsia="sans-serif" w:hAnsi="sans-serif" w:cs="sans-serif"/>
                <w:color w:val="000000"/>
                <w:sz w:val="15"/>
                <w:szCs w:val="15"/>
              </w:rPr>
              <w:t>(848)</w:t>
            </w:r>
          </w:p>
        </w:tc>
        <w:tc>
          <w:tcPr>
            <w:tcW w:w="0" w:type="auto"/>
            <w:shd w:val="clear" w:color="auto" w:fill="E2EFD9"/>
            <w:tcMar>
              <w:top w:w="40" w:type="dxa"/>
              <w:left w:w="0" w:type="dxa"/>
              <w:bottom w:w="40" w:type="dxa"/>
              <w:right w:w="20" w:type="dxa"/>
            </w:tcMar>
            <w:vAlign w:val="bottom"/>
          </w:tcPr>
          <w:p w14:paraId="540665CC"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5CD"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5CE"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5CF"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5D0"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5D1"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5D2"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5D3"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5D4" w14:textId="77777777" w:rsidR="00611BDD" w:rsidRDefault="002E18C7">
            <w:pPr>
              <w:jc w:val="right"/>
              <w:textAlignment w:val="bottom"/>
            </w:pPr>
            <w:r>
              <w:rPr>
                <w:rFonts w:ascii="sans-serif" w:eastAsia="sans-serif" w:hAnsi="sans-serif" w:cs="sans-serif"/>
                <w:color w:val="000000"/>
                <w:sz w:val="15"/>
                <w:szCs w:val="15"/>
              </w:rPr>
              <w:t>(848)</w:t>
            </w:r>
          </w:p>
        </w:tc>
        <w:tc>
          <w:tcPr>
            <w:tcW w:w="0" w:type="auto"/>
            <w:shd w:val="clear" w:color="auto" w:fill="E2EFD9"/>
            <w:tcMar>
              <w:top w:w="40" w:type="dxa"/>
              <w:left w:w="0" w:type="dxa"/>
              <w:bottom w:w="40" w:type="dxa"/>
              <w:right w:w="20" w:type="dxa"/>
            </w:tcMar>
            <w:vAlign w:val="bottom"/>
          </w:tcPr>
          <w:p w14:paraId="540665D5" w14:textId="77777777" w:rsidR="00611BDD" w:rsidRDefault="00611BDD">
            <w:pPr>
              <w:jc w:val="right"/>
              <w:rPr>
                <w:rFonts w:ascii="宋体"/>
              </w:rPr>
            </w:pPr>
          </w:p>
        </w:tc>
      </w:tr>
      <w:tr w:rsidR="00611BDD" w14:paraId="540665E5" w14:textId="77777777">
        <w:trPr>
          <w:jc w:val="center"/>
          <w:hidden/>
        </w:trPr>
        <w:tc>
          <w:tcPr>
            <w:tcW w:w="0" w:type="auto"/>
            <w:gridSpan w:val="3"/>
            <w:shd w:val="clear" w:color="auto" w:fill="auto"/>
            <w:vAlign w:val="bottom"/>
          </w:tcPr>
          <w:p w14:paraId="540665D7" w14:textId="77777777" w:rsidR="00611BDD" w:rsidRDefault="00611BDD">
            <w:pPr>
              <w:rPr>
                <w:rFonts w:ascii="宋体"/>
                <w:vanish/>
              </w:rPr>
            </w:pPr>
          </w:p>
        </w:tc>
        <w:tc>
          <w:tcPr>
            <w:tcW w:w="0" w:type="auto"/>
            <w:gridSpan w:val="3"/>
            <w:shd w:val="clear" w:color="auto" w:fill="auto"/>
            <w:vAlign w:val="bottom"/>
          </w:tcPr>
          <w:p w14:paraId="540665D8" w14:textId="77777777" w:rsidR="00611BDD" w:rsidRDefault="00611BDD">
            <w:pPr>
              <w:rPr>
                <w:rFonts w:ascii="宋体"/>
                <w:vanish/>
              </w:rPr>
            </w:pPr>
          </w:p>
        </w:tc>
        <w:tc>
          <w:tcPr>
            <w:tcW w:w="0" w:type="auto"/>
            <w:gridSpan w:val="3"/>
            <w:shd w:val="clear" w:color="auto" w:fill="auto"/>
            <w:vAlign w:val="bottom"/>
          </w:tcPr>
          <w:p w14:paraId="540665D9" w14:textId="77777777" w:rsidR="00611BDD" w:rsidRDefault="00611BDD">
            <w:pPr>
              <w:rPr>
                <w:rFonts w:ascii="宋体"/>
                <w:vanish/>
              </w:rPr>
            </w:pPr>
          </w:p>
        </w:tc>
        <w:tc>
          <w:tcPr>
            <w:tcW w:w="0" w:type="auto"/>
            <w:gridSpan w:val="3"/>
            <w:shd w:val="clear" w:color="auto" w:fill="auto"/>
            <w:vAlign w:val="bottom"/>
          </w:tcPr>
          <w:p w14:paraId="540665DA" w14:textId="77777777" w:rsidR="00611BDD" w:rsidRDefault="00611BDD">
            <w:pPr>
              <w:rPr>
                <w:rFonts w:ascii="宋体"/>
                <w:vanish/>
              </w:rPr>
            </w:pPr>
          </w:p>
        </w:tc>
        <w:tc>
          <w:tcPr>
            <w:tcW w:w="0" w:type="auto"/>
            <w:gridSpan w:val="3"/>
            <w:shd w:val="clear" w:color="auto" w:fill="auto"/>
            <w:vAlign w:val="bottom"/>
          </w:tcPr>
          <w:p w14:paraId="540665DB" w14:textId="77777777" w:rsidR="00611BDD" w:rsidRDefault="00611BDD">
            <w:pPr>
              <w:rPr>
                <w:rFonts w:ascii="宋体"/>
                <w:vanish/>
              </w:rPr>
            </w:pPr>
          </w:p>
        </w:tc>
        <w:tc>
          <w:tcPr>
            <w:tcW w:w="0" w:type="auto"/>
            <w:gridSpan w:val="3"/>
            <w:shd w:val="clear" w:color="auto" w:fill="auto"/>
            <w:vAlign w:val="bottom"/>
          </w:tcPr>
          <w:p w14:paraId="540665DC" w14:textId="77777777" w:rsidR="00611BDD" w:rsidRDefault="00611BDD">
            <w:pPr>
              <w:rPr>
                <w:rFonts w:ascii="宋体"/>
                <w:vanish/>
              </w:rPr>
            </w:pPr>
          </w:p>
        </w:tc>
        <w:tc>
          <w:tcPr>
            <w:tcW w:w="0" w:type="auto"/>
            <w:gridSpan w:val="3"/>
            <w:shd w:val="clear" w:color="auto" w:fill="auto"/>
            <w:vAlign w:val="bottom"/>
          </w:tcPr>
          <w:p w14:paraId="540665DD" w14:textId="77777777" w:rsidR="00611BDD" w:rsidRDefault="00611BDD">
            <w:pPr>
              <w:rPr>
                <w:rFonts w:ascii="宋体"/>
                <w:vanish/>
              </w:rPr>
            </w:pPr>
          </w:p>
        </w:tc>
        <w:tc>
          <w:tcPr>
            <w:tcW w:w="0" w:type="auto"/>
            <w:gridSpan w:val="3"/>
            <w:shd w:val="clear" w:color="auto" w:fill="auto"/>
            <w:vAlign w:val="bottom"/>
          </w:tcPr>
          <w:p w14:paraId="540665DE" w14:textId="77777777" w:rsidR="00611BDD" w:rsidRDefault="00611BDD">
            <w:pPr>
              <w:rPr>
                <w:rFonts w:ascii="宋体"/>
                <w:vanish/>
              </w:rPr>
            </w:pPr>
          </w:p>
        </w:tc>
        <w:tc>
          <w:tcPr>
            <w:tcW w:w="0" w:type="auto"/>
            <w:gridSpan w:val="3"/>
            <w:shd w:val="clear" w:color="auto" w:fill="auto"/>
            <w:vAlign w:val="bottom"/>
          </w:tcPr>
          <w:p w14:paraId="540665DF" w14:textId="77777777" w:rsidR="00611BDD" w:rsidRDefault="00611BDD">
            <w:pPr>
              <w:rPr>
                <w:rFonts w:ascii="宋体"/>
                <w:vanish/>
              </w:rPr>
            </w:pPr>
          </w:p>
        </w:tc>
        <w:tc>
          <w:tcPr>
            <w:tcW w:w="0" w:type="auto"/>
            <w:gridSpan w:val="3"/>
            <w:shd w:val="clear" w:color="auto" w:fill="auto"/>
            <w:vAlign w:val="bottom"/>
          </w:tcPr>
          <w:p w14:paraId="540665E0" w14:textId="77777777" w:rsidR="00611BDD" w:rsidRDefault="00611BDD">
            <w:pPr>
              <w:rPr>
                <w:rFonts w:ascii="宋体"/>
                <w:vanish/>
              </w:rPr>
            </w:pPr>
          </w:p>
        </w:tc>
        <w:tc>
          <w:tcPr>
            <w:tcW w:w="0" w:type="auto"/>
            <w:gridSpan w:val="3"/>
            <w:shd w:val="clear" w:color="auto" w:fill="auto"/>
            <w:vAlign w:val="bottom"/>
          </w:tcPr>
          <w:p w14:paraId="540665E1" w14:textId="77777777" w:rsidR="00611BDD" w:rsidRDefault="00611BDD">
            <w:pPr>
              <w:rPr>
                <w:rFonts w:ascii="宋体"/>
                <w:vanish/>
              </w:rPr>
            </w:pPr>
          </w:p>
        </w:tc>
        <w:tc>
          <w:tcPr>
            <w:tcW w:w="0" w:type="auto"/>
            <w:gridSpan w:val="3"/>
            <w:shd w:val="clear" w:color="auto" w:fill="auto"/>
            <w:vAlign w:val="bottom"/>
          </w:tcPr>
          <w:p w14:paraId="540665E2" w14:textId="77777777" w:rsidR="00611BDD" w:rsidRDefault="00611BDD">
            <w:pPr>
              <w:rPr>
                <w:rFonts w:ascii="宋体"/>
                <w:vanish/>
              </w:rPr>
            </w:pPr>
          </w:p>
        </w:tc>
        <w:tc>
          <w:tcPr>
            <w:tcW w:w="0" w:type="auto"/>
            <w:gridSpan w:val="3"/>
            <w:shd w:val="clear" w:color="auto" w:fill="auto"/>
            <w:vAlign w:val="bottom"/>
          </w:tcPr>
          <w:p w14:paraId="540665E3" w14:textId="77777777" w:rsidR="00611BDD" w:rsidRDefault="00611BDD">
            <w:pPr>
              <w:rPr>
                <w:rFonts w:ascii="宋体"/>
                <w:vanish/>
              </w:rPr>
            </w:pPr>
          </w:p>
        </w:tc>
        <w:tc>
          <w:tcPr>
            <w:tcW w:w="0" w:type="auto"/>
            <w:gridSpan w:val="3"/>
            <w:shd w:val="clear" w:color="auto" w:fill="auto"/>
            <w:vAlign w:val="bottom"/>
          </w:tcPr>
          <w:p w14:paraId="540665E4" w14:textId="77777777" w:rsidR="00611BDD" w:rsidRDefault="00611BDD">
            <w:pPr>
              <w:rPr>
                <w:rFonts w:ascii="宋体"/>
                <w:vanish/>
              </w:rPr>
            </w:pPr>
          </w:p>
        </w:tc>
      </w:tr>
      <w:tr w:rsidR="00611BDD" w14:paraId="540665FB" w14:textId="77777777">
        <w:trPr>
          <w:jc w:val="center"/>
        </w:trPr>
        <w:tc>
          <w:tcPr>
            <w:tcW w:w="0" w:type="auto"/>
            <w:gridSpan w:val="3"/>
            <w:shd w:val="clear" w:color="auto" w:fill="FFFFFF"/>
            <w:tcMar>
              <w:top w:w="40" w:type="dxa"/>
              <w:left w:w="20" w:type="dxa"/>
              <w:bottom w:w="40" w:type="dxa"/>
              <w:right w:w="20" w:type="dxa"/>
            </w:tcMar>
            <w:vAlign w:val="bottom"/>
          </w:tcPr>
          <w:p w14:paraId="540665E6" w14:textId="77777777" w:rsidR="00611BDD" w:rsidRDefault="002E18C7">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15"/>
                <w:szCs w:val="15"/>
              </w:rPr>
              <w:t xml:space="preserve">Cash dividends declared and paid </w:t>
            </w:r>
            <w:r>
              <w:rPr>
                <w:rFonts w:ascii="sans-serif" w:eastAsia="sans-serif" w:hAnsi="sans-serif" w:cs="sans-serif"/>
                <w:color w:val="000000"/>
                <w:sz w:val="15"/>
                <w:szCs w:val="15"/>
              </w:rPr>
              <w:t>($0.08 per common share)</w:t>
            </w:r>
          </w:p>
        </w:tc>
        <w:tc>
          <w:tcPr>
            <w:tcW w:w="0" w:type="auto"/>
            <w:gridSpan w:val="2"/>
            <w:shd w:val="clear" w:color="auto" w:fill="FFFFFF"/>
            <w:tcMar>
              <w:top w:w="40" w:type="dxa"/>
              <w:left w:w="20" w:type="dxa"/>
              <w:bottom w:w="40" w:type="dxa"/>
              <w:right w:w="0" w:type="dxa"/>
            </w:tcMar>
            <w:vAlign w:val="bottom"/>
          </w:tcPr>
          <w:p w14:paraId="540665E7"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5E8"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5E9"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5EA"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5EB"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5EC"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5ED"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5EE"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5EF"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5F0"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5F1"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5F2"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5F3"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5F4"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5F5"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5F6" w14:textId="77777777" w:rsidR="00611BDD" w:rsidRDefault="002E18C7">
            <w:pPr>
              <w:jc w:val="right"/>
              <w:textAlignment w:val="bottom"/>
            </w:pPr>
            <w:r>
              <w:rPr>
                <w:rFonts w:ascii="sans-serif" w:eastAsia="sans-serif" w:hAnsi="sans-serif" w:cs="sans-serif"/>
                <w:color w:val="000000"/>
                <w:sz w:val="15"/>
                <w:szCs w:val="15"/>
              </w:rPr>
              <w:t>(198)</w:t>
            </w:r>
          </w:p>
        </w:tc>
        <w:tc>
          <w:tcPr>
            <w:tcW w:w="0" w:type="auto"/>
            <w:shd w:val="clear" w:color="auto" w:fill="FFFFFF"/>
            <w:tcMar>
              <w:top w:w="40" w:type="dxa"/>
              <w:left w:w="0" w:type="dxa"/>
              <w:bottom w:w="40" w:type="dxa"/>
              <w:right w:w="20" w:type="dxa"/>
            </w:tcMar>
            <w:vAlign w:val="bottom"/>
          </w:tcPr>
          <w:p w14:paraId="540665F7"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5F8"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5F9" w14:textId="77777777" w:rsidR="00611BDD" w:rsidRDefault="002E18C7">
            <w:pPr>
              <w:jc w:val="right"/>
              <w:textAlignment w:val="bottom"/>
            </w:pPr>
            <w:r>
              <w:rPr>
                <w:rFonts w:ascii="sans-serif" w:eastAsia="sans-serif" w:hAnsi="sans-serif" w:cs="sans-serif"/>
                <w:color w:val="000000"/>
                <w:sz w:val="15"/>
                <w:szCs w:val="15"/>
              </w:rPr>
              <w:t>(198)</w:t>
            </w:r>
          </w:p>
        </w:tc>
        <w:tc>
          <w:tcPr>
            <w:tcW w:w="0" w:type="auto"/>
            <w:shd w:val="clear" w:color="auto" w:fill="FFFFFF"/>
            <w:tcMar>
              <w:top w:w="40" w:type="dxa"/>
              <w:left w:w="0" w:type="dxa"/>
              <w:bottom w:w="40" w:type="dxa"/>
              <w:right w:w="20" w:type="dxa"/>
            </w:tcMar>
            <w:vAlign w:val="bottom"/>
          </w:tcPr>
          <w:p w14:paraId="540665FA" w14:textId="77777777" w:rsidR="00611BDD" w:rsidRDefault="00611BDD">
            <w:pPr>
              <w:jc w:val="right"/>
              <w:rPr>
                <w:rFonts w:ascii="宋体"/>
              </w:rPr>
            </w:pPr>
          </w:p>
        </w:tc>
      </w:tr>
      <w:tr w:rsidR="00611BDD" w14:paraId="5406660A" w14:textId="77777777">
        <w:trPr>
          <w:jc w:val="center"/>
          <w:hidden/>
        </w:trPr>
        <w:tc>
          <w:tcPr>
            <w:tcW w:w="0" w:type="auto"/>
            <w:gridSpan w:val="3"/>
            <w:shd w:val="clear" w:color="auto" w:fill="auto"/>
            <w:vAlign w:val="bottom"/>
          </w:tcPr>
          <w:p w14:paraId="540665FC" w14:textId="77777777" w:rsidR="00611BDD" w:rsidRDefault="00611BDD">
            <w:pPr>
              <w:rPr>
                <w:rFonts w:ascii="宋体"/>
                <w:vanish/>
              </w:rPr>
            </w:pPr>
          </w:p>
        </w:tc>
        <w:tc>
          <w:tcPr>
            <w:tcW w:w="0" w:type="auto"/>
            <w:gridSpan w:val="3"/>
            <w:shd w:val="clear" w:color="auto" w:fill="auto"/>
            <w:vAlign w:val="bottom"/>
          </w:tcPr>
          <w:p w14:paraId="540665FD" w14:textId="77777777" w:rsidR="00611BDD" w:rsidRDefault="00611BDD">
            <w:pPr>
              <w:rPr>
                <w:rFonts w:ascii="宋体"/>
                <w:vanish/>
              </w:rPr>
            </w:pPr>
          </w:p>
        </w:tc>
        <w:tc>
          <w:tcPr>
            <w:tcW w:w="0" w:type="auto"/>
            <w:gridSpan w:val="3"/>
            <w:shd w:val="clear" w:color="auto" w:fill="auto"/>
            <w:vAlign w:val="bottom"/>
          </w:tcPr>
          <w:p w14:paraId="540665FE" w14:textId="77777777" w:rsidR="00611BDD" w:rsidRDefault="00611BDD">
            <w:pPr>
              <w:rPr>
                <w:rFonts w:ascii="宋体"/>
                <w:vanish/>
              </w:rPr>
            </w:pPr>
          </w:p>
        </w:tc>
        <w:tc>
          <w:tcPr>
            <w:tcW w:w="0" w:type="auto"/>
            <w:gridSpan w:val="3"/>
            <w:shd w:val="clear" w:color="auto" w:fill="auto"/>
            <w:vAlign w:val="bottom"/>
          </w:tcPr>
          <w:p w14:paraId="540665FF" w14:textId="77777777" w:rsidR="00611BDD" w:rsidRDefault="00611BDD">
            <w:pPr>
              <w:rPr>
                <w:rFonts w:ascii="宋体"/>
                <w:vanish/>
              </w:rPr>
            </w:pPr>
          </w:p>
        </w:tc>
        <w:tc>
          <w:tcPr>
            <w:tcW w:w="0" w:type="auto"/>
            <w:gridSpan w:val="3"/>
            <w:shd w:val="clear" w:color="auto" w:fill="auto"/>
            <w:vAlign w:val="bottom"/>
          </w:tcPr>
          <w:p w14:paraId="54066600" w14:textId="77777777" w:rsidR="00611BDD" w:rsidRDefault="00611BDD">
            <w:pPr>
              <w:rPr>
                <w:rFonts w:ascii="宋体"/>
                <w:vanish/>
              </w:rPr>
            </w:pPr>
          </w:p>
        </w:tc>
        <w:tc>
          <w:tcPr>
            <w:tcW w:w="0" w:type="auto"/>
            <w:gridSpan w:val="3"/>
            <w:shd w:val="clear" w:color="auto" w:fill="auto"/>
            <w:vAlign w:val="bottom"/>
          </w:tcPr>
          <w:p w14:paraId="54066601" w14:textId="77777777" w:rsidR="00611BDD" w:rsidRDefault="00611BDD">
            <w:pPr>
              <w:rPr>
                <w:rFonts w:ascii="宋体"/>
                <w:vanish/>
              </w:rPr>
            </w:pPr>
          </w:p>
        </w:tc>
        <w:tc>
          <w:tcPr>
            <w:tcW w:w="0" w:type="auto"/>
            <w:gridSpan w:val="3"/>
            <w:shd w:val="clear" w:color="auto" w:fill="auto"/>
            <w:vAlign w:val="bottom"/>
          </w:tcPr>
          <w:p w14:paraId="54066602" w14:textId="77777777" w:rsidR="00611BDD" w:rsidRDefault="00611BDD">
            <w:pPr>
              <w:rPr>
                <w:rFonts w:ascii="宋体"/>
                <w:vanish/>
              </w:rPr>
            </w:pPr>
          </w:p>
        </w:tc>
        <w:tc>
          <w:tcPr>
            <w:tcW w:w="0" w:type="auto"/>
            <w:gridSpan w:val="3"/>
            <w:shd w:val="clear" w:color="auto" w:fill="auto"/>
            <w:vAlign w:val="bottom"/>
          </w:tcPr>
          <w:p w14:paraId="54066603" w14:textId="77777777" w:rsidR="00611BDD" w:rsidRDefault="00611BDD">
            <w:pPr>
              <w:rPr>
                <w:rFonts w:ascii="宋体"/>
                <w:vanish/>
              </w:rPr>
            </w:pPr>
          </w:p>
        </w:tc>
        <w:tc>
          <w:tcPr>
            <w:tcW w:w="0" w:type="auto"/>
            <w:gridSpan w:val="3"/>
            <w:shd w:val="clear" w:color="auto" w:fill="auto"/>
            <w:vAlign w:val="bottom"/>
          </w:tcPr>
          <w:p w14:paraId="54066604" w14:textId="77777777" w:rsidR="00611BDD" w:rsidRDefault="00611BDD">
            <w:pPr>
              <w:rPr>
                <w:rFonts w:ascii="宋体"/>
                <w:vanish/>
              </w:rPr>
            </w:pPr>
          </w:p>
        </w:tc>
        <w:tc>
          <w:tcPr>
            <w:tcW w:w="0" w:type="auto"/>
            <w:gridSpan w:val="3"/>
            <w:shd w:val="clear" w:color="auto" w:fill="auto"/>
            <w:vAlign w:val="bottom"/>
          </w:tcPr>
          <w:p w14:paraId="54066605" w14:textId="77777777" w:rsidR="00611BDD" w:rsidRDefault="00611BDD">
            <w:pPr>
              <w:rPr>
                <w:rFonts w:ascii="宋体"/>
                <w:vanish/>
              </w:rPr>
            </w:pPr>
          </w:p>
        </w:tc>
        <w:tc>
          <w:tcPr>
            <w:tcW w:w="0" w:type="auto"/>
            <w:gridSpan w:val="3"/>
            <w:shd w:val="clear" w:color="auto" w:fill="auto"/>
            <w:vAlign w:val="bottom"/>
          </w:tcPr>
          <w:p w14:paraId="54066606" w14:textId="77777777" w:rsidR="00611BDD" w:rsidRDefault="00611BDD">
            <w:pPr>
              <w:rPr>
                <w:rFonts w:ascii="宋体"/>
                <w:vanish/>
              </w:rPr>
            </w:pPr>
          </w:p>
        </w:tc>
        <w:tc>
          <w:tcPr>
            <w:tcW w:w="0" w:type="auto"/>
            <w:gridSpan w:val="3"/>
            <w:shd w:val="clear" w:color="auto" w:fill="auto"/>
            <w:vAlign w:val="bottom"/>
          </w:tcPr>
          <w:p w14:paraId="54066607" w14:textId="77777777" w:rsidR="00611BDD" w:rsidRDefault="00611BDD">
            <w:pPr>
              <w:rPr>
                <w:rFonts w:ascii="宋体"/>
                <w:vanish/>
              </w:rPr>
            </w:pPr>
          </w:p>
        </w:tc>
        <w:tc>
          <w:tcPr>
            <w:tcW w:w="0" w:type="auto"/>
            <w:gridSpan w:val="3"/>
            <w:shd w:val="clear" w:color="auto" w:fill="auto"/>
            <w:vAlign w:val="bottom"/>
          </w:tcPr>
          <w:p w14:paraId="54066608" w14:textId="77777777" w:rsidR="00611BDD" w:rsidRDefault="00611BDD">
            <w:pPr>
              <w:rPr>
                <w:rFonts w:ascii="宋体"/>
                <w:vanish/>
              </w:rPr>
            </w:pPr>
          </w:p>
        </w:tc>
        <w:tc>
          <w:tcPr>
            <w:tcW w:w="0" w:type="auto"/>
            <w:gridSpan w:val="3"/>
            <w:shd w:val="clear" w:color="auto" w:fill="auto"/>
            <w:vAlign w:val="bottom"/>
          </w:tcPr>
          <w:p w14:paraId="54066609" w14:textId="77777777" w:rsidR="00611BDD" w:rsidRDefault="00611BDD">
            <w:pPr>
              <w:rPr>
                <w:rFonts w:ascii="宋体"/>
                <w:vanish/>
              </w:rPr>
            </w:pPr>
          </w:p>
        </w:tc>
      </w:tr>
      <w:tr w:rsidR="00611BDD" w14:paraId="54066620" w14:textId="77777777">
        <w:trPr>
          <w:jc w:val="center"/>
        </w:trPr>
        <w:tc>
          <w:tcPr>
            <w:tcW w:w="0" w:type="auto"/>
            <w:gridSpan w:val="3"/>
            <w:shd w:val="clear" w:color="auto" w:fill="E2EFD9"/>
            <w:tcMar>
              <w:top w:w="40" w:type="dxa"/>
              <w:left w:w="20" w:type="dxa"/>
              <w:bottom w:w="40" w:type="dxa"/>
              <w:right w:w="20" w:type="dxa"/>
            </w:tcMar>
            <w:vAlign w:val="bottom"/>
          </w:tcPr>
          <w:p w14:paraId="5406660B" w14:textId="77777777" w:rsidR="00611BDD" w:rsidRDefault="002E18C7">
            <w:pPr>
              <w:textAlignment w:val="bottom"/>
            </w:pPr>
            <w:r>
              <w:rPr>
                <w:rFonts w:ascii="sans-serif" w:eastAsia="sans-serif" w:hAnsi="sans-serif" w:cs="sans-serif"/>
                <w:color w:val="000000"/>
                <w:sz w:val="15"/>
                <w:szCs w:val="15"/>
              </w:rPr>
              <w:t>Stock-based compensation</w:t>
            </w:r>
          </w:p>
        </w:tc>
        <w:tc>
          <w:tcPr>
            <w:tcW w:w="0" w:type="auto"/>
            <w:gridSpan w:val="2"/>
            <w:shd w:val="clear" w:color="auto" w:fill="E2EFD9"/>
            <w:tcMar>
              <w:top w:w="40" w:type="dxa"/>
              <w:left w:w="20" w:type="dxa"/>
              <w:bottom w:w="40" w:type="dxa"/>
              <w:right w:w="0" w:type="dxa"/>
            </w:tcMar>
            <w:vAlign w:val="bottom"/>
          </w:tcPr>
          <w:p w14:paraId="5406660C"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60D"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0E"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60F"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610"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11"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612" w14:textId="77777777" w:rsidR="00611BDD" w:rsidRDefault="002E18C7">
            <w:pPr>
              <w:jc w:val="right"/>
              <w:textAlignment w:val="bottom"/>
            </w:pPr>
            <w:r>
              <w:rPr>
                <w:rFonts w:ascii="sans-serif" w:eastAsia="sans-serif" w:hAnsi="sans-serif" w:cs="sans-serif"/>
                <w:color w:val="000000"/>
                <w:sz w:val="15"/>
                <w:szCs w:val="15"/>
              </w:rPr>
              <w:t>898 </w:t>
            </w:r>
          </w:p>
        </w:tc>
        <w:tc>
          <w:tcPr>
            <w:tcW w:w="0" w:type="auto"/>
            <w:shd w:val="clear" w:color="auto" w:fill="E2EFD9"/>
            <w:tcMar>
              <w:top w:w="40" w:type="dxa"/>
              <w:left w:w="0" w:type="dxa"/>
              <w:bottom w:w="40" w:type="dxa"/>
              <w:right w:w="20" w:type="dxa"/>
            </w:tcMar>
            <w:vAlign w:val="bottom"/>
          </w:tcPr>
          <w:p w14:paraId="5406661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14"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615"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61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17"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618"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61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1A"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61B"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61C"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1D"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61E" w14:textId="77777777" w:rsidR="00611BDD" w:rsidRDefault="002E18C7">
            <w:pPr>
              <w:jc w:val="right"/>
              <w:textAlignment w:val="bottom"/>
            </w:pPr>
            <w:r>
              <w:rPr>
                <w:rFonts w:ascii="sans-serif" w:eastAsia="sans-serif" w:hAnsi="sans-serif" w:cs="sans-serif"/>
                <w:color w:val="000000"/>
                <w:sz w:val="15"/>
                <w:szCs w:val="15"/>
              </w:rPr>
              <w:t>898 </w:t>
            </w:r>
          </w:p>
        </w:tc>
        <w:tc>
          <w:tcPr>
            <w:tcW w:w="0" w:type="auto"/>
            <w:shd w:val="clear" w:color="auto" w:fill="E2EFD9"/>
            <w:tcMar>
              <w:top w:w="40" w:type="dxa"/>
              <w:left w:w="0" w:type="dxa"/>
              <w:bottom w:w="40" w:type="dxa"/>
              <w:right w:w="20" w:type="dxa"/>
            </w:tcMar>
            <w:vAlign w:val="bottom"/>
          </w:tcPr>
          <w:p w14:paraId="5406661F" w14:textId="77777777" w:rsidR="00611BDD" w:rsidRDefault="00611BDD">
            <w:pPr>
              <w:jc w:val="right"/>
              <w:rPr>
                <w:rFonts w:ascii="宋体"/>
              </w:rPr>
            </w:pPr>
          </w:p>
        </w:tc>
      </w:tr>
      <w:tr w:rsidR="00611BDD" w14:paraId="5406663C" w14:textId="77777777">
        <w:trPr>
          <w:jc w:val="center"/>
        </w:trPr>
        <w:tc>
          <w:tcPr>
            <w:tcW w:w="0" w:type="auto"/>
            <w:gridSpan w:val="3"/>
            <w:shd w:val="clear" w:color="auto" w:fill="FFFFFF"/>
            <w:tcMar>
              <w:top w:w="40" w:type="dxa"/>
              <w:left w:w="20" w:type="dxa"/>
              <w:bottom w:w="40" w:type="dxa"/>
              <w:right w:w="20" w:type="dxa"/>
            </w:tcMar>
            <w:vAlign w:val="bottom"/>
          </w:tcPr>
          <w:p w14:paraId="54066621" w14:textId="77777777" w:rsidR="00611BDD" w:rsidRDefault="002E18C7">
            <w:pPr>
              <w:textAlignment w:val="bottom"/>
            </w:pPr>
            <w:r>
              <w:rPr>
                <w:rFonts w:ascii="sans-serif" w:eastAsia="sans-serif" w:hAnsi="sans-serif" w:cs="sans-serif"/>
                <w:color w:val="000000"/>
                <w:sz w:val="15"/>
                <w:szCs w:val="15"/>
              </w:rPr>
              <w:t>Balances, August 1, 2021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622" w14:textId="77777777" w:rsidR="00611BDD" w:rsidRDefault="002E18C7">
            <w:pPr>
              <w:jc w:val="right"/>
              <w:textAlignment w:val="bottom"/>
            </w:pPr>
            <w:r>
              <w:rPr>
                <w:rFonts w:ascii="sans-serif" w:eastAsia="sans-serif" w:hAnsi="sans-serif" w:cs="sans-serif"/>
                <w:color w:val="000000"/>
                <w:sz w:val="15"/>
                <w:szCs w:val="15"/>
              </w:rPr>
              <w:t>2,496 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62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24" w14:textId="77777777" w:rsidR="00611BDD" w:rsidRDefault="00611BD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4066625"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4066626" w14:textId="77777777" w:rsidR="00611BDD" w:rsidRDefault="002E18C7">
            <w:pPr>
              <w:jc w:val="right"/>
              <w:textAlignment w:val="bottom"/>
            </w:pPr>
            <w:r>
              <w:rPr>
                <w:rFonts w:ascii="sans-serif" w:eastAsia="sans-serif" w:hAnsi="sans-serif" w:cs="sans-serif"/>
                <w:color w:val="000000"/>
                <w:sz w:val="15"/>
                <w:szCs w:val="15"/>
              </w:rPr>
              <w:t>3 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627"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28" w14:textId="77777777" w:rsidR="00611BDD" w:rsidRDefault="00611BD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4066629"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406662A" w14:textId="77777777" w:rsidR="00611BDD" w:rsidRDefault="002E18C7">
            <w:pPr>
              <w:jc w:val="right"/>
              <w:textAlignment w:val="bottom"/>
            </w:pPr>
            <w:r>
              <w:rPr>
                <w:rFonts w:ascii="sans-serif" w:eastAsia="sans-serif" w:hAnsi="sans-serif" w:cs="sans-serif"/>
                <w:color w:val="000000"/>
                <w:sz w:val="15"/>
                <w:szCs w:val="15"/>
              </w:rPr>
              <w:t>9,745 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62B"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2C" w14:textId="77777777" w:rsidR="00611BDD" w:rsidRDefault="00611BD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406662D"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406662E" w14:textId="77777777" w:rsidR="00611BDD" w:rsidRDefault="002E18C7">
            <w:pPr>
              <w:jc w:val="right"/>
              <w:textAlignment w:val="bottom"/>
            </w:pPr>
            <w:r>
              <w:rPr>
                <w:rFonts w:ascii="sans-serif" w:eastAsia="sans-serif" w:hAnsi="sans-serif" w:cs="sans-serif"/>
                <w:color w:val="000000"/>
                <w:sz w:val="15"/>
                <w:szCs w:val="15"/>
              </w:rPr>
              <w:t>(11,604)</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62F"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30" w14:textId="77777777" w:rsidR="00611BDD" w:rsidRDefault="00611BD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4066631"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4066632" w14:textId="77777777" w:rsidR="00611BDD" w:rsidRDefault="002E18C7">
            <w:pPr>
              <w:jc w:val="right"/>
              <w:textAlignment w:val="bottom"/>
            </w:pPr>
            <w:r>
              <w:rPr>
                <w:rFonts w:ascii="sans-serif" w:eastAsia="sans-serif" w:hAnsi="sans-serif" w:cs="sans-serif"/>
                <w:color w:val="000000"/>
                <w:sz w:val="15"/>
                <w:szCs w:val="15"/>
              </w:rPr>
              <w:t>8 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63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34" w14:textId="77777777" w:rsidR="00611BDD" w:rsidRDefault="00611BD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4066635"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4066636" w14:textId="77777777" w:rsidR="00611BDD" w:rsidRDefault="002E18C7">
            <w:pPr>
              <w:jc w:val="right"/>
              <w:textAlignment w:val="bottom"/>
            </w:pPr>
            <w:r>
              <w:rPr>
                <w:rFonts w:ascii="sans-serif" w:eastAsia="sans-serif" w:hAnsi="sans-serif" w:cs="sans-serif"/>
                <w:color w:val="000000"/>
                <w:sz w:val="15"/>
                <w:szCs w:val="15"/>
              </w:rPr>
              <w:t>22,995 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637"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38" w14:textId="77777777" w:rsidR="00611BDD" w:rsidRDefault="00611BD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4066639"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406663A" w14:textId="77777777" w:rsidR="00611BDD" w:rsidRDefault="002E18C7">
            <w:pPr>
              <w:jc w:val="right"/>
              <w:textAlignment w:val="bottom"/>
            </w:pPr>
            <w:r>
              <w:rPr>
                <w:rFonts w:ascii="sans-serif" w:eastAsia="sans-serif" w:hAnsi="sans-serif" w:cs="sans-serif"/>
                <w:color w:val="000000"/>
                <w:sz w:val="15"/>
                <w:szCs w:val="15"/>
              </w:rPr>
              <w:t>21,147 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63B" w14:textId="77777777" w:rsidR="00611BDD" w:rsidRDefault="00611BDD">
            <w:pPr>
              <w:jc w:val="right"/>
              <w:rPr>
                <w:rFonts w:ascii="宋体"/>
              </w:rPr>
            </w:pPr>
          </w:p>
        </w:tc>
      </w:tr>
      <w:tr w:rsidR="00611BDD" w14:paraId="54066658" w14:textId="77777777">
        <w:trPr>
          <w:jc w:val="center"/>
        </w:trPr>
        <w:tc>
          <w:tcPr>
            <w:tcW w:w="0" w:type="auto"/>
            <w:gridSpan w:val="3"/>
            <w:shd w:val="clear" w:color="auto" w:fill="E2EFD9"/>
            <w:tcMar>
              <w:top w:w="40" w:type="dxa"/>
              <w:left w:w="20" w:type="dxa"/>
              <w:bottom w:w="40" w:type="dxa"/>
              <w:right w:w="20" w:type="dxa"/>
            </w:tcMar>
            <w:vAlign w:val="bottom"/>
          </w:tcPr>
          <w:p w14:paraId="5406663D" w14:textId="77777777" w:rsidR="00611BDD" w:rsidRDefault="002E18C7">
            <w:pPr>
              <w:textAlignment w:val="bottom"/>
            </w:pPr>
            <w:r>
              <w:rPr>
                <w:rFonts w:ascii="sans-serif" w:eastAsia="sans-serif" w:hAnsi="sans-serif" w:cs="sans-serif"/>
                <w:color w:val="000000"/>
                <w:sz w:val="15"/>
                <w:szCs w:val="15"/>
              </w:rPr>
              <w:t>Balances, January 26, 2020</w:t>
            </w:r>
          </w:p>
        </w:tc>
        <w:tc>
          <w:tcPr>
            <w:tcW w:w="0" w:type="auto"/>
            <w:gridSpan w:val="2"/>
            <w:tcBorders>
              <w:top w:val="double" w:sz="6" w:space="0" w:color="000000"/>
            </w:tcBorders>
            <w:shd w:val="clear" w:color="auto" w:fill="E2EFD9"/>
            <w:tcMar>
              <w:top w:w="40" w:type="dxa"/>
              <w:left w:w="20" w:type="dxa"/>
              <w:bottom w:w="40" w:type="dxa"/>
              <w:right w:w="0" w:type="dxa"/>
            </w:tcMar>
            <w:vAlign w:val="bottom"/>
          </w:tcPr>
          <w:p w14:paraId="5406663E" w14:textId="77777777" w:rsidR="00611BDD" w:rsidRDefault="002E18C7">
            <w:pPr>
              <w:jc w:val="right"/>
              <w:textAlignment w:val="bottom"/>
            </w:pPr>
            <w:r>
              <w:rPr>
                <w:rFonts w:ascii="sans-serif" w:eastAsia="sans-serif" w:hAnsi="sans-serif" w:cs="sans-serif"/>
                <w:color w:val="000000"/>
                <w:sz w:val="15"/>
                <w:szCs w:val="15"/>
              </w:rPr>
              <w:t>2,450 </w:t>
            </w:r>
          </w:p>
        </w:tc>
        <w:tc>
          <w:tcPr>
            <w:tcW w:w="0" w:type="auto"/>
            <w:tcBorders>
              <w:top w:val="double" w:sz="6" w:space="0" w:color="000000"/>
            </w:tcBorders>
            <w:shd w:val="clear" w:color="auto" w:fill="E2EFD9"/>
            <w:tcMar>
              <w:top w:w="40" w:type="dxa"/>
              <w:left w:w="0" w:type="dxa"/>
              <w:bottom w:w="40" w:type="dxa"/>
              <w:right w:w="20" w:type="dxa"/>
            </w:tcMar>
            <w:vAlign w:val="bottom"/>
          </w:tcPr>
          <w:p w14:paraId="5406663F"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40" w14:textId="77777777" w:rsidR="00611BDD" w:rsidRDefault="00611BDD">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54066641"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4066642" w14:textId="77777777" w:rsidR="00611BDD" w:rsidRDefault="002E18C7">
            <w:pPr>
              <w:jc w:val="right"/>
              <w:textAlignment w:val="bottom"/>
            </w:pPr>
            <w:r>
              <w:rPr>
                <w:rFonts w:ascii="sans-serif" w:eastAsia="sans-serif" w:hAnsi="sans-serif" w:cs="sans-serif"/>
                <w:color w:val="000000"/>
                <w:sz w:val="15"/>
                <w:szCs w:val="15"/>
              </w:rPr>
              <w:t>3 </w:t>
            </w:r>
          </w:p>
        </w:tc>
        <w:tc>
          <w:tcPr>
            <w:tcW w:w="0" w:type="auto"/>
            <w:tcBorders>
              <w:top w:val="double" w:sz="6" w:space="0" w:color="000000"/>
            </w:tcBorders>
            <w:shd w:val="clear" w:color="auto" w:fill="E2EFD9"/>
            <w:tcMar>
              <w:top w:w="40" w:type="dxa"/>
              <w:left w:w="0" w:type="dxa"/>
              <w:bottom w:w="40" w:type="dxa"/>
              <w:right w:w="20" w:type="dxa"/>
            </w:tcMar>
            <w:vAlign w:val="bottom"/>
          </w:tcPr>
          <w:p w14:paraId="5406664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44" w14:textId="77777777" w:rsidR="00611BDD" w:rsidRDefault="00611BDD">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54066645"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4066646" w14:textId="77777777" w:rsidR="00611BDD" w:rsidRDefault="002E18C7">
            <w:pPr>
              <w:jc w:val="right"/>
              <w:textAlignment w:val="bottom"/>
            </w:pPr>
            <w:r>
              <w:rPr>
                <w:rFonts w:ascii="sans-serif" w:eastAsia="sans-serif" w:hAnsi="sans-serif" w:cs="sans-serif"/>
                <w:color w:val="000000"/>
                <w:sz w:val="15"/>
                <w:szCs w:val="15"/>
              </w:rPr>
              <w:t>7,043 </w:t>
            </w:r>
          </w:p>
        </w:tc>
        <w:tc>
          <w:tcPr>
            <w:tcW w:w="0" w:type="auto"/>
            <w:tcBorders>
              <w:top w:val="double" w:sz="6" w:space="0" w:color="000000"/>
            </w:tcBorders>
            <w:shd w:val="clear" w:color="auto" w:fill="E2EFD9"/>
            <w:tcMar>
              <w:top w:w="40" w:type="dxa"/>
              <w:left w:w="0" w:type="dxa"/>
              <w:bottom w:w="40" w:type="dxa"/>
              <w:right w:w="20" w:type="dxa"/>
            </w:tcMar>
            <w:vAlign w:val="bottom"/>
          </w:tcPr>
          <w:p w14:paraId="54066647"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48" w14:textId="77777777" w:rsidR="00611BDD" w:rsidRDefault="00611BDD">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54066649"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406664A" w14:textId="77777777" w:rsidR="00611BDD" w:rsidRDefault="002E18C7">
            <w:pPr>
              <w:jc w:val="right"/>
              <w:textAlignment w:val="bottom"/>
            </w:pPr>
            <w:r>
              <w:rPr>
                <w:rFonts w:ascii="sans-serif" w:eastAsia="sans-serif" w:hAnsi="sans-serif" w:cs="sans-serif"/>
                <w:color w:val="000000"/>
                <w:sz w:val="15"/>
                <w:szCs w:val="15"/>
              </w:rPr>
              <w:t>(9,814)</w:t>
            </w:r>
          </w:p>
        </w:tc>
        <w:tc>
          <w:tcPr>
            <w:tcW w:w="0" w:type="auto"/>
            <w:tcBorders>
              <w:top w:val="double" w:sz="6" w:space="0" w:color="000000"/>
            </w:tcBorders>
            <w:shd w:val="clear" w:color="auto" w:fill="E2EFD9"/>
            <w:tcMar>
              <w:top w:w="40" w:type="dxa"/>
              <w:left w:w="0" w:type="dxa"/>
              <w:bottom w:w="40" w:type="dxa"/>
              <w:right w:w="20" w:type="dxa"/>
            </w:tcMar>
            <w:vAlign w:val="bottom"/>
          </w:tcPr>
          <w:p w14:paraId="5406664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4C" w14:textId="77777777" w:rsidR="00611BDD" w:rsidRDefault="00611BDD">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5406664D"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406664E" w14:textId="77777777" w:rsidR="00611BDD" w:rsidRDefault="002E18C7">
            <w:pPr>
              <w:jc w:val="right"/>
              <w:textAlignment w:val="bottom"/>
            </w:pPr>
            <w:r>
              <w:rPr>
                <w:rFonts w:ascii="sans-serif" w:eastAsia="sans-serif" w:hAnsi="sans-serif" w:cs="sans-serif"/>
                <w:color w:val="000000"/>
                <w:sz w:val="15"/>
                <w:szCs w:val="15"/>
              </w:rPr>
              <w:t>1 </w:t>
            </w:r>
          </w:p>
        </w:tc>
        <w:tc>
          <w:tcPr>
            <w:tcW w:w="0" w:type="auto"/>
            <w:tcBorders>
              <w:top w:val="double" w:sz="6" w:space="0" w:color="000000"/>
            </w:tcBorders>
            <w:shd w:val="clear" w:color="auto" w:fill="E2EFD9"/>
            <w:tcMar>
              <w:top w:w="40" w:type="dxa"/>
              <w:left w:w="0" w:type="dxa"/>
              <w:bottom w:w="40" w:type="dxa"/>
              <w:right w:w="20" w:type="dxa"/>
            </w:tcMar>
            <w:vAlign w:val="bottom"/>
          </w:tcPr>
          <w:p w14:paraId="5406664F"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50" w14:textId="77777777" w:rsidR="00611BDD" w:rsidRDefault="00611BDD">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54066651"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4066652" w14:textId="77777777" w:rsidR="00611BDD" w:rsidRDefault="002E18C7">
            <w:pPr>
              <w:jc w:val="right"/>
              <w:textAlignment w:val="bottom"/>
            </w:pPr>
            <w:r>
              <w:rPr>
                <w:rFonts w:ascii="sans-serif" w:eastAsia="sans-serif" w:hAnsi="sans-serif" w:cs="sans-serif"/>
                <w:color w:val="000000"/>
                <w:sz w:val="15"/>
                <w:szCs w:val="15"/>
              </w:rPr>
              <w:t>14,971 </w:t>
            </w:r>
          </w:p>
        </w:tc>
        <w:tc>
          <w:tcPr>
            <w:tcW w:w="0" w:type="auto"/>
            <w:tcBorders>
              <w:top w:val="double" w:sz="6" w:space="0" w:color="000000"/>
            </w:tcBorders>
            <w:shd w:val="clear" w:color="auto" w:fill="E2EFD9"/>
            <w:tcMar>
              <w:top w:w="40" w:type="dxa"/>
              <w:left w:w="0" w:type="dxa"/>
              <w:bottom w:w="40" w:type="dxa"/>
              <w:right w:w="20" w:type="dxa"/>
            </w:tcMar>
            <w:vAlign w:val="bottom"/>
          </w:tcPr>
          <w:p w14:paraId="5406665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54" w14:textId="77777777" w:rsidR="00611BDD" w:rsidRDefault="00611BDD">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54066655"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4066656" w14:textId="77777777" w:rsidR="00611BDD" w:rsidRDefault="002E18C7">
            <w:pPr>
              <w:jc w:val="right"/>
              <w:textAlignment w:val="bottom"/>
            </w:pPr>
            <w:r>
              <w:rPr>
                <w:rFonts w:ascii="sans-serif" w:eastAsia="sans-serif" w:hAnsi="sans-serif" w:cs="sans-serif"/>
                <w:color w:val="000000"/>
                <w:sz w:val="15"/>
                <w:szCs w:val="15"/>
              </w:rPr>
              <w:t>12,204 </w:t>
            </w:r>
          </w:p>
        </w:tc>
        <w:tc>
          <w:tcPr>
            <w:tcW w:w="0" w:type="auto"/>
            <w:tcBorders>
              <w:top w:val="double" w:sz="6" w:space="0" w:color="000000"/>
            </w:tcBorders>
            <w:shd w:val="clear" w:color="auto" w:fill="E2EFD9"/>
            <w:tcMar>
              <w:top w:w="40" w:type="dxa"/>
              <w:left w:w="0" w:type="dxa"/>
              <w:bottom w:w="40" w:type="dxa"/>
              <w:right w:w="20" w:type="dxa"/>
            </w:tcMar>
            <w:vAlign w:val="bottom"/>
          </w:tcPr>
          <w:p w14:paraId="54066657" w14:textId="77777777" w:rsidR="00611BDD" w:rsidRDefault="00611BDD">
            <w:pPr>
              <w:jc w:val="right"/>
              <w:rPr>
                <w:rFonts w:ascii="宋体"/>
              </w:rPr>
            </w:pPr>
          </w:p>
        </w:tc>
      </w:tr>
      <w:tr w:rsidR="00611BDD" w14:paraId="5406666E" w14:textId="77777777">
        <w:trPr>
          <w:jc w:val="center"/>
        </w:trPr>
        <w:tc>
          <w:tcPr>
            <w:tcW w:w="0" w:type="auto"/>
            <w:gridSpan w:val="3"/>
            <w:shd w:val="clear" w:color="auto" w:fill="FFFFFF"/>
            <w:tcMar>
              <w:top w:w="40" w:type="dxa"/>
              <w:left w:w="20" w:type="dxa"/>
              <w:bottom w:w="40" w:type="dxa"/>
              <w:right w:w="20" w:type="dxa"/>
            </w:tcMar>
            <w:vAlign w:val="bottom"/>
          </w:tcPr>
          <w:p w14:paraId="54066659" w14:textId="77777777" w:rsidR="00611BDD" w:rsidRDefault="002E18C7">
            <w:pPr>
              <w:textAlignment w:val="bottom"/>
            </w:pPr>
            <w:r>
              <w:rPr>
                <w:rFonts w:ascii="sans-serif" w:eastAsia="sans-serif" w:hAnsi="sans-serif" w:cs="sans-serif"/>
                <w:color w:val="000000"/>
                <w:sz w:val="15"/>
                <w:szCs w:val="15"/>
              </w:rPr>
              <w:t>Net income</w:t>
            </w:r>
          </w:p>
        </w:tc>
        <w:tc>
          <w:tcPr>
            <w:tcW w:w="0" w:type="auto"/>
            <w:gridSpan w:val="2"/>
            <w:shd w:val="clear" w:color="auto" w:fill="FFFFFF"/>
            <w:tcMar>
              <w:top w:w="40" w:type="dxa"/>
              <w:left w:w="20" w:type="dxa"/>
              <w:bottom w:w="40" w:type="dxa"/>
              <w:right w:w="0" w:type="dxa"/>
            </w:tcMar>
            <w:vAlign w:val="bottom"/>
          </w:tcPr>
          <w:p w14:paraId="5406665A"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65B"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5C"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65D"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65E"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5F"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660"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661"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62"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663"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664"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65"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666"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667"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68"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669" w14:textId="77777777" w:rsidR="00611BDD" w:rsidRDefault="002E18C7">
            <w:pPr>
              <w:jc w:val="right"/>
              <w:textAlignment w:val="bottom"/>
            </w:pPr>
            <w:r>
              <w:rPr>
                <w:rFonts w:ascii="sans-serif" w:eastAsia="sans-serif" w:hAnsi="sans-serif" w:cs="sans-serif"/>
                <w:color w:val="000000"/>
                <w:sz w:val="15"/>
                <w:szCs w:val="15"/>
              </w:rPr>
              <w:t>1,539 </w:t>
            </w:r>
          </w:p>
        </w:tc>
        <w:tc>
          <w:tcPr>
            <w:tcW w:w="0" w:type="auto"/>
            <w:shd w:val="clear" w:color="auto" w:fill="FFFFFF"/>
            <w:tcMar>
              <w:top w:w="40" w:type="dxa"/>
              <w:left w:w="0" w:type="dxa"/>
              <w:bottom w:w="40" w:type="dxa"/>
              <w:right w:w="20" w:type="dxa"/>
            </w:tcMar>
            <w:vAlign w:val="bottom"/>
          </w:tcPr>
          <w:p w14:paraId="5406666A"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6B"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66C" w14:textId="77777777" w:rsidR="00611BDD" w:rsidRDefault="002E18C7">
            <w:pPr>
              <w:jc w:val="right"/>
              <w:textAlignment w:val="bottom"/>
            </w:pPr>
            <w:r>
              <w:rPr>
                <w:rFonts w:ascii="sans-serif" w:eastAsia="sans-serif" w:hAnsi="sans-serif" w:cs="sans-serif"/>
                <w:color w:val="000000"/>
                <w:sz w:val="15"/>
                <w:szCs w:val="15"/>
              </w:rPr>
              <w:t>1,539 </w:t>
            </w:r>
          </w:p>
        </w:tc>
        <w:tc>
          <w:tcPr>
            <w:tcW w:w="0" w:type="auto"/>
            <w:shd w:val="clear" w:color="auto" w:fill="FFFFFF"/>
            <w:tcMar>
              <w:top w:w="40" w:type="dxa"/>
              <w:left w:w="0" w:type="dxa"/>
              <w:bottom w:w="40" w:type="dxa"/>
              <w:right w:w="20" w:type="dxa"/>
            </w:tcMar>
            <w:vAlign w:val="bottom"/>
          </w:tcPr>
          <w:p w14:paraId="5406666D" w14:textId="77777777" w:rsidR="00611BDD" w:rsidRDefault="00611BDD">
            <w:pPr>
              <w:jc w:val="right"/>
              <w:rPr>
                <w:rFonts w:ascii="宋体"/>
              </w:rPr>
            </w:pPr>
          </w:p>
        </w:tc>
      </w:tr>
      <w:tr w:rsidR="00611BDD" w14:paraId="54066684" w14:textId="77777777">
        <w:trPr>
          <w:jc w:val="center"/>
        </w:trPr>
        <w:tc>
          <w:tcPr>
            <w:tcW w:w="0" w:type="auto"/>
            <w:gridSpan w:val="3"/>
            <w:shd w:val="clear" w:color="auto" w:fill="E2EFD9"/>
            <w:tcMar>
              <w:top w:w="40" w:type="dxa"/>
              <w:left w:w="20" w:type="dxa"/>
              <w:bottom w:w="40" w:type="dxa"/>
              <w:right w:w="20" w:type="dxa"/>
            </w:tcMar>
            <w:vAlign w:val="bottom"/>
          </w:tcPr>
          <w:p w14:paraId="5406666F" w14:textId="77777777" w:rsidR="00611BDD" w:rsidRDefault="002E18C7">
            <w:pPr>
              <w:textAlignment w:val="bottom"/>
            </w:pPr>
            <w:r>
              <w:rPr>
                <w:rFonts w:ascii="sans-serif" w:eastAsia="sans-serif" w:hAnsi="sans-serif" w:cs="sans-serif"/>
                <w:color w:val="000000"/>
                <w:sz w:val="15"/>
                <w:szCs w:val="15"/>
              </w:rPr>
              <w:t>Other comprehensive income</w:t>
            </w:r>
          </w:p>
        </w:tc>
        <w:tc>
          <w:tcPr>
            <w:tcW w:w="0" w:type="auto"/>
            <w:gridSpan w:val="2"/>
            <w:shd w:val="clear" w:color="auto" w:fill="E2EFD9"/>
            <w:tcMar>
              <w:top w:w="40" w:type="dxa"/>
              <w:left w:w="20" w:type="dxa"/>
              <w:bottom w:w="40" w:type="dxa"/>
              <w:right w:w="0" w:type="dxa"/>
            </w:tcMar>
            <w:vAlign w:val="bottom"/>
          </w:tcPr>
          <w:p w14:paraId="54066670"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671"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72"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673"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674"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75"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676"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677"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78"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679"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67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7B"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67C" w14:textId="77777777" w:rsidR="00611BDD" w:rsidRDefault="002E18C7">
            <w:pPr>
              <w:jc w:val="right"/>
              <w:textAlignment w:val="bottom"/>
            </w:pPr>
            <w:r>
              <w:rPr>
                <w:rFonts w:ascii="sans-serif" w:eastAsia="sans-serif" w:hAnsi="sans-serif" w:cs="sans-serif"/>
                <w:color w:val="000000"/>
                <w:sz w:val="15"/>
                <w:szCs w:val="15"/>
              </w:rPr>
              <w:t>3 </w:t>
            </w:r>
          </w:p>
        </w:tc>
        <w:tc>
          <w:tcPr>
            <w:tcW w:w="0" w:type="auto"/>
            <w:shd w:val="clear" w:color="auto" w:fill="E2EFD9"/>
            <w:tcMar>
              <w:top w:w="40" w:type="dxa"/>
              <w:left w:w="0" w:type="dxa"/>
              <w:bottom w:w="40" w:type="dxa"/>
              <w:right w:w="20" w:type="dxa"/>
            </w:tcMar>
            <w:vAlign w:val="bottom"/>
          </w:tcPr>
          <w:p w14:paraId="5406667D"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7E"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67F"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680"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81"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682" w14:textId="77777777" w:rsidR="00611BDD" w:rsidRDefault="002E18C7">
            <w:pPr>
              <w:jc w:val="right"/>
              <w:textAlignment w:val="bottom"/>
            </w:pPr>
            <w:r>
              <w:rPr>
                <w:rFonts w:ascii="sans-serif" w:eastAsia="sans-serif" w:hAnsi="sans-serif" w:cs="sans-serif"/>
                <w:color w:val="000000"/>
                <w:sz w:val="15"/>
                <w:szCs w:val="15"/>
              </w:rPr>
              <w:t>3 </w:t>
            </w:r>
          </w:p>
        </w:tc>
        <w:tc>
          <w:tcPr>
            <w:tcW w:w="0" w:type="auto"/>
            <w:shd w:val="clear" w:color="auto" w:fill="E2EFD9"/>
            <w:tcMar>
              <w:top w:w="40" w:type="dxa"/>
              <w:left w:w="0" w:type="dxa"/>
              <w:bottom w:w="40" w:type="dxa"/>
              <w:right w:w="20" w:type="dxa"/>
            </w:tcMar>
            <w:vAlign w:val="bottom"/>
          </w:tcPr>
          <w:p w14:paraId="54066683" w14:textId="77777777" w:rsidR="00611BDD" w:rsidRDefault="00611BDD">
            <w:pPr>
              <w:jc w:val="right"/>
              <w:rPr>
                <w:rFonts w:ascii="宋体"/>
              </w:rPr>
            </w:pPr>
          </w:p>
        </w:tc>
      </w:tr>
      <w:tr w:rsidR="00611BDD" w14:paraId="5406669A" w14:textId="77777777">
        <w:trPr>
          <w:jc w:val="center"/>
        </w:trPr>
        <w:tc>
          <w:tcPr>
            <w:tcW w:w="0" w:type="auto"/>
            <w:gridSpan w:val="3"/>
            <w:shd w:val="clear" w:color="auto" w:fill="FFFFFF"/>
            <w:tcMar>
              <w:top w:w="40" w:type="dxa"/>
              <w:left w:w="20" w:type="dxa"/>
              <w:bottom w:w="40" w:type="dxa"/>
              <w:right w:w="20" w:type="dxa"/>
            </w:tcMar>
            <w:vAlign w:val="bottom"/>
          </w:tcPr>
          <w:p w14:paraId="54066685" w14:textId="77777777" w:rsidR="00611BDD" w:rsidRDefault="002E18C7">
            <w:pPr>
              <w:textAlignment w:val="bottom"/>
            </w:pPr>
            <w:r>
              <w:rPr>
                <w:rFonts w:ascii="sans-serif" w:eastAsia="sans-serif" w:hAnsi="sans-serif" w:cs="sans-serif"/>
                <w:color w:val="000000"/>
                <w:sz w:val="15"/>
                <w:szCs w:val="15"/>
              </w:rPr>
              <w:t>Issuance of common stock from stock plans </w:t>
            </w:r>
          </w:p>
        </w:tc>
        <w:tc>
          <w:tcPr>
            <w:tcW w:w="0" w:type="auto"/>
            <w:gridSpan w:val="2"/>
            <w:shd w:val="clear" w:color="auto" w:fill="FFFFFF"/>
            <w:tcMar>
              <w:top w:w="40" w:type="dxa"/>
              <w:left w:w="20" w:type="dxa"/>
              <w:bottom w:w="40" w:type="dxa"/>
              <w:right w:w="0" w:type="dxa"/>
            </w:tcMar>
            <w:vAlign w:val="bottom"/>
          </w:tcPr>
          <w:p w14:paraId="54066686" w14:textId="77777777" w:rsidR="00611BDD" w:rsidRDefault="002E18C7">
            <w:pPr>
              <w:jc w:val="right"/>
              <w:textAlignment w:val="bottom"/>
            </w:pPr>
            <w:r>
              <w:rPr>
                <w:rFonts w:ascii="sans-serif" w:eastAsia="sans-serif" w:hAnsi="sans-serif" w:cs="sans-serif"/>
                <w:color w:val="000000"/>
                <w:sz w:val="15"/>
                <w:szCs w:val="15"/>
              </w:rPr>
              <w:t>2</w:t>
            </w:r>
            <w:r>
              <w:rPr>
                <w:rFonts w:ascii="sans-serif" w:eastAsia="sans-serif" w:hAnsi="sans-serif" w:cs="sans-serif"/>
                <w:color w:val="000000"/>
                <w:sz w:val="15"/>
                <w:szCs w:val="15"/>
              </w:rPr>
              <w:t>4 </w:t>
            </w:r>
          </w:p>
        </w:tc>
        <w:tc>
          <w:tcPr>
            <w:tcW w:w="0" w:type="auto"/>
            <w:shd w:val="clear" w:color="auto" w:fill="FFFFFF"/>
            <w:tcMar>
              <w:top w:w="40" w:type="dxa"/>
              <w:left w:w="0" w:type="dxa"/>
              <w:bottom w:w="40" w:type="dxa"/>
              <w:right w:w="20" w:type="dxa"/>
            </w:tcMar>
            <w:vAlign w:val="bottom"/>
          </w:tcPr>
          <w:p w14:paraId="54066687"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88"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689"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68A"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8B"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68C" w14:textId="77777777" w:rsidR="00611BDD" w:rsidRDefault="002E18C7">
            <w:pPr>
              <w:jc w:val="right"/>
              <w:textAlignment w:val="bottom"/>
            </w:pPr>
            <w:r>
              <w:rPr>
                <w:rFonts w:ascii="sans-serif" w:eastAsia="sans-serif" w:hAnsi="sans-serif" w:cs="sans-serif"/>
                <w:color w:val="000000"/>
                <w:sz w:val="15"/>
                <w:szCs w:val="15"/>
              </w:rPr>
              <w:t>94 </w:t>
            </w:r>
          </w:p>
        </w:tc>
        <w:tc>
          <w:tcPr>
            <w:tcW w:w="0" w:type="auto"/>
            <w:shd w:val="clear" w:color="auto" w:fill="FFFFFF"/>
            <w:tcMar>
              <w:top w:w="40" w:type="dxa"/>
              <w:left w:w="0" w:type="dxa"/>
              <w:bottom w:w="40" w:type="dxa"/>
              <w:right w:w="20" w:type="dxa"/>
            </w:tcMar>
            <w:vAlign w:val="bottom"/>
          </w:tcPr>
          <w:p w14:paraId="5406668D"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8E"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68F"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690"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91"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692"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69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94"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695"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69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97"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698" w14:textId="77777777" w:rsidR="00611BDD" w:rsidRDefault="002E18C7">
            <w:pPr>
              <w:jc w:val="right"/>
              <w:textAlignment w:val="bottom"/>
            </w:pPr>
            <w:r>
              <w:rPr>
                <w:rFonts w:ascii="sans-serif" w:eastAsia="sans-serif" w:hAnsi="sans-serif" w:cs="sans-serif"/>
                <w:color w:val="000000"/>
                <w:sz w:val="15"/>
                <w:szCs w:val="15"/>
              </w:rPr>
              <w:t>94 </w:t>
            </w:r>
          </w:p>
        </w:tc>
        <w:tc>
          <w:tcPr>
            <w:tcW w:w="0" w:type="auto"/>
            <w:shd w:val="clear" w:color="auto" w:fill="FFFFFF"/>
            <w:tcMar>
              <w:top w:w="40" w:type="dxa"/>
              <w:left w:w="0" w:type="dxa"/>
              <w:bottom w:w="40" w:type="dxa"/>
              <w:right w:w="20" w:type="dxa"/>
            </w:tcMar>
            <w:vAlign w:val="bottom"/>
          </w:tcPr>
          <w:p w14:paraId="54066699" w14:textId="77777777" w:rsidR="00611BDD" w:rsidRDefault="00611BDD">
            <w:pPr>
              <w:jc w:val="right"/>
              <w:rPr>
                <w:rFonts w:ascii="宋体"/>
              </w:rPr>
            </w:pPr>
          </w:p>
        </w:tc>
      </w:tr>
      <w:tr w:rsidR="00611BDD" w14:paraId="540666B0" w14:textId="77777777">
        <w:trPr>
          <w:jc w:val="center"/>
        </w:trPr>
        <w:tc>
          <w:tcPr>
            <w:tcW w:w="0" w:type="auto"/>
            <w:gridSpan w:val="3"/>
            <w:shd w:val="clear" w:color="auto" w:fill="E2EFD9"/>
            <w:tcMar>
              <w:top w:w="40" w:type="dxa"/>
              <w:left w:w="20" w:type="dxa"/>
              <w:bottom w:w="40" w:type="dxa"/>
              <w:right w:w="20" w:type="dxa"/>
            </w:tcMar>
            <w:vAlign w:val="bottom"/>
          </w:tcPr>
          <w:p w14:paraId="5406669B" w14:textId="77777777" w:rsidR="00611BDD" w:rsidRDefault="002E18C7">
            <w:pPr>
              <w:textAlignment w:val="bottom"/>
            </w:pPr>
            <w:r>
              <w:rPr>
                <w:rFonts w:ascii="sans-serif" w:eastAsia="sans-serif" w:hAnsi="sans-serif" w:cs="sans-serif"/>
                <w:color w:val="000000"/>
                <w:sz w:val="15"/>
                <w:szCs w:val="15"/>
              </w:rPr>
              <w:t>Tax withholding related to vesting of restricted stoc</w:t>
            </w:r>
            <w:r>
              <w:rPr>
                <w:rFonts w:ascii="sans-serif" w:eastAsia="sans-serif" w:hAnsi="sans-serif" w:cs="sans-serif"/>
                <w:color w:val="000000"/>
                <w:sz w:val="15"/>
                <w:szCs w:val="15"/>
              </w:rPr>
              <w:t>k units</w:t>
            </w:r>
          </w:p>
        </w:tc>
        <w:tc>
          <w:tcPr>
            <w:tcW w:w="0" w:type="auto"/>
            <w:gridSpan w:val="2"/>
            <w:shd w:val="clear" w:color="auto" w:fill="E2EFD9"/>
            <w:tcMar>
              <w:top w:w="40" w:type="dxa"/>
              <w:left w:w="20" w:type="dxa"/>
              <w:bottom w:w="40" w:type="dxa"/>
              <w:right w:w="0" w:type="dxa"/>
            </w:tcMar>
            <w:vAlign w:val="bottom"/>
          </w:tcPr>
          <w:p w14:paraId="5406669C" w14:textId="77777777" w:rsidR="00611BDD" w:rsidRDefault="002E18C7">
            <w:pPr>
              <w:jc w:val="right"/>
              <w:textAlignment w:val="bottom"/>
            </w:pPr>
            <w:r>
              <w:rPr>
                <w:rFonts w:ascii="sans-serif" w:eastAsia="sans-serif" w:hAnsi="sans-serif" w:cs="sans-serif"/>
                <w:color w:val="000000"/>
                <w:sz w:val="15"/>
                <w:szCs w:val="15"/>
              </w:rPr>
              <w:t>(7)</w:t>
            </w:r>
          </w:p>
        </w:tc>
        <w:tc>
          <w:tcPr>
            <w:tcW w:w="0" w:type="auto"/>
            <w:shd w:val="clear" w:color="auto" w:fill="E2EFD9"/>
            <w:tcMar>
              <w:top w:w="40" w:type="dxa"/>
              <w:left w:w="0" w:type="dxa"/>
              <w:bottom w:w="40" w:type="dxa"/>
              <w:right w:w="20" w:type="dxa"/>
            </w:tcMar>
            <w:vAlign w:val="bottom"/>
          </w:tcPr>
          <w:p w14:paraId="5406669D"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9E"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69F"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6A0"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A1"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6A2"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6A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A4"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6A5" w14:textId="77777777" w:rsidR="00611BDD" w:rsidRDefault="002E18C7">
            <w:pPr>
              <w:jc w:val="right"/>
              <w:textAlignment w:val="bottom"/>
            </w:pPr>
            <w:r>
              <w:rPr>
                <w:rFonts w:ascii="sans-serif" w:eastAsia="sans-serif" w:hAnsi="sans-serif" w:cs="sans-serif"/>
                <w:color w:val="000000"/>
                <w:sz w:val="15"/>
                <w:szCs w:val="15"/>
              </w:rPr>
              <w:t>(418)</w:t>
            </w:r>
          </w:p>
        </w:tc>
        <w:tc>
          <w:tcPr>
            <w:tcW w:w="0" w:type="auto"/>
            <w:shd w:val="clear" w:color="auto" w:fill="E2EFD9"/>
            <w:tcMar>
              <w:top w:w="40" w:type="dxa"/>
              <w:left w:w="0" w:type="dxa"/>
              <w:bottom w:w="40" w:type="dxa"/>
              <w:right w:w="20" w:type="dxa"/>
            </w:tcMar>
            <w:vAlign w:val="bottom"/>
          </w:tcPr>
          <w:p w14:paraId="540666A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A7"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6A8"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6A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AA"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6AB"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6AC"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AD"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6AE" w14:textId="77777777" w:rsidR="00611BDD" w:rsidRDefault="002E18C7">
            <w:pPr>
              <w:jc w:val="right"/>
              <w:textAlignment w:val="bottom"/>
            </w:pPr>
            <w:r>
              <w:rPr>
                <w:rFonts w:ascii="sans-serif" w:eastAsia="sans-serif" w:hAnsi="sans-serif" w:cs="sans-serif"/>
                <w:color w:val="000000"/>
                <w:sz w:val="15"/>
                <w:szCs w:val="15"/>
              </w:rPr>
              <w:t>(418)</w:t>
            </w:r>
          </w:p>
        </w:tc>
        <w:tc>
          <w:tcPr>
            <w:tcW w:w="0" w:type="auto"/>
            <w:shd w:val="clear" w:color="auto" w:fill="E2EFD9"/>
            <w:tcMar>
              <w:top w:w="40" w:type="dxa"/>
              <w:left w:w="0" w:type="dxa"/>
              <w:bottom w:w="40" w:type="dxa"/>
              <w:right w:w="20" w:type="dxa"/>
            </w:tcMar>
            <w:vAlign w:val="bottom"/>
          </w:tcPr>
          <w:p w14:paraId="540666AF" w14:textId="77777777" w:rsidR="00611BDD" w:rsidRDefault="00611BDD">
            <w:pPr>
              <w:jc w:val="right"/>
              <w:rPr>
                <w:rFonts w:ascii="宋体"/>
              </w:rPr>
            </w:pPr>
          </w:p>
        </w:tc>
      </w:tr>
      <w:tr w:rsidR="00611BDD" w14:paraId="540666BF" w14:textId="77777777">
        <w:trPr>
          <w:jc w:val="center"/>
          <w:hidden/>
        </w:trPr>
        <w:tc>
          <w:tcPr>
            <w:tcW w:w="0" w:type="auto"/>
            <w:gridSpan w:val="3"/>
            <w:shd w:val="clear" w:color="auto" w:fill="auto"/>
            <w:vAlign w:val="bottom"/>
          </w:tcPr>
          <w:p w14:paraId="540666B1" w14:textId="77777777" w:rsidR="00611BDD" w:rsidRDefault="00611BDD">
            <w:pPr>
              <w:rPr>
                <w:rFonts w:ascii="宋体"/>
                <w:vanish/>
              </w:rPr>
            </w:pPr>
          </w:p>
        </w:tc>
        <w:tc>
          <w:tcPr>
            <w:tcW w:w="0" w:type="auto"/>
            <w:gridSpan w:val="3"/>
            <w:shd w:val="clear" w:color="auto" w:fill="auto"/>
            <w:vAlign w:val="bottom"/>
          </w:tcPr>
          <w:p w14:paraId="540666B2" w14:textId="77777777" w:rsidR="00611BDD" w:rsidRDefault="00611BDD">
            <w:pPr>
              <w:rPr>
                <w:rFonts w:ascii="宋体"/>
                <w:vanish/>
              </w:rPr>
            </w:pPr>
          </w:p>
        </w:tc>
        <w:tc>
          <w:tcPr>
            <w:tcW w:w="0" w:type="auto"/>
            <w:gridSpan w:val="3"/>
            <w:shd w:val="clear" w:color="auto" w:fill="auto"/>
            <w:vAlign w:val="bottom"/>
          </w:tcPr>
          <w:p w14:paraId="540666B3" w14:textId="77777777" w:rsidR="00611BDD" w:rsidRDefault="00611BDD">
            <w:pPr>
              <w:rPr>
                <w:rFonts w:ascii="宋体"/>
                <w:vanish/>
              </w:rPr>
            </w:pPr>
          </w:p>
        </w:tc>
        <w:tc>
          <w:tcPr>
            <w:tcW w:w="0" w:type="auto"/>
            <w:gridSpan w:val="3"/>
            <w:shd w:val="clear" w:color="auto" w:fill="auto"/>
            <w:vAlign w:val="bottom"/>
          </w:tcPr>
          <w:p w14:paraId="540666B4" w14:textId="77777777" w:rsidR="00611BDD" w:rsidRDefault="00611BDD">
            <w:pPr>
              <w:rPr>
                <w:rFonts w:ascii="宋体"/>
                <w:vanish/>
              </w:rPr>
            </w:pPr>
          </w:p>
        </w:tc>
        <w:tc>
          <w:tcPr>
            <w:tcW w:w="0" w:type="auto"/>
            <w:gridSpan w:val="3"/>
            <w:shd w:val="clear" w:color="auto" w:fill="auto"/>
            <w:vAlign w:val="bottom"/>
          </w:tcPr>
          <w:p w14:paraId="540666B5" w14:textId="77777777" w:rsidR="00611BDD" w:rsidRDefault="00611BDD">
            <w:pPr>
              <w:rPr>
                <w:rFonts w:ascii="宋体"/>
                <w:vanish/>
              </w:rPr>
            </w:pPr>
          </w:p>
        </w:tc>
        <w:tc>
          <w:tcPr>
            <w:tcW w:w="0" w:type="auto"/>
            <w:gridSpan w:val="3"/>
            <w:shd w:val="clear" w:color="auto" w:fill="auto"/>
            <w:vAlign w:val="bottom"/>
          </w:tcPr>
          <w:p w14:paraId="540666B6" w14:textId="77777777" w:rsidR="00611BDD" w:rsidRDefault="00611BDD">
            <w:pPr>
              <w:rPr>
                <w:rFonts w:ascii="宋体"/>
                <w:vanish/>
              </w:rPr>
            </w:pPr>
          </w:p>
        </w:tc>
        <w:tc>
          <w:tcPr>
            <w:tcW w:w="0" w:type="auto"/>
            <w:gridSpan w:val="3"/>
            <w:shd w:val="clear" w:color="auto" w:fill="auto"/>
            <w:vAlign w:val="bottom"/>
          </w:tcPr>
          <w:p w14:paraId="540666B7" w14:textId="77777777" w:rsidR="00611BDD" w:rsidRDefault="00611BDD">
            <w:pPr>
              <w:rPr>
                <w:rFonts w:ascii="宋体"/>
                <w:vanish/>
              </w:rPr>
            </w:pPr>
          </w:p>
        </w:tc>
        <w:tc>
          <w:tcPr>
            <w:tcW w:w="0" w:type="auto"/>
            <w:gridSpan w:val="3"/>
            <w:shd w:val="clear" w:color="auto" w:fill="auto"/>
            <w:vAlign w:val="bottom"/>
          </w:tcPr>
          <w:p w14:paraId="540666B8" w14:textId="77777777" w:rsidR="00611BDD" w:rsidRDefault="00611BDD">
            <w:pPr>
              <w:rPr>
                <w:rFonts w:ascii="宋体"/>
                <w:vanish/>
              </w:rPr>
            </w:pPr>
          </w:p>
        </w:tc>
        <w:tc>
          <w:tcPr>
            <w:tcW w:w="0" w:type="auto"/>
            <w:gridSpan w:val="3"/>
            <w:shd w:val="clear" w:color="auto" w:fill="auto"/>
            <w:vAlign w:val="bottom"/>
          </w:tcPr>
          <w:p w14:paraId="540666B9" w14:textId="77777777" w:rsidR="00611BDD" w:rsidRDefault="00611BDD">
            <w:pPr>
              <w:rPr>
                <w:rFonts w:ascii="宋体"/>
                <w:vanish/>
              </w:rPr>
            </w:pPr>
          </w:p>
        </w:tc>
        <w:tc>
          <w:tcPr>
            <w:tcW w:w="0" w:type="auto"/>
            <w:gridSpan w:val="3"/>
            <w:shd w:val="clear" w:color="auto" w:fill="auto"/>
            <w:vAlign w:val="bottom"/>
          </w:tcPr>
          <w:p w14:paraId="540666BA" w14:textId="77777777" w:rsidR="00611BDD" w:rsidRDefault="00611BDD">
            <w:pPr>
              <w:rPr>
                <w:rFonts w:ascii="宋体"/>
                <w:vanish/>
              </w:rPr>
            </w:pPr>
          </w:p>
        </w:tc>
        <w:tc>
          <w:tcPr>
            <w:tcW w:w="0" w:type="auto"/>
            <w:gridSpan w:val="3"/>
            <w:shd w:val="clear" w:color="auto" w:fill="auto"/>
            <w:vAlign w:val="bottom"/>
          </w:tcPr>
          <w:p w14:paraId="540666BB" w14:textId="77777777" w:rsidR="00611BDD" w:rsidRDefault="00611BDD">
            <w:pPr>
              <w:rPr>
                <w:rFonts w:ascii="宋体"/>
                <w:vanish/>
              </w:rPr>
            </w:pPr>
          </w:p>
        </w:tc>
        <w:tc>
          <w:tcPr>
            <w:tcW w:w="0" w:type="auto"/>
            <w:gridSpan w:val="3"/>
            <w:shd w:val="clear" w:color="auto" w:fill="auto"/>
            <w:vAlign w:val="bottom"/>
          </w:tcPr>
          <w:p w14:paraId="540666BC" w14:textId="77777777" w:rsidR="00611BDD" w:rsidRDefault="00611BDD">
            <w:pPr>
              <w:rPr>
                <w:rFonts w:ascii="宋体"/>
                <w:vanish/>
              </w:rPr>
            </w:pPr>
          </w:p>
        </w:tc>
        <w:tc>
          <w:tcPr>
            <w:tcW w:w="0" w:type="auto"/>
            <w:gridSpan w:val="3"/>
            <w:shd w:val="clear" w:color="auto" w:fill="auto"/>
            <w:vAlign w:val="bottom"/>
          </w:tcPr>
          <w:p w14:paraId="540666BD" w14:textId="77777777" w:rsidR="00611BDD" w:rsidRDefault="00611BDD">
            <w:pPr>
              <w:rPr>
                <w:rFonts w:ascii="宋体"/>
                <w:vanish/>
              </w:rPr>
            </w:pPr>
          </w:p>
        </w:tc>
        <w:tc>
          <w:tcPr>
            <w:tcW w:w="0" w:type="auto"/>
            <w:gridSpan w:val="3"/>
            <w:shd w:val="clear" w:color="auto" w:fill="auto"/>
            <w:vAlign w:val="bottom"/>
          </w:tcPr>
          <w:p w14:paraId="540666BE" w14:textId="77777777" w:rsidR="00611BDD" w:rsidRDefault="00611BDD">
            <w:pPr>
              <w:rPr>
                <w:rFonts w:ascii="宋体"/>
                <w:vanish/>
              </w:rPr>
            </w:pPr>
          </w:p>
        </w:tc>
      </w:tr>
      <w:tr w:rsidR="00611BDD" w14:paraId="540666D5" w14:textId="77777777">
        <w:trPr>
          <w:jc w:val="center"/>
        </w:trPr>
        <w:tc>
          <w:tcPr>
            <w:tcW w:w="0" w:type="auto"/>
            <w:gridSpan w:val="3"/>
            <w:shd w:val="clear" w:color="auto" w:fill="FFFFFF"/>
            <w:tcMar>
              <w:top w:w="40" w:type="dxa"/>
              <w:left w:w="20" w:type="dxa"/>
              <w:bottom w:w="40" w:type="dxa"/>
              <w:right w:w="20" w:type="dxa"/>
            </w:tcMar>
            <w:vAlign w:val="bottom"/>
          </w:tcPr>
          <w:p w14:paraId="540666C0" w14:textId="77777777" w:rsidR="00611BDD" w:rsidRDefault="002E18C7">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15"/>
                <w:szCs w:val="15"/>
              </w:rPr>
              <w:t xml:space="preserve">Cash dividends declared and paid </w:t>
            </w:r>
            <w:r>
              <w:rPr>
                <w:rFonts w:ascii="sans-serif" w:eastAsia="sans-serif" w:hAnsi="sans-serif" w:cs="sans-serif"/>
                <w:color w:val="000000"/>
                <w:sz w:val="15"/>
                <w:szCs w:val="15"/>
              </w:rPr>
              <w:t>($0.08 per common share)</w:t>
            </w:r>
          </w:p>
        </w:tc>
        <w:tc>
          <w:tcPr>
            <w:tcW w:w="0" w:type="auto"/>
            <w:gridSpan w:val="2"/>
            <w:shd w:val="clear" w:color="auto" w:fill="FFFFFF"/>
            <w:tcMar>
              <w:top w:w="40" w:type="dxa"/>
              <w:left w:w="20" w:type="dxa"/>
              <w:bottom w:w="40" w:type="dxa"/>
              <w:right w:w="0" w:type="dxa"/>
            </w:tcMar>
            <w:vAlign w:val="bottom"/>
          </w:tcPr>
          <w:p w14:paraId="540666C1"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6C2"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C3"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6C4"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6C5"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C6"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6C7"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6C8"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C9"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6CA"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6CB"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CC"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6CD"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6CE"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CF"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6D0" w14:textId="77777777" w:rsidR="00611BDD" w:rsidRDefault="002E18C7">
            <w:pPr>
              <w:jc w:val="right"/>
              <w:textAlignment w:val="bottom"/>
            </w:pPr>
            <w:r>
              <w:rPr>
                <w:rFonts w:ascii="sans-serif" w:eastAsia="sans-serif" w:hAnsi="sans-serif" w:cs="sans-serif"/>
                <w:color w:val="000000"/>
                <w:sz w:val="15"/>
                <w:szCs w:val="15"/>
              </w:rPr>
              <w:t>(197)</w:t>
            </w:r>
          </w:p>
        </w:tc>
        <w:tc>
          <w:tcPr>
            <w:tcW w:w="0" w:type="auto"/>
            <w:shd w:val="clear" w:color="auto" w:fill="FFFFFF"/>
            <w:tcMar>
              <w:top w:w="40" w:type="dxa"/>
              <w:left w:w="0" w:type="dxa"/>
              <w:bottom w:w="40" w:type="dxa"/>
              <w:right w:w="20" w:type="dxa"/>
            </w:tcMar>
            <w:vAlign w:val="bottom"/>
          </w:tcPr>
          <w:p w14:paraId="540666D1"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D2"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6D3" w14:textId="77777777" w:rsidR="00611BDD" w:rsidRDefault="002E18C7">
            <w:pPr>
              <w:jc w:val="right"/>
              <w:textAlignment w:val="bottom"/>
            </w:pPr>
            <w:r>
              <w:rPr>
                <w:rFonts w:ascii="sans-serif" w:eastAsia="sans-serif" w:hAnsi="sans-serif" w:cs="sans-serif"/>
                <w:color w:val="000000"/>
                <w:sz w:val="15"/>
                <w:szCs w:val="15"/>
              </w:rPr>
              <w:t>(197)</w:t>
            </w:r>
          </w:p>
        </w:tc>
        <w:tc>
          <w:tcPr>
            <w:tcW w:w="0" w:type="auto"/>
            <w:shd w:val="clear" w:color="auto" w:fill="FFFFFF"/>
            <w:tcMar>
              <w:top w:w="40" w:type="dxa"/>
              <w:left w:w="0" w:type="dxa"/>
              <w:bottom w:w="40" w:type="dxa"/>
              <w:right w:w="20" w:type="dxa"/>
            </w:tcMar>
            <w:vAlign w:val="bottom"/>
          </w:tcPr>
          <w:p w14:paraId="540666D4" w14:textId="77777777" w:rsidR="00611BDD" w:rsidRDefault="00611BDD">
            <w:pPr>
              <w:jc w:val="right"/>
              <w:rPr>
                <w:rFonts w:ascii="宋体"/>
              </w:rPr>
            </w:pPr>
          </w:p>
        </w:tc>
      </w:tr>
      <w:tr w:rsidR="00611BDD" w14:paraId="540666EB" w14:textId="77777777">
        <w:trPr>
          <w:jc w:val="center"/>
        </w:trPr>
        <w:tc>
          <w:tcPr>
            <w:tcW w:w="0" w:type="auto"/>
            <w:gridSpan w:val="3"/>
            <w:shd w:val="clear" w:color="auto" w:fill="E2EFD9"/>
            <w:tcMar>
              <w:top w:w="40" w:type="dxa"/>
              <w:left w:w="20" w:type="dxa"/>
              <w:bottom w:w="40" w:type="dxa"/>
              <w:right w:w="20" w:type="dxa"/>
            </w:tcMar>
            <w:vAlign w:val="bottom"/>
          </w:tcPr>
          <w:p w14:paraId="540666D6" w14:textId="77777777" w:rsidR="00611BDD" w:rsidRDefault="002E18C7">
            <w:pPr>
              <w:textAlignment w:val="bottom"/>
            </w:pPr>
            <w:r>
              <w:rPr>
                <w:rFonts w:ascii="sans-serif" w:eastAsia="sans-serif" w:hAnsi="sans-serif" w:cs="sans-serif"/>
                <w:color w:val="000000"/>
                <w:sz w:val="15"/>
                <w:szCs w:val="15"/>
              </w:rPr>
              <w:t xml:space="preserve">Fair value of partially vested equity awards assumed </w:t>
            </w:r>
            <w:r>
              <w:rPr>
                <w:rFonts w:ascii="sans-serif" w:eastAsia="sans-serif" w:hAnsi="sans-serif" w:cs="sans-serif"/>
                <w:color w:val="000000"/>
                <w:sz w:val="15"/>
                <w:szCs w:val="15"/>
              </w:rPr>
              <w:t>in connection with acquisitions</w:t>
            </w:r>
          </w:p>
        </w:tc>
        <w:tc>
          <w:tcPr>
            <w:tcW w:w="0" w:type="auto"/>
            <w:gridSpan w:val="2"/>
            <w:shd w:val="clear" w:color="auto" w:fill="E2EFD9"/>
            <w:tcMar>
              <w:top w:w="40" w:type="dxa"/>
              <w:left w:w="20" w:type="dxa"/>
              <w:bottom w:w="40" w:type="dxa"/>
              <w:right w:w="0" w:type="dxa"/>
            </w:tcMar>
            <w:vAlign w:val="bottom"/>
          </w:tcPr>
          <w:p w14:paraId="540666D7"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6D8"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D9"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6DA"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6D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DC"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6DD" w14:textId="77777777" w:rsidR="00611BDD" w:rsidRDefault="002E18C7">
            <w:pPr>
              <w:jc w:val="right"/>
              <w:textAlignment w:val="bottom"/>
            </w:pPr>
            <w:r>
              <w:rPr>
                <w:rFonts w:ascii="sans-serif" w:eastAsia="sans-serif" w:hAnsi="sans-serif" w:cs="sans-serif"/>
                <w:color w:val="000000"/>
                <w:sz w:val="15"/>
                <w:szCs w:val="15"/>
              </w:rPr>
              <w:t>86 </w:t>
            </w:r>
          </w:p>
        </w:tc>
        <w:tc>
          <w:tcPr>
            <w:tcW w:w="0" w:type="auto"/>
            <w:shd w:val="clear" w:color="auto" w:fill="E2EFD9"/>
            <w:tcMar>
              <w:top w:w="40" w:type="dxa"/>
              <w:left w:w="0" w:type="dxa"/>
              <w:bottom w:w="40" w:type="dxa"/>
              <w:right w:w="20" w:type="dxa"/>
            </w:tcMar>
            <w:vAlign w:val="bottom"/>
          </w:tcPr>
          <w:p w14:paraId="540666DE"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DF"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6E0"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6E1"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E2"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6E3"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6E4"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E5"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6E6"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540666E7"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6E8"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6E9" w14:textId="77777777" w:rsidR="00611BDD" w:rsidRDefault="002E18C7">
            <w:pPr>
              <w:jc w:val="right"/>
              <w:textAlignment w:val="bottom"/>
            </w:pPr>
            <w:r>
              <w:rPr>
                <w:rFonts w:ascii="sans-serif" w:eastAsia="sans-serif" w:hAnsi="sans-serif" w:cs="sans-serif"/>
                <w:color w:val="000000"/>
                <w:sz w:val="15"/>
                <w:szCs w:val="15"/>
              </w:rPr>
              <w:t>86 </w:t>
            </w:r>
          </w:p>
        </w:tc>
        <w:tc>
          <w:tcPr>
            <w:tcW w:w="0" w:type="auto"/>
            <w:shd w:val="clear" w:color="auto" w:fill="E2EFD9"/>
            <w:tcMar>
              <w:top w:w="40" w:type="dxa"/>
              <w:left w:w="0" w:type="dxa"/>
              <w:bottom w:w="40" w:type="dxa"/>
              <w:right w:w="20" w:type="dxa"/>
            </w:tcMar>
            <w:vAlign w:val="bottom"/>
          </w:tcPr>
          <w:p w14:paraId="540666EA" w14:textId="77777777" w:rsidR="00611BDD" w:rsidRDefault="00611BDD">
            <w:pPr>
              <w:jc w:val="right"/>
              <w:rPr>
                <w:rFonts w:ascii="宋体"/>
              </w:rPr>
            </w:pPr>
          </w:p>
        </w:tc>
      </w:tr>
      <w:tr w:rsidR="00611BDD" w14:paraId="54066701" w14:textId="77777777">
        <w:trPr>
          <w:jc w:val="center"/>
        </w:trPr>
        <w:tc>
          <w:tcPr>
            <w:tcW w:w="0" w:type="auto"/>
            <w:gridSpan w:val="3"/>
            <w:shd w:val="clear" w:color="auto" w:fill="FFFFFF"/>
            <w:tcMar>
              <w:top w:w="40" w:type="dxa"/>
              <w:left w:w="20" w:type="dxa"/>
              <w:bottom w:w="40" w:type="dxa"/>
              <w:right w:w="20" w:type="dxa"/>
            </w:tcMar>
            <w:vAlign w:val="bottom"/>
          </w:tcPr>
          <w:p w14:paraId="540666EC" w14:textId="77777777" w:rsidR="00611BDD" w:rsidRDefault="002E18C7">
            <w:pPr>
              <w:textAlignment w:val="bottom"/>
            </w:pPr>
            <w:r>
              <w:rPr>
                <w:rFonts w:ascii="sans-serif" w:eastAsia="sans-serif" w:hAnsi="sans-serif" w:cs="sans-serif"/>
                <w:color w:val="000000"/>
                <w:sz w:val="15"/>
                <w:szCs w:val="15"/>
              </w:rPr>
              <w:t>Stock-based compensation</w:t>
            </w:r>
          </w:p>
        </w:tc>
        <w:tc>
          <w:tcPr>
            <w:tcW w:w="0" w:type="auto"/>
            <w:gridSpan w:val="2"/>
            <w:shd w:val="clear" w:color="auto" w:fill="FFFFFF"/>
            <w:tcMar>
              <w:top w:w="40" w:type="dxa"/>
              <w:left w:w="20" w:type="dxa"/>
              <w:bottom w:w="40" w:type="dxa"/>
              <w:right w:w="0" w:type="dxa"/>
            </w:tcMar>
            <w:vAlign w:val="bottom"/>
          </w:tcPr>
          <w:p w14:paraId="540666ED"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6EE"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EF"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6F0"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6F1"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F2"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6F3" w14:textId="77777777" w:rsidR="00611BDD" w:rsidRDefault="002E18C7">
            <w:pPr>
              <w:jc w:val="right"/>
              <w:textAlignment w:val="bottom"/>
            </w:pPr>
            <w:r>
              <w:rPr>
                <w:rFonts w:ascii="sans-serif" w:eastAsia="sans-serif" w:hAnsi="sans-serif" w:cs="sans-serif"/>
                <w:color w:val="000000"/>
                <w:sz w:val="15"/>
                <w:szCs w:val="15"/>
              </w:rPr>
              <w:t>603 </w:t>
            </w:r>
          </w:p>
        </w:tc>
        <w:tc>
          <w:tcPr>
            <w:tcW w:w="0" w:type="auto"/>
            <w:shd w:val="clear" w:color="auto" w:fill="FFFFFF"/>
            <w:tcMar>
              <w:top w:w="40" w:type="dxa"/>
              <w:left w:w="0" w:type="dxa"/>
              <w:bottom w:w="40" w:type="dxa"/>
              <w:right w:w="20" w:type="dxa"/>
            </w:tcMar>
            <w:vAlign w:val="bottom"/>
          </w:tcPr>
          <w:p w14:paraId="540666F4"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F5"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6F6"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6F7"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F8"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6F9"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6FA"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FB"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6FC" w14:textId="77777777" w:rsidR="00611BDD" w:rsidRDefault="002E18C7">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540666FD"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6FE"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6FF" w14:textId="77777777" w:rsidR="00611BDD" w:rsidRDefault="002E18C7">
            <w:pPr>
              <w:jc w:val="right"/>
              <w:textAlignment w:val="bottom"/>
            </w:pPr>
            <w:r>
              <w:rPr>
                <w:rFonts w:ascii="sans-serif" w:eastAsia="sans-serif" w:hAnsi="sans-serif" w:cs="sans-serif"/>
                <w:color w:val="000000"/>
                <w:sz w:val="15"/>
                <w:szCs w:val="15"/>
              </w:rPr>
              <w:t>603 </w:t>
            </w:r>
          </w:p>
        </w:tc>
        <w:tc>
          <w:tcPr>
            <w:tcW w:w="0" w:type="auto"/>
            <w:shd w:val="clear" w:color="auto" w:fill="FFFFFF"/>
            <w:tcMar>
              <w:top w:w="40" w:type="dxa"/>
              <w:left w:w="0" w:type="dxa"/>
              <w:bottom w:w="40" w:type="dxa"/>
              <w:right w:w="20" w:type="dxa"/>
            </w:tcMar>
            <w:vAlign w:val="bottom"/>
          </w:tcPr>
          <w:p w14:paraId="54066700" w14:textId="77777777" w:rsidR="00611BDD" w:rsidRDefault="00611BDD">
            <w:pPr>
              <w:jc w:val="right"/>
              <w:rPr>
                <w:rFonts w:ascii="宋体"/>
              </w:rPr>
            </w:pPr>
          </w:p>
        </w:tc>
      </w:tr>
      <w:tr w:rsidR="00611BDD" w14:paraId="5406671D" w14:textId="77777777">
        <w:trPr>
          <w:jc w:val="center"/>
        </w:trPr>
        <w:tc>
          <w:tcPr>
            <w:tcW w:w="0" w:type="auto"/>
            <w:gridSpan w:val="3"/>
            <w:shd w:val="clear" w:color="auto" w:fill="E2EFD9"/>
            <w:tcMar>
              <w:top w:w="40" w:type="dxa"/>
              <w:left w:w="20" w:type="dxa"/>
              <w:bottom w:w="40" w:type="dxa"/>
              <w:right w:w="20" w:type="dxa"/>
            </w:tcMar>
            <w:vAlign w:val="bottom"/>
          </w:tcPr>
          <w:p w14:paraId="54066702" w14:textId="77777777" w:rsidR="00611BDD" w:rsidRDefault="002E18C7">
            <w:pPr>
              <w:textAlignment w:val="bottom"/>
            </w:pPr>
            <w:r>
              <w:rPr>
                <w:rFonts w:ascii="sans-serif" w:eastAsia="sans-serif" w:hAnsi="sans-serif" w:cs="sans-serif"/>
                <w:color w:val="000000"/>
                <w:sz w:val="15"/>
                <w:szCs w:val="15"/>
              </w:rPr>
              <w:t>Balances, July 26, 2020</w:t>
            </w: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703" w14:textId="77777777" w:rsidR="00611BDD" w:rsidRDefault="002E18C7">
            <w:pPr>
              <w:jc w:val="right"/>
              <w:textAlignment w:val="bottom"/>
            </w:pPr>
            <w:r>
              <w:rPr>
                <w:rFonts w:ascii="sans-serif" w:eastAsia="sans-serif" w:hAnsi="sans-serif" w:cs="sans-serif"/>
                <w:color w:val="000000"/>
                <w:sz w:val="15"/>
                <w:szCs w:val="15"/>
              </w:rPr>
              <w:t>2,467 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704"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705"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706"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707" w14:textId="77777777" w:rsidR="00611BDD" w:rsidRDefault="002E18C7">
            <w:pPr>
              <w:jc w:val="right"/>
              <w:textAlignment w:val="bottom"/>
            </w:pPr>
            <w:r>
              <w:rPr>
                <w:rFonts w:ascii="sans-serif" w:eastAsia="sans-serif" w:hAnsi="sans-serif" w:cs="sans-serif"/>
                <w:color w:val="000000"/>
                <w:sz w:val="15"/>
                <w:szCs w:val="15"/>
              </w:rPr>
              <w:t>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708"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709"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70A"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70B" w14:textId="77777777" w:rsidR="00611BDD" w:rsidRDefault="002E18C7">
            <w:pPr>
              <w:jc w:val="right"/>
              <w:textAlignment w:val="bottom"/>
            </w:pPr>
            <w:r>
              <w:rPr>
                <w:rFonts w:ascii="sans-serif" w:eastAsia="sans-serif" w:hAnsi="sans-serif" w:cs="sans-serif"/>
                <w:color w:val="000000"/>
                <w:sz w:val="15"/>
                <w:szCs w:val="15"/>
              </w:rPr>
              <w:t>7,826 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70C"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70D"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70E"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70F" w14:textId="77777777" w:rsidR="00611BDD" w:rsidRDefault="002E18C7">
            <w:pPr>
              <w:jc w:val="right"/>
              <w:textAlignment w:val="bottom"/>
            </w:pPr>
            <w:r>
              <w:rPr>
                <w:rFonts w:ascii="sans-serif" w:eastAsia="sans-serif" w:hAnsi="sans-serif" w:cs="sans-serif"/>
                <w:color w:val="000000"/>
                <w:sz w:val="15"/>
                <w:szCs w:val="15"/>
              </w:rPr>
              <w:t>(10,232)</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710"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711"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712"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713" w14:textId="77777777" w:rsidR="00611BDD" w:rsidRDefault="002E18C7">
            <w:pPr>
              <w:jc w:val="right"/>
              <w:textAlignment w:val="bottom"/>
            </w:pPr>
            <w:r>
              <w:rPr>
                <w:rFonts w:ascii="sans-serif" w:eastAsia="sans-serif" w:hAnsi="sans-serif" w:cs="sans-serif"/>
                <w:color w:val="000000"/>
                <w:sz w:val="15"/>
                <w:szCs w:val="15"/>
              </w:rPr>
              <w:t>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714"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715"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716"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717" w14:textId="77777777" w:rsidR="00611BDD" w:rsidRDefault="002E18C7">
            <w:pPr>
              <w:jc w:val="right"/>
              <w:textAlignment w:val="bottom"/>
            </w:pPr>
            <w:r>
              <w:rPr>
                <w:rFonts w:ascii="sans-serif" w:eastAsia="sans-serif" w:hAnsi="sans-serif" w:cs="sans-serif"/>
                <w:color w:val="000000"/>
                <w:sz w:val="15"/>
                <w:szCs w:val="15"/>
              </w:rPr>
              <w:t>16,313 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718"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719"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71A" w14:textId="77777777" w:rsidR="00611BDD" w:rsidRDefault="002E18C7">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71B" w14:textId="77777777" w:rsidR="00611BDD" w:rsidRDefault="002E18C7">
            <w:pPr>
              <w:jc w:val="right"/>
              <w:textAlignment w:val="bottom"/>
            </w:pPr>
            <w:r>
              <w:rPr>
                <w:rFonts w:ascii="sans-serif" w:eastAsia="sans-serif" w:hAnsi="sans-serif" w:cs="sans-serif"/>
                <w:color w:val="000000"/>
                <w:sz w:val="15"/>
                <w:szCs w:val="15"/>
              </w:rPr>
              <w:t>13,914 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71C" w14:textId="77777777" w:rsidR="00611BDD" w:rsidRDefault="00611BDD">
            <w:pPr>
              <w:jc w:val="right"/>
              <w:rPr>
                <w:rFonts w:ascii="宋体"/>
              </w:rPr>
            </w:pPr>
          </w:p>
        </w:tc>
      </w:tr>
    </w:tbl>
    <w:p w14:paraId="5406671E" w14:textId="77777777" w:rsidR="00611BDD" w:rsidRDefault="002E18C7">
      <w:pPr>
        <w:spacing w:after="180"/>
        <w:jc w:val="center"/>
      </w:pPr>
      <w:r>
        <w:rPr>
          <w:rFonts w:ascii="sans-serif" w:eastAsia="sans-serif" w:hAnsi="sans-serif" w:cs="sans-serif"/>
          <w:color w:val="000000"/>
          <w:sz w:val="20"/>
          <w:szCs w:val="20"/>
        </w:rPr>
        <w:t>See accompanying Notes to Condensed Consolidated Financial Statements.</w:t>
      </w:r>
    </w:p>
    <w:p w14:paraId="5406671F" w14:textId="77777777" w:rsidR="00611BDD" w:rsidRDefault="002E18C7">
      <w:pPr>
        <w:spacing w:after="180"/>
        <w:jc w:val="center"/>
      </w:pPr>
      <w:r>
        <w:rPr>
          <w:rFonts w:ascii="sans-serif" w:eastAsia="sans-serif" w:hAnsi="sans-serif" w:cs="sans-serif"/>
          <w:color w:val="000000"/>
          <w:sz w:val="20"/>
          <w:szCs w:val="20"/>
        </w:rPr>
        <w:t>7</w:t>
      </w:r>
    </w:p>
    <w:p w14:paraId="54066720" w14:textId="77777777" w:rsidR="00611BDD" w:rsidRDefault="002E18C7">
      <w:r>
        <w:pict w14:anchorId="54067C2B">
          <v:rect id="_x0000_i1031" style="width:415.3pt;height:1.5pt" o:hralign="center" o:hrstd="t" o:hr="t" fillcolor="#a0a0a0" stroked="f"/>
        </w:pict>
      </w:r>
    </w:p>
    <w:p w14:paraId="54066721" w14:textId="77777777" w:rsidR="00611BDD" w:rsidRDefault="00611BDD">
      <w:pPr>
        <w:spacing w:after="180"/>
        <w:jc w:val="both"/>
      </w:pPr>
    </w:p>
    <w:p w14:paraId="54066722" w14:textId="77777777" w:rsidR="00611BDD" w:rsidRDefault="002E18C7">
      <w:pPr>
        <w:jc w:val="center"/>
      </w:pPr>
      <w:r>
        <w:rPr>
          <w:rFonts w:ascii="sans-serif" w:eastAsia="sans-serif" w:hAnsi="sans-serif" w:cs="sans-serif"/>
          <w:b/>
          <w:bCs/>
          <w:color w:val="000000"/>
          <w:sz w:val="20"/>
          <w:szCs w:val="20"/>
        </w:rPr>
        <w:t xml:space="preserve">NVIDIA CORPORATION AND </w:t>
      </w:r>
      <w:r>
        <w:rPr>
          <w:rFonts w:ascii="sans-serif" w:eastAsia="sans-serif" w:hAnsi="sans-serif" w:cs="sans-serif"/>
          <w:b/>
          <w:bCs/>
          <w:color w:val="000000"/>
          <w:sz w:val="20"/>
          <w:szCs w:val="20"/>
        </w:rPr>
        <w:t>SUBSIDIARIES</w:t>
      </w:r>
    </w:p>
    <w:p w14:paraId="54066723" w14:textId="77777777" w:rsidR="00611BDD" w:rsidRDefault="002E18C7">
      <w:pPr>
        <w:jc w:val="center"/>
      </w:pPr>
      <w:r>
        <w:rPr>
          <w:rFonts w:ascii="sans-serif" w:eastAsia="sans-serif" w:hAnsi="sans-serif" w:cs="sans-serif"/>
          <w:b/>
          <w:bCs/>
          <w:color w:val="000000"/>
          <w:sz w:val="20"/>
          <w:szCs w:val="20"/>
        </w:rPr>
        <w:t>CONDENSED CONSOLIDATED STATEMENTS OF CASH FLOWS</w:t>
      </w:r>
    </w:p>
    <w:p w14:paraId="54066724" w14:textId="77777777" w:rsidR="00611BDD" w:rsidRDefault="002E18C7">
      <w:pPr>
        <w:jc w:val="center"/>
      </w:pPr>
      <w:r>
        <w:rPr>
          <w:rFonts w:ascii="sans-serif" w:eastAsia="sans-serif" w:hAnsi="sans-serif" w:cs="sans-serif"/>
          <w:b/>
          <w:bCs/>
          <w:color w:val="000000"/>
          <w:sz w:val="20"/>
          <w:szCs w:val="20"/>
        </w:rPr>
        <w:t>(In millions)</w:t>
      </w:r>
    </w:p>
    <w:p w14:paraId="54066725" w14:textId="77777777" w:rsidR="00611BDD" w:rsidRDefault="002E18C7">
      <w:pPr>
        <w:spacing w:after="180"/>
        <w:jc w:val="center"/>
      </w:pPr>
      <w:r>
        <w:rPr>
          <w:rFonts w:ascii="sans-serif" w:eastAsia="sans-serif" w:hAnsi="sans-serif" w:cs="sans-serif"/>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5976"/>
        <w:gridCol w:w="38"/>
        <w:gridCol w:w="112"/>
        <w:gridCol w:w="928"/>
        <w:gridCol w:w="36"/>
        <w:gridCol w:w="36"/>
        <w:gridCol w:w="53"/>
        <w:gridCol w:w="36"/>
        <w:gridCol w:w="112"/>
        <w:gridCol w:w="930"/>
        <w:gridCol w:w="36"/>
      </w:tblGrid>
      <w:tr w:rsidR="00611BDD" w14:paraId="54066732" w14:textId="77777777">
        <w:trPr>
          <w:jc w:val="center"/>
        </w:trPr>
        <w:tc>
          <w:tcPr>
            <w:tcW w:w="50" w:type="pct"/>
            <w:shd w:val="clear" w:color="auto" w:fill="auto"/>
            <w:vAlign w:val="bottom"/>
          </w:tcPr>
          <w:p w14:paraId="54066726" w14:textId="77777777" w:rsidR="00611BDD" w:rsidRDefault="00611BDD">
            <w:pPr>
              <w:rPr>
                <w:rFonts w:ascii="宋体"/>
              </w:rPr>
            </w:pPr>
          </w:p>
        </w:tc>
        <w:tc>
          <w:tcPr>
            <w:tcW w:w="3607" w:type="pct"/>
            <w:shd w:val="clear" w:color="auto" w:fill="auto"/>
            <w:vAlign w:val="bottom"/>
          </w:tcPr>
          <w:p w14:paraId="54066727" w14:textId="77777777" w:rsidR="00611BDD" w:rsidRDefault="00611BDD">
            <w:pPr>
              <w:rPr>
                <w:rFonts w:ascii="宋体"/>
              </w:rPr>
            </w:pPr>
          </w:p>
        </w:tc>
        <w:tc>
          <w:tcPr>
            <w:tcW w:w="5" w:type="pct"/>
            <w:shd w:val="clear" w:color="auto" w:fill="auto"/>
            <w:vAlign w:val="bottom"/>
          </w:tcPr>
          <w:p w14:paraId="54066728" w14:textId="77777777" w:rsidR="00611BDD" w:rsidRDefault="00611BDD">
            <w:pPr>
              <w:rPr>
                <w:rFonts w:ascii="宋体"/>
              </w:rPr>
            </w:pPr>
          </w:p>
        </w:tc>
        <w:tc>
          <w:tcPr>
            <w:tcW w:w="50" w:type="pct"/>
            <w:shd w:val="clear" w:color="auto" w:fill="auto"/>
            <w:vAlign w:val="bottom"/>
          </w:tcPr>
          <w:p w14:paraId="54066729" w14:textId="77777777" w:rsidR="00611BDD" w:rsidRDefault="00611BDD">
            <w:pPr>
              <w:rPr>
                <w:rFonts w:ascii="宋体"/>
              </w:rPr>
            </w:pPr>
          </w:p>
        </w:tc>
        <w:tc>
          <w:tcPr>
            <w:tcW w:w="580" w:type="pct"/>
            <w:shd w:val="clear" w:color="auto" w:fill="auto"/>
            <w:vAlign w:val="bottom"/>
          </w:tcPr>
          <w:p w14:paraId="5406672A" w14:textId="77777777" w:rsidR="00611BDD" w:rsidRDefault="00611BDD">
            <w:pPr>
              <w:rPr>
                <w:rFonts w:ascii="宋体"/>
              </w:rPr>
            </w:pPr>
          </w:p>
        </w:tc>
        <w:tc>
          <w:tcPr>
            <w:tcW w:w="5" w:type="pct"/>
            <w:shd w:val="clear" w:color="auto" w:fill="auto"/>
            <w:vAlign w:val="bottom"/>
          </w:tcPr>
          <w:p w14:paraId="5406672B" w14:textId="77777777" w:rsidR="00611BDD" w:rsidRDefault="00611BDD">
            <w:pPr>
              <w:rPr>
                <w:rFonts w:ascii="宋体"/>
              </w:rPr>
            </w:pPr>
          </w:p>
        </w:tc>
        <w:tc>
          <w:tcPr>
            <w:tcW w:w="5" w:type="pct"/>
            <w:shd w:val="clear" w:color="auto" w:fill="auto"/>
            <w:vAlign w:val="bottom"/>
          </w:tcPr>
          <w:p w14:paraId="5406672C" w14:textId="77777777" w:rsidR="00611BDD" w:rsidRDefault="00611BDD">
            <w:pPr>
              <w:rPr>
                <w:rFonts w:ascii="宋体"/>
              </w:rPr>
            </w:pPr>
          </w:p>
        </w:tc>
        <w:tc>
          <w:tcPr>
            <w:tcW w:w="55" w:type="pct"/>
            <w:shd w:val="clear" w:color="auto" w:fill="auto"/>
            <w:vAlign w:val="bottom"/>
          </w:tcPr>
          <w:p w14:paraId="5406672D" w14:textId="77777777" w:rsidR="00611BDD" w:rsidRDefault="00611BDD">
            <w:pPr>
              <w:rPr>
                <w:rFonts w:ascii="宋体"/>
              </w:rPr>
            </w:pPr>
          </w:p>
        </w:tc>
        <w:tc>
          <w:tcPr>
            <w:tcW w:w="5" w:type="pct"/>
            <w:shd w:val="clear" w:color="auto" w:fill="auto"/>
            <w:vAlign w:val="bottom"/>
          </w:tcPr>
          <w:p w14:paraId="5406672E" w14:textId="77777777" w:rsidR="00611BDD" w:rsidRDefault="00611BDD">
            <w:pPr>
              <w:rPr>
                <w:rFonts w:ascii="宋体"/>
              </w:rPr>
            </w:pPr>
          </w:p>
        </w:tc>
        <w:tc>
          <w:tcPr>
            <w:tcW w:w="50" w:type="pct"/>
            <w:shd w:val="clear" w:color="auto" w:fill="auto"/>
            <w:vAlign w:val="bottom"/>
          </w:tcPr>
          <w:p w14:paraId="5406672F" w14:textId="77777777" w:rsidR="00611BDD" w:rsidRDefault="00611BDD">
            <w:pPr>
              <w:rPr>
                <w:rFonts w:ascii="宋体"/>
              </w:rPr>
            </w:pPr>
          </w:p>
        </w:tc>
        <w:tc>
          <w:tcPr>
            <w:tcW w:w="581" w:type="pct"/>
            <w:shd w:val="clear" w:color="auto" w:fill="auto"/>
            <w:vAlign w:val="bottom"/>
          </w:tcPr>
          <w:p w14:paraId="54066730" w14:textId="77777777" w:rsidR="00611BDD" w:rsidRDefault="00611BDD">
            <w:pPr>
              <w:rPr>
                <w:rFonts w:ascii="宋体"/>
              </w:rPr>
            </w:pPr>
          </w:p>
        </w:tc>
        <w:tc>
          <w:tcPr>
            <w:tcW w:w="5" w:type="pct"/>
            <w:shd w:val="clear" w:color="auto" w:fill="auto"/>
            <w:vAlign w:val="bottom"/>
          </w:tcPr>
          <w:p w14:paraId="54066731" w14:textId="77777777" w:rsidR="00611BDD" w:rsidRDefault="00611BDD">
            <w:pPr>
              <w:rPr>
                <w:rFonts w:ascii="宋体"/>
              </w:rPr>
            </w:pPr>
          </w:p>
        </w:tc>
      </w:tr>
      <w:tr w:rsidR="00611BDD" w14:paraId="54066735" w14:textId="77777777">
        <w:trPr>
          <w:jc w:val="center"/>
        </w:trPr>
        <w:tc>
          <w:tcPr>
            <w:tcW w:w="0" w:type="auto"/>
            <w:gridSpan w:val="3"/>
            <w:shd w:val="clear" w:color="auto" w:fill="auto"/>
            <w:tcMar>
              <w:top w:w="40" w:type="dxa"/>
              <w:left w:w="20" w:type="dxa"/>
              <w:bottom w:w="40" w:type="dxa"/>
              <w:right w:w="20" w:type="dxa"/>
            </w:tcMar>
            <w:vAlign w:val="bottom"/>
          </w:tcPr>
          <w:p w14:paraId="54066733" w14:textId="77777777" w:rsidR="00611BDD" w:rsidRDefault="002E18C7">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54066734" w14:textId="77777777" w:rsidR="00611BDD" w:rsidRDefault="002E18C7">
            <w:pPr>
              <w:jc w:val="center"/>
              <w:textAlignment w:val="bottom"/>
            </w:pPr>
            <w:r>
              <w:rPr>
                <w:rFonts w:ascii="sans-serif" w:eastAsia="sans-serif" w:hAnsi="sans-serif" w:cs="sans-serif"/>
                <w:b/>
                <w:bCs/>
                <w:color w:val="000000"/>
                <w:sz w:val="18"/>
                <w:szCs w:val="18"/>
              </w:rPr>
              <w:t>Six Months Ended</w:t>
            </w:r>
          </w:p>
        </w:tc>
      </w:tr>
      <w:tr w:rsidR="00611BDD" w14:paraId="5406673A" w14:textId="77777777">
        <w:trPr>
          <w:jc w:val="center"/>
        </w:trPr>
        <w:tc>
          <w:tcPr>
            <w:tcW w:w="0" w:type="auto"/>
            <w:gridSpan w:val="3"/>
            <w:shd w:val="clear" w:color="auto" w:fill="auto"/>
            <w:tcMar>
              <w:top w:w="0" w:type="dxa"/>
              <w:left w:w="20" w:type="dxa"/>
              <w:bottom w:w="0" w:type="dxa"/>
              <w:right w:w="20" w:type="dxa"/>
            </w:tcMar>
            <w:vAlign w:val="bottom"/>
          </w:tcPr>
          <w:p w14:paraId="54066736"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737" w14:textId="77777777" w:rsidR="00611BDD" w:rsidRDefault="002E18C7">
            <w:pPr>
              <w:jc w:val="center"/>
              <w:textAlignment w:val="bottom"/>
            </w:pPr>
            <w:r>
              <w:rPr>
                <w:rFonts w:ascii="sans-serif" w:eastAsia="sans-serif" w:hAnsi="sans-serif" w:cs="sans-serif"/>
                <w:b/>
                <w:bCs/>
                <w:color w:val="000000"/>
                <w:sz w:val="18"/>
                <w:szCs w:val="18"/>
              </w:rPr>
              <w:t>August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738"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739" w14:textId="77777777" w:rsidR="00611BDD" w:rsidRDefault="002E18C7">
            <w:pPr>
              <w:jc w:val="center"/>
              <w:textAlignment w:val="bottom"/>
            </w:pPr>
            <w:r>
              <w:rPr>
                <w:rFonts w:ascii="sans-serif" w:eastAsia="sans-serif" w:hAnsi="sans-serif" w:cs="sans-serif"/>
                <w:b/>
                <w:bCs/>
                <w:color w:val="000000"/>
                <w:sz w:val="18"/>
                <w:szCs w:val="18"/>
              </w:rPr>
              <w:t>July 26,</w:t>
            </w:r>
          </w:p>
        </w:tc>
      </w:tr>
      <w:tr w:rsidR="00611BDD" w14:paraId="5406673F" w14:textId="77777777">
        <w:trPr>
          <w:jc w:val="center"/>
        </w:trPr>
        <w:tc>
          <w:tcPr>
            <w:tcW w:w="0" w:type="auto"/>
            <w:gridSpan w:val="3"/>
            <w:shd w:val="clear" w:color="auto" w:fill="auto"/>
            <w:tcMar>
              <w:top w:w="40" w:type="dxa"/>
              <w:left w:w="20" w:type="dxa"/>
              <w:bottom w:w="40" w:type="dxa"/>
              <w:right w:w="20" w:type="dxa"/>
            </w:tcMar>
            <w:vAlign w:val="bottom"/>
          </w:tcPr>
          <w:p w14:paraId="5406673B" w14:textId="77777777" w:rsidR="00611BDD" w:rsidRDefault="002E18C7">
            <w:pPr>
              <w:textAlignment w:val="bottom"/>
            </w:pPr>
            <w:r>
              <w:rPr>
                <w:rFonts w:ascii="sans-serif" w:eastAsia="sans-serif" w:hAnsi="sans-serif" w:cs="sans-serif"/>
                <w:color w:val="000000"/>
                <w:sz w:val="18"/>
                <w:szCs w:val="18"/>
              </w:rPr>
              <w:t> </w:t>
            </w:r>
          </w:p>
        </w:tc>
        <w:tc>
          <w:tcPr>
            <w:tcW w:w="0" w:type="auto"/>
            <w:gridSpan w:val="3"/>
            <w:shd w:val="clear" w:color="auto" w:fill="auto"/>
            <w:tcMar>
              <w:top w:w="40" w:type="dxa"/>
              <w:left w:w="20" w:type="dxa"/>
              <w:bottom w:w="40" w:type="dxa"/>
              <w:right w:w="20" w:type="dxa"/>
            </w:tcMar>
            <w:vAlign w:val="bottom"/>
          </w:tcPr>
          <w:p w14:paraId="5406673C" w14:textId="77777777" w:rsidR="00611BDD" w:rsidRDefault="002E18C7">
            <w:pPr>
              <w:jc w:val="center"/>
              <w:textAlignment w:val="bottom"/>
            </w:pPr>
            <w:r>
              <w:rPr>
                <w:rFonts w:ascii="sans-serif" w:eastAsia="sans-serif" w:hAnsi="sans-serif" w:cs="sans-serif"/>
                <w:b/>
                <w:bCs/>
                <w:color w:val="000000"/>
                <w:sz w:val="18"/>
                <w:szCs w:val="18"/>
              </w:rPr>
              <w:t>2021</w:t>
            </w:r>
          </w:p>
        </w:tc>
        <w:tc>
          <w:tcPr>
            <w:tcW w:w="0" w:type="auto"/>
            <w:gridSpan w:val="3"/>
            <w:shd w:val="clear" w:color="auto" w:fill="auto"/>
            <w:tcMar>
              <w:top w:w="0" w:type="dxa"/>
              <w:left w:w="20" w:type="dxa"/>
              <w:bottom w:w="0" w:type="dxa"/>
              <w:right w:w="20" w:type="dxa"/>
            </w:tcMar>
            <w:vAlign w:val="bottom"/>
          </w:tcPr>
          <w:p w14:paraId="5406673D"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673E" w14:textId="77777777" w:rsidR="00611BDD" w:rsidRDefault="002E18C7">
            <w:pPr>
              <w:jc w:val="center"/>
              <w:textAlignment w:val="bottom"/>
            </w:pPr>
            <w:r>
              <w:rPr>
                <w:rFonts w:ascii="sans-serif" w:eastAsia="sans-serif" w:hAnsi="sans-serif" w:cs="sans-serif"/>
                <w:b/>
                <w:bCs/>
                <w:color w:val="000000"/>
                <w:sz w:val="18"/>
                <w:szCs w:val="18"/>
              </w:rPr>
              <w:t>2020</w:t>
            </w:r>
          </w:p>
        </w:tc>
      </w:tr>
      <w:tr w:rsidR="00611BDD" w14:paraId="54066744" w14:textId="77777777">
        <w:trPr>
          <w:jc w:val="center"/>
        </w:trPr>
        <w:tc>
          <w:tcPr>
            <w:tcW w:w="0" w:type="auto"/>
            <w:gridSpan w:val="3"/>
            <w:shd w:val="clear" w:color="auto" w:fill="E2EFD9"/>
            <w:tcMar>
              <w:top w:w="40" w:type="dxa"/>
              <w:left w:w="20" w:type="dxa"/>
              <w:bottom w:w="40" w:type="dxa"/>
              <w:right w:w="20" w:type="dxa"/>
            </w:tcMar>
            <w:vAlign w:val="bottom"/>
          </w:tcPr>
          <w:p w14:paraId="54066740" w14:textId="77777777" w:rsidR="00611BDD" w:rsidRDefault="002E18C7">
            <w:pPr>
              <w:textAlignment w:val="bottom"/>
            </w:pPr>
            <w:r>
              <w:rPr>
                <w:rFonts w:ascii="sans-serif" w:eastAsia="sans-serif" w:hAnsi="sans-serif" w:cs="sans-serif"/>
                <w:color w:val="000000"/>
                <w:sz w:val="18"/>
                <w:szCs w:val="18"/>
              </w:rPr>
              <w:t>Cash flows from operating activities:</w:t>
            </w: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54066741" w14:textId="77777777" w:rsidR="00611BDD" w:rsidRDefault="002E18C7">
            <w:pPr>
              <w:textAlignment w:val="bottom"/>
            </w:pPr>
            <w:r>
              <w:rPr>
                <w:rFonts w:ascii="sans-serif" w:eastAsia="sans-serif" w:hAnsi="sans-serif" w:cs="sans-serif"/>
                <w:color w:val="000000"/>
                <w:sz w:val="18"/>
                <w:szCs w:val="18"/>
              </w:rPr>
              <w:t> </w:t>
            </w:r>
          </w:p>
        </w:tc>
        <w:tc>
          <w:tcPr>
            <w:tcW w:w="0" w:type="auto"/>
            <w:gridSpan w:val="3"/>
            <w:shd w:val="clear" w:color="auto" w:fill="E2EFD9"/>
            <w:tcMar>
              <w:top w:w="0" w:type="dxa"/>
              <w:left w:w="20" w:type="dxa"/>
              <w:bottom w:w="0" w:type="dxa"/>
              <w:right w:w="20" w:type="dxa"/>
            </w:tcMar>
            <w:vAlign w:val="bottom"/>
          </w:tcPr>
          <w:p w14:paraId="54066742" w14:textId="77777777" w:rsidR="00611BDD" w:rsidRDefault="00611BDD">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54066743" w14:textId="77777777" w:rsidR="00611BDD" w:rsidRDefault="002E18C7">
            <w:pPr>
              <w:textAlignment w:val="bottom"/>
            </w:pPr>
            <w:r>
              <w:rPr>
                <w:rFonts w:ascii="sans-serif" w:eastAsia="sans-serif" w:hAnsi="sans-serif" w:cs="sans-serif"/>
                <w:color w:val="000000"/>
                <w:sz w:val="18"/>
                <w:szCs w:val="18"/>
              </w:rPr>
              <w:t> </w:t>
            </w:r>
          </w:p>
        </w:tc>
      </w:tr>
      <w:tr w:rsidR="00611BDD" w14:paraId="5406674D" w14:textId="77777777">
        <w:trPr>
          <w:jc w:val="center"/>
        </w:trPr>
        <w:tc>
          <w:tcPr>
            <w:tcW w:w="0" w:type="auto"/>
            <w:gridSpan w:val="3"/>
            <w:shd w:val="clear" w:color="auto" w:fill="FFFFFF"/>
            <w:tcMar>
              <w:top w:w="40" w:type="dxa"/>
              <w:left w:w="20" w:type="dxa"/>
              <w:bottom w:w="40" w:type="dxa"/>
              <w:right w:w="20" w:type="dxa"/>
            </w:tcMar>
            <w:vAlign w:val="bottom"/>
          </w:tcPr>
          <w:p w14:paraId="54066745" w14:textId="77777777" w:rsidR="00611BDD" w:rsidRDefault="002E18C7">
            <w:pPr>
              <w:textAlignment w:val="bottom"/>
            </w:pPr>
            <w:r>
              <w:rPr>
                <w:rFonts w:ascii="sans-serif" w:eastAsia="sans-serif" w:hAnsi="sans-serif" w:cs="sans-serif"/>
                <w:color w:val="000000"/>
                <w:sz w:val="18"/>
                <w:szCs w:val="18"/>
              </w:rPr>
              <w:t>Net income</w:t>
            </w:r>
          </w:p>
        </w:tc>
        <w:tc>
          <w:tcPr>
            <w:tcW w:w="0" w:type="auto"/>
            <w:shd w:val="clear" w:color="auto" w:fill="FFFFFF"/>
            <w:tcMar>
              <w:top w:w="40" w:type="dxa"/>
              <w:left w:w="20" w:type="dxa"/>
              <w:bottom w:w="40" w:type="dxa"/>
              <w:right w:w="0" w:type="dxa"/>
            </w:tcMar>
            <w:vAlign w:val="bottom"/>
          </w:tcPr>
          <w:p w14:paraId="54066746" w14:textId="77777777" w:rsidR="00611BDD" w:rsidRDefault="002E18C7">
            <w:pPr>
              <w:textAlignment w:val="bottom"/>
            </w:pPr>
            <w:r>
              <w:rPr>
                <w:rFonts w:ascii="sans-serif" w:eastAsia="sans-serif" w:hAnsi="sans-serif" w:cs="sans-serif"/>
                <w:color w:val="000000"/>
                <w:sz w:val="18"/>
                <w:szCs w:val="18"/>
              </w:rPr>
              <w:t>$</w:t>
            </w:r>
          </w:p>
        </w:tc>
        <w:tc>
          <w:tcPr>
            <w:tcW w:w="0" w:type="auto"/>
            <w:shd w:val="clear" w:color="auto" w:fill="FFFFFF"/>
            <w:tcMar>
              <w:top w:w="40" w:type="dxa"/>
              <w:left w:w="0" w:type="dxa"/>
              <w:bottom w:w="40" w:type="dxa"/>
              <w:right w:w="0" w:type="dxa"/>
            </w:tcMar>
            <w:vAlign w:val="bottom"/>
          </w:tcPr>
          <w:p w14:paraId="54066747" w14:textId="77777777" w:rsidR="00611BDD" w:rsidRDefault="002E18C7">
            <w:pPr>
              <w:jc w:val="right"/>
              <w:textAlignment w:val="bottom"/>
            </w:pPr>
            <w:r>
              <w:rPr>
                <w:rFonts w:ascii="sans-serif" w:eastAsia="sans-serif" w:hAnsi="sans-serif" w:cs="sans-serif"/>
                <w:color w:val="000000"/>
                <w:sz w:val="18"/>
                <w:szCs w:val="18"/>
              </w:rPr>
              <w:t>4,285 </w:t>
            </w:r>
          </w:p>
        </w:tc>
        <w:tc>
          <w:tcPr>
            <w:tcW w:w="0" w:type="auto"/>
            <w:shd w:val="clear" w:color="auto" w:fill="FFFFFF"/>
            <w:tcMar>
              <w:top w:w="40" w:type="dxa"/>
              <w:left w:w="0" w:type="dxa"/>
              <w:bottom w:w="40" w:type="dxa"/>
              <w:right w:w="20" w:type="dxa"/>
            </w:tcMar>
            <w:vAlign w:val="bottom"/>
          </w:tcPr>
          <w:p w14:paraId="54066748"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749"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74A" w14:textId="77777777" w:rsidR="00611BDD" w:rsidRDefault="002E18C7">
            <w:pPr>
              <w:textAlignment w:val="bottom"/>
            </w:pPr>
            <w:r>
              <w:rPr>
                <w:rFonts w:ascii="sans-serif" w:eastAsia="sans-serif" w:hAnsi="sans-serif" w:cs="sans-serif"/>
                <w:color w:val="000000"/>
                <w:sz w:val="18"/>
                <w:szCs w:val="18"/>
              </w:rPr>
              <w:t>$</w:t>
            </w:r>
          </w:p>
        </w:tc>
        <w:tc>
          <w:tcPr>
            <w:tcW w:w="0" w:type="auto"/>
            <w:shd w:val="clear" w:color="auto" w:fill="FFFFFF"/>
            <w:tcMar>
              <w:top w:w="40" w:type="dxa"/>
              <w:left w:w="0" w:type="dxa"/>
              <w:bottom w:w="40" w:type="dxa"/>
              <w:right w:w="0" w:type="dxa"/>
            </w:tcMar>
            <w:vAlign w:val="bottom"/>
          </w:tcPr>
          <w:p w14:paraId="5406674B" w14:textId="77777777" w:rsidR="00611BDD" w:rsidRDefault="002E18C7">
            <w:pPr>
              <w:jc w:val="right"/>
              <w:textAlignment w:val="bottom"/>
            </w:pPr>
            <w:r>
              <w:rPr>
                <w:rFonts w:ascii="sans-serif" w:eastAsia="sans-serif" w:hAnsi="sans-serif" w:cs="sans-serif"/>
                <w:color w:val="000000"/>
                <w:sz w:val="18"/>
                <w:szCs w:val="18"/>
              </w:rPr>
              <w:t>1,539 </w:t>
            </w:r>
          </w:p>
        </w:tc>
        <w:tc>
          <w:tcPr>
            <w:tcW w:w="0" w:type="auto"/>
            <w:shd w:val="clear" w:color="auto" w:fill="FFFFFF"/>
            <w:tcMar>
              <w:top w:w="40" w:type="dxa"/>
              <w:left w:w="0" w:type="dxa"/>
              <w:bottom w:w="40" w:type="dxa"/>
              <w:right w:w="20" w:type="dxa"/>
            </w:tcMar>
            <w:vAlign w:val="bottom"/>
          </w:tcPr>
          <w:p w14:paraId="5406674C" w14:textId="77777777" w:rsidR="00611BDD" w:rsidRDefault="00611BDD">
            <w:pPr>
              <w:jc w:val="right"/>
              <w:rPr>
                <w:rFonts w:ascii="宋体"/>
              </w:rPr>
            </w:pPr>
          </w:p>
        </w:tc>
      </w:tr>
      <w:tr w:rsidR="00611BDD" w14:paraId="54066752" w14:textId="77777777">
        <w:trPr>
          <w:jc w:val="center"/>
        </w:trPr>
        <w:tc>
          <w:tcPr>
            <w:tcW w:w="0" w:type="auto"/>
            <w:gridSpan w:val="3"/>
            <w:shd w:val="clear" w:color="auto" w:fill="E2EFD9"/>
            <w:tcMar>
              <w:top w:w="40" w:type="dxa"/>
              <w:left w:w="20" w:type="dxa"/>
              <w:bottom w:w="40" w:type="dxa"/>
              <w:right w:w="20" w:type="dxa"/>
            </w:tcMar>
            <w:vAlign w:val="bottom"/>
          </w:tcPr>
          <w:p w14:paraId="5406674E" w14:textId="77777777" w:rsidR="00611BDD" w:rsidRDefault="002E18C7">
            <w:pPr>
              <w:textAlignment w:val="bottom"/>
            </w:pPr>
            <w:r>
              <w:rPr>
                <w:rFonts w:ascii="sans-serif" w:eastAsia="sans-serif" w:hAnsi="sans-serif" w:cs="sans-serif"/>
                <w:color w:val="000000"/>
                <w:sz w:val="18"/>
                <w:szCs w:val="18"/>
              </w:rPr>
              <w:t xml:space="preserve">Adjustments to </w:t>
            </w:r>
            <w:r>
              <w:rPr>
                <w:rFonts w:ascii="sans-serif" w:eastAsia="sans-serif" w:hAnsi="sans-serif" w:cs="sans-serif"/>
                <w:color w:val="000000"/>
                <w:sz w:val="18"/>
                <w:szCs w:val="18"/>
              </w:rPr>
              <w:t>reconcile net income to net cash provided by operating activities:</w:t>
            </w:r>
          </w:p>
        </w:tc>
        <w:tc>
          <w:tcPr>
            <w:tcW w:w="0" w:type="auto"/>
            <w:gridSpan w:val="3"/>
            <w:shd w:val="clear" w:color="auto" w:fill="E2EFD9"/>
            <w:tcMar>
              <w:top w:w="0" w:type="dxa"/>
              <w:left w:w="20" w:type="dxa"/>
              <w:bottom w:w="0" w:type="dxa"/>
              <w:right w:w="20" w:type="dxa"/>
            </w:tcMar>
            <w:vAlign w:val="bottom"/>
          </w:tcPr>
          <w:p w14:paraId="5406674F"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750"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751" w14:textId="77777777" w:rsidR="00611BDD" w:rsidRDefault="00611BDD">
            <w:pPr>
              <w:rPr>
                <w:rFonts w:ascii="宋体"/>
              </w:rPr>
            </w:pPr>
          </w:p>
        </w:tc>
      </w:tr>
      <w:tr w:rsidR="00611BDD" w14:paraId="54066759" w14:textId="77777777">
        <w:trPr>
          <w:jc w:val="center"/>
        </w:trPr>
        <w:tc>
          <w:tcPr>
            <w:tcW w:w="0" w:type="auto"/>
            <w:gridSpan w:val="3"/>
            <w:shd w:val="clear" w:color="auto" w:fill="FFFFFF"/>
            <w:tcMar>
              <w:top w:w="40" w:type="dxa"/>
              <w:left w:w="155" w:type="dxa"/>
              <w:bottom w:w="40" w:type="dxa"/>
              <w:right w:w="20" w:type="dxa"/>
            </w:tcMar>
            <w:vAlign w:val="bottom"/>
          </w:tcPr>
          <w:p w14:paraId="54066753" w14:textId="77777777" w:rsidR="00611BDD" w:rsidRDefault="002E18C7">
            <w:pPr>
              <w:textAlignment w:val="bottom"/>
            </w:pPr>
            <w:r>
              <w:rPr>
                <w:rFonts w:ascii="sans-serif" w:eastAsia="sans-serif" w:hAnsi="sans-serif" w:cs="sans-serif"/>
                <w:color w:val="000000"/>
                <w:sz w:val="18"/>
                <w:szCs w:val="18"/>
              </w:rPr>
              <w:t>Stock-based compensation expense</w:t>
            </w:r>
          </w:p>
        </w:tc>
        <w:tc>
          <w:tcPr>
            <w:tcW w:w="0" w:type="auto"/>
            <w:gridSpan w:val="2"/>
            <w:shd w:val="clear" w:color="auto" w:fill="FFFFFF"/>
            <w:tcMar>
              <w:top w:w="40" w:type="dxa"/>
              <w:left w:w="20" w:type="dxa"/>
              <w:bottom w:w="40" w:type="dxa"/>
              <w:right w:w="0" w:type="dxa"/>
            </w:tcMar>
            <w:vAlign w:val="bottom"/>
          </w:tcPr>
          <w:p w14:paraId="54066754" w14:textId="77777777" w:rsidR="00611BDD" w:rsidRDefault="002E18C7">
            <w:pPr>
              <w:jc w:val="right"/>
              <w:textAlignment w:val="bottom"/>
            </w:pPr>
            <w:r>
              <w:rPr>
                <w:rFonts w:ascii="sans-serif" w:eastAsia="sans-serif" w:hAnsi="sans-serif" w:cs="sans-serif"/>
                <w:color w:val="000000"/>
                <w:sz w:val="18"/>
                <w:szCs w:val="18"/>
              </w:rPr>
              <w:t>894 </w:t>
            </w:r>
          </w:p>
        </w:tc>
        <w:tc>
          <w:tcPr>
            <w:tcW w:w="0" w:type="auto"/>
            <w:shd w:val="clear" w:color="auto" w:fill="FFFFFF"/>
            <w:tcMar>
              <w:top w:w="40" w:type="dxa"/>
              <w:left w:w="0" w:type="dxa"/>
              <w:bottom w:w="40" w:type="dxa"/>
              <w:right w:w="20" w:type="dxa"/>
            </w:tcMar>
            <w:vAlign w:val="bottom"/>
          </w:tcPr>
          <w:p w14:paraId="54066755"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756"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757" w14:textId="77777777" w:rsidR="00611BDD" w:rsidRDefault="002E18C7">
            <w:pPr>
              <w:jc w:val="right"/>
              <w:textAlignment w:val="bottom"/>
            </w:pPr>
            <w:r>
              <w:rPr>
                <w:rFonts w:ascii="sans-serif" w:eastAsia="sans-serif" w:hAnsi="sans-serif" w:cs="sans-serif"/>
                <w:color w:val="000000"/>
                <w:sz w:val="18"/>
                <w:szCs w:val="18"/>
              </w:rPr>
              <w:t>598 </w:t>
            </w:r>
          </w:p>
        </w:tc>
        <w:tc>
          <w:tcPr>
            <w:tcW w:w="0" w:type="auto"/>
            <w:shd w:val="clear" w:color="auto" w:fill="FFFFFF"/>
            <w:tcMar>
              <w:top w:w="40" w:type="dxa"/>
              <w:left w:w="0" w:type="dxa"/>
              <w:bottom w:w="40" w:type="dxa"/>
              <w:right w:w="20" w:type="dxa"/>
            </w:tcMar>
            <w:vAlign w:val="bottom"/>
          </w:tcPr>
          <w:p w14:paraId="54066758" w14:textId="77777777" w:rsidR="00611BDD" w:rsidRDefault="00611BDD">
            <w:pPr>
              <w:jc w:val="right"/>
              <w:rPr>
                <w:rFonts w:ascii="宋体"/>
              </w:rPr>
            </w:pPr>
          </w:p>
        </w:tc>
      </w:tr>
      <w:tr w:rsidR="00611BDD" w14:paraId="54066760" w14:textId="77777777">
        <w:trPr>
          <w:jc w:val="center"/>
        </w:trPr>
        <w:tc>
          <w:tcPr>
            <w:tcW w:w="0" w:type="auto"/>
            <w:gridSpan w:val="3"/>
            <w:shd w:val="clear" w:color="auto" w:fill="E2EFD9"/>
            <w:tcMar>
              <w:top w:w="40" w:type="dxa"/>
              <w:left w:w="155" w:type="dxa"/>
              <w:bottom w:w="40" w:type="dxa"/>
              <w:right w:w="20" w:type="dxa"/>
            </w:tcMar>
            <w:vAlign w:val="bottom"/>
          </w:tcPr>
          <w:p w14:paraId="5406675A" w14:textId="77777777" w:rsidR="00611BDD" w:rsidRDefault="002E18C7">
            <w:pPr>
              <w:textAlignment w:val="bottom"/>
            </w:pPr>
            <w:r>
              <w:rPr>
                <w:rFonts w:ascii="sans-serif" w:eastAsia="sans-serif" w:hAnsi="sans-serif" w:cs="sans-serif"/>
                <w:color w:val="000000"/>
                <w:sz w:val="18"/>
                <w:szCs w:val="18"/>
              </w:rPr>
              <w:t>Depreciation and amortization</w:t>
            </w:r>
          </w:p>
        </w:tc>
        <w:tc>
          <w:tcPr>
            <w:tcW w:w="0" w:type="auto"/>
            <w:gridSpan w:val="2"/>
            <w:shd w:val="clear" w:color="auto" w:fill="E2EFD9"/>
            <w:tcMar>
              <w:top w:w="40" w:type="dxa"/>
              <w:left w:w="20" w:type="dxa"/>
              <w:bottom w:w="40" w:type="dxa"/>
              <w:right w:w="0" w:type="dxa"/>
            </w:tcMar>
            <w:vAlign w:val="bottom"/>
          </w:tcPr>
          <w:p w14:paraId="5406675B" w14:textId="77777777" w:rsidR="00611BDD" w:rsidRDefault="002E18C7">
            <w:pPr>
              <w:jc w:val="right"/>
              <w:textAlignment w:val="bottom"/>
            </w:pPr>
            <w:r>
              <w:rPr>
                <w:rFonts w:ascii="sans-serif" w:eastAsia="sans-serif" w:hAnsi="sans-serif" w:cs="sans-serif"/>
                <w:color w:val="000000"/>
                <w:sz w:val="18"/>
                <w:szCs w:val="18"/>
              </w:rPr>
              <w:t>567 </w:t>
            </w:r>
          </w:p>
        </w:tc>
        <w:tc>
          <w:tcPr>
            <w:tcW w:w="0" w:type="auto"/>
            <w:shd w:val="clear" w:color="auto" w:fill="E2EFD9"/>
            <w:tcMar>
              <w:top w:w="40" w:type="dxa"/>
              <w:left w:w="0" w:type="dxa"/>
              <w:bottom w:w="40" w:type="dxa"/>
              <w:right w:w="20" w:type="dxa"/>
            </w:tcMar>
            <w:vAlign w:val="bottom"/>
          </w:tcPr>
          <w:p w14:paraId="5406675C"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75D"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75E" w14:textId="77777777" w:rsidR="00611BDD" w:rsidRDefault="002E18C7">
            <w:pPr>
              <w:jc w:val="right"/>
              <w:textAlignment w:val="bottom"/>
            </w:pPr>
            <w:r>
              <w:rPr>
                <w:rFonts w:ascii="sans-serif" w:eastAsia="sans-serif" w:hAnsi="sans-serif" w:cs="sans-serif"/>
                <w:color w:val="000000"/>
                <w:sz w:val="18"/>
                <w:szCs w:val="18"/>
              </w:rPr>
              <w:t>511 </w:t>
            </w:r>
          </w:p>
        </w:tc>
        <w:tc>
          <w:tcPr>
            <w:tcW w:w="0" w:type="auto"/>
            <w:shd w:val="clear" w:color="auto" w:fill="E2EFD9"/>
            <w:tcMar>
              <w:top w:w="40" w:type="dxa"/>
              <w:left w:w="0" w:type="dxa"/>
              <w:bottom w:w="40" w:type="dxa"/>
              <w:right w:w="20" w:type="dxa"/>
            </w:tcMar>
            <w:vAlign w:val="bottom"/>
          </w:tcPr>
          <w:p w14:paraId="5406675F" w14:textId="77777777" w:rsidR="00611BDD" w:rsidRDefault="00611BDD">
            <w:pPr>
              <w:jc w:val="right"/>
              <w:rPr>
                <w:rFonts w:ascii="宋体"/>
              </w:rPr>
            </w:pPr>
          </w:p>
        </w:tc>
      </w:tr>
      <w:tr w:rsidR="00611BDD" w14:paraId="54066767" w14:textId="77777777">
        <w:trPr>
          <w:jc w:val="center"/>
        </w:trPr>
        <w:tc>
          <w:tcPr>
            <w:tcW w:w="0" w:type="auto"/>
            <w:gridSpan w:val="3"/>
            <w:shd w:val="clear" w:color="auto" w:fill="FFFFFF"/>
            <w:tcMar>
              <w:top w:w="40" w:type="dxa"/>
              <w:left w:w="155" w:type="dxa"/>
              <w:bottom w:w="40" w:type="dxa"/>
              <w:right w:w="20" w:type="dxa"/>
            </w:tcMar>
            <w:vAlign w:val="bottom"/>
          </w:tcPr>
          <w:p w14:paraId="54066761" w14:textId="77777777" w:rsidR="00611BDD" w:rsidRDefault="002E18C7">
            <w:pPr>
              <w:textAlignment w:val="bottom"/>
            </w:pPr>
            <w:r>
              <w:rPr>
                <w:rFonts w:ascii="sans-serif" w:eastAsia="sans-serif" w:hAnsi="sans-serif" w:cs="sans-serif"/>
                <w:color w:val="000000"/>
                <w:sz w:val="18"/>
                <w:szCs w:val="18"/>
              </w:rPr>
              <w:t>Deferred income taxes</w:t>
            </w:r>
          </w:p>
        </w:tc>
        <w:tc>
          <w:tcPr>
            <w:tcW w:w="0" w:type="auto"/>
            <w:gridSpan w:val="2"/>
            <w:shd w:val="clear" w:color="auto" w:fill="FFFFFF"/>
            <w:tcMar>
              <w:top w:w="40" w:type="dxa"/>
              <w:left w:w="20" w:type="dxa"/>
              <w:bottom w:w="40" w:type="dxa"/>
              <w:right w:w="0" w:type="dxa"/>
            </w:tcMar>
            <w:vAlign w:val="bottom"/>
          </w:tcPr>
          <w:p w14:paraId="54066762" w14:textId="77777777" w:rsidR="00611BDD" w:rsidRDefault="002E18C7">
            <w:pPr>
              <w:jc w:val="right"/>
              <w:textAlignment w:val="bottom"/>
            </w:pPr>
            <w:r>
              <w:rPr>
                <w:rFonts w:ascii="sans-serif" w:eastAsia="sans-serif" w:hAnsi="sans-serif" w:cs="sans-serif"/>
                <w:color w:val="000000"/>
                <w:sz w:val="18"/>
                <w:szCs w:val="18"/>
              </w:rPr>
              <w:t>(161)</w:t>
            </w:r>
          </w:p>
        </w:tc>
        <w:tc>
          <w:tcPr>
            <w:tcW w:w="0" w:type="auto"/>
            <w:shd w:val="clear" w:color="auto" w:fill="FFFFFF"/>
            <w:tcMar>
              <w:top w:w="40" w:type="dxa"/>
              <w:left w:w="0" w:type="dxa"/>
              <w:bottom w:w="40" w:type="dxa"/>
              <w:right w:w="20" w:type="dxa"/>
            </w:tcMar>
            <w:vAlign w:val="bottom"/>
          </w:tcPr>
          <w:p w14:paraId="5406676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764"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765" w14:textId="77777777" w:rsidR="00611BDD" w:rsidRDefault="002E18C7">
            <w:pPr>
              <w:jc w:val="right"/>
              <w:textAlignment w:val="bottom"/>
            </w:pPr>
            <w:r>
              <w:rPr>
                <w:rFonts w:ascii="sans-serif" w:eastAsia="sans-serif" w:hAnsi="sans-serif" w:cs="sans-serif"/>
                <w:color w:val="000000"/>
                <w:sz w:val="18"/>
                <w:szCs w:val="18"/>
              </w:rPr>
              <w:t>(64)</w:t>
            </w:r>
          </w:p>
        </w:tc>
        <w:tc>
          <w:tcPr>
            <w:tcW w:w="0" w:type="auto"/>
            <w:shd w:val="clear" w:color="auto" w:fill="FFFFFF"/>
            <w:tcMar>
              <w:top w:w="40" w:type="dxa"/>
              <w:left w:w="0" w:type="dxa"/>
              <w:bottom w:w="40" w:type="dxa"/>
              <w:right w:w="20" w:type="dxa"/>
            </w:tcMar>
            <w:vAlign w:val="bottom"/>
          </w:tcPr>
          <w:p w14:paraId="54066766" w14:textId="77777777" w:rsidR="00611BDD" w:rsidRDefault="00611BDD">
            <w:pPr>
              <w:jc w:val="right"/>
              <w:rPr>
                <w:rFonts w:ascii="宋体"/>
              </w:rPr>
            </w:pPr>
          </w:p>
        </w:tc>
      </w:tr>
      <w:tr w:rsidR="00611BDD" w14:paraId="5406676C" w14:textId="77777777">
        <w:trPr>
          <w:jc w:val="center"/>
          <w:hidden/>
        </w:trPr>
        <w:tc>
          <w:tcPr>
            <w:tcW w:w="0" w:type="auto"/>
            <w:gridSpan w:val="3"/>
            <w:shd w:val="clear" w:color="auto" w:fill="auto"/>
            <w:vAlign w:val="bottom"/>
          </w:tcPr>
          <w:p w14:paraId="54066768" w14:textId="77777777" w:rsidR="00611BDD" w:rsidRDefault="00611BDD">
            <w:pPr>
              <w:rPr>
                <w:rFonts w:ascii="宋体"/>
                <w:vanish/>
              </w:rPr>
            </w:pPr>
          </w:p>
        </w:tc>
        <w:tc>
          <w:tcPr>
            <w:tcW w:w="0" w:type="auto"/>
            <w:gridSpan w:val="3"/>
            <w:shd w:val="clear" w:color="auto" w:fill="auto"/>
            <w:vAlign w:val="bottom"/>
          </w:tcPr>
          <w:p w14:paraId="54066769" w14:textId="77777777" w:rsidR="00611BDD" w:rsidRDefault="00611BDD">
            <w:pPr>
              <w:rPr>
                <w:rFonts w:ascii="宋体"/>
                <w:vanish/>
              </w:rPr>
            </w:pPr>
          </w:p>
        </w:tc>
        <w:tc>
          <w:tcPr>
            <w:tcW w:w="0" w:type="auto"/>
            <w:gridSpan w:val="3"/>
            <w:shd w:val="clear" w:color="auto" w:fill="auto"/>
            <w:vAlign w:val="bottom"/>
          </w:tcPr>
          <w:p w14:paraId="5406676A" w14:textId="77777777" w:rsidR="00611BDD" w:rsidRDefault="00611BDD">
            <w:pPr>
              <w:rPr>
                <w:rFonts w:ascii="宋体"/>
                <w:vanish/>
              </w:rPr>
            </w:pPr>
          </w:p>
        </w:tc>
        <w:tc>
          <w:tcPr>
            <w:tcW w:w="0" w:type="auto"/>
            <w:gridSpan w:val="3"/>
            <w:shd w:val="clear" w:color="auto" w:fill="auto"/>
            <w:vAlign w:val="bottom"/>
          </w:tcPr>
          <w:p w14:paraId="5406676B" w14:textId="77777777" w:rsidR="00611BDD" w:rsidRDefault="00611BDD">
            <w:pPr>
              <w:rPr>
                <w:rFonts w:ascii="宋体"/>
                <w:vanish/>
              </w:rPr>
            </w:pPr>
          </w:p>
        </w:tc>
      </w:tr>
      <w:tr w:rsidR="00611BDD" w14:paraId="54066773" w14:textId="77777777">
        <w:trPr>
          <w:jc w:val="center"/>
        </w:trPr>
        <w:tc>
          <w:tcPr>
            <w:tcW w:w="0" w:type="auto"/>
            <w:gridSpan w:val="3"/>
            <w:shd w:val="clear" w:color="auto" w:fill="E2EFD9"/>
            <w:tcMar>
              <w:top w:w="40" w:type="dxa"/>
              <w:left w:w="155" w:type="dxa"/>
              <w:bottom w:w="40" w:type="dxa"/>
              <w:right w:w="20" w:type="dxa"/>
            </w:tcMar>
            <w:vAlign w:val="bottom"/>
          </w:tcPr>
          <w:p w14:paraId="5406676D" w14:textId="77777777" w:rsidR="00611BDD" w:rsidRDefault="002E18C7">
            <w:pPr>
              <w:textAlignment w:val="bottom"/>
            </w:pPr>
            <w:r>
              <w:rPr>
                <w:rFonts w:ascii="sans-serif" w:eastAsia="sans-serif" w:hAnsi="sans-serif" w:cs="sans-serif"/>
                <w:color w:val="000000"/>
                <w:sz w:val="18"/>
                <w:szCs w:val="18"/>
              </w:rPr>
              <w:t xml:space="preserve">(Gains) losses on investments in </w:t>
            </w:r>
            <w:r>
              <w:rPr>
                <w:rFonts w:ascii="sans-serif" w:eastAsia="sans-serif" w:hAnsi="sans-serif" w:cs="sans-serif"/>
                <w:color w:val="000000"/>
                <w:sz w:val="18"/>
                <w:szCs w:val="18"/>
              </w:rPr>
              <w:t>non-affiliates, net</w:t>
            </w:r>
          </w:p>
        </w:tc>
        <w:tc>
          <w:tcPr>
            <w:tcW w:w="0" w:type="auto"/>
            <w:gridSpan w:val="2"/>
            <w:shd w:val="clear" w:color="auto" w:fill="E2EFD9"/>
            <w:tcMar>
              <w:top w:w="40" w:type="dxa"/>
              <w:left w:w="20" w:type="dxa"/>
              <w:bottom w:w="40" w:type="dxa"/>
              <w:right w:w="0" w:type="dxa"/>
            </w:tcMar>
            <w:vAlign w:val="bottom"/>
          </w:tcPr>
          <w:p w14:paraId="5406676E" w14:textId="77777777" w:rsidR="00611BDD" w:rsidRDefault="002E18C7">
            <w:pPr>
              <w:jc w:val="right"/>
              <w:textAlignment w:val="bottom"/>
            </w:pPr>
            <w:r>
              <w:rPr>
                <w:rFonts w:ascii="sans-serif" w:eastAsia="sans-serif" w:hAnsi="sans-serif" w:cs="sans-serif"/>
                <w:color w:val="000000"/>
                <w:sz w:val="18"/>
                <w:szCs w:val="18"/>
              </w:rPr>
              <w:t>(133)</w:t>
            </w:r>
          </w:p>
        </w:tc>
        <w:tc>
          <w:tcPr>
            <w:tcW w:w="0" w:type="auto"/>
            <w:shd w:val="clear" w:color="auto" w:fill="E2EFD9"/>
            <w:tcMar>
              <w:top w:w="40" w:type="dxa"/>
              <w:left w:w="0" w:type="dxa"/>
              <w:bottom w:w="40" w:type="dxa"/>
              <w:right w:w="20" w:type="dxa"/>
            </w:tcMar>
            <w:vAlign w:val="bottom"/>
          </w:tcPr>
          <w:p w14:paraId="5406676F"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770"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771" w14:textId="77777777" w:rsidR="00611BDD" w:rsidRDefault="002E18C7">
            <w:pPr>
              <w:jc w:val="right"/>
              <w:textAlignment w:val="bottom"/>
            </w:pPr>
            <w:r>
              <w:rPr>
                <w:rFonts w:ascii="sans-serif" w:eastAsia="sans-serif" w:hAnsi="sans-serif" w:cs="sans-serif"/>
                <w:color w:val="000000"/>
                <w:sz w:val="18"/>
                <w:szCs w:val="18"/>
              </w:rPr>
              <w:t>5 </w:t>
            </w:r>
          </w:p>
        </w:tc>
        <w:tc>
          <w:tcPr>
            <w:tcW w:w="0" w:type="auto"/>
            <w:shd w:val="clear" w:color="auto" w:fill="E2EFD9"/>
            <w:tcMar>
              <w:top w:w="40" w:type="dxa"/>
              <w:left w:w="0" w:type="dxa"/>
              <w:bottom w:w="40" w:type="dxa"/>
              <w:right w:w="20" w:type="dxa"/>
            </w:tcMar>
            <w:vAlign w:val="bottom"/>
          </w:tcPr>
          <w:p w14:paraId="54066772" w14:textId="77777777" w:rsidR="00611BDD" w:rsidRDefault="00611BDD">
            <w:pPr>
              <w:jc w:val="right"/>
              <w:rPr>
                <w:rFonts w:ascii="宋体"/>
              </w:rPr>
            </w:pPr>
          </w:p>
        </w:tc>
      </w:tr>
      <w:tr w:rsidR="00611BDD" w14:paraId="5406677A" w14:textId="77777777">
        <w:trPr>
          <w:jc w:val="center"/>
        </w:trPr>
        <w:tc>
          <w:tcPr>
            <w:tcW w:w="0" w:type="auto"/>
            <w:gridSpan w:val="3"/>
            <w:shd w:val="clear" w:color="auto" w:fill="FFFFFF"/>
            <w:tcMar>
              <w:top w:w="40" w:type="dxa"/>
              <w:left w:w="155" w:type="dxa"/>
              <w:bottom w:w="40" w:type="dxa"/>
              <w:right w:w="20" w:type="dxa"/>
            </w:tcMar>
            <w:vAlign w:val="bottom"/>
          </w:tcPr>
          <w:p w14:paraId="54066774" w14:textId="77777777" w:rsidR="00611BDD" w:rsidRDefault="002E18C7">
            <w:pPr>
              <w:textAlignment w:val="bottom"/>
            </w:pPr>
            <w:r>
              <w:rPr>
                <w:rFonts w:ascii="sans-serif" w:eastAsia="sans-serif" w:hAnsi="sans-serif" w:cs="sans-serif"/>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54066775" w14:textId="77777777" w:rsidR="00611BDD" w:rsidRDefault="002E18C7">
            <w:pPr>
              <w:jc w:val="right"/>
              <w:textAlignment w:val="bottom"/>
            </w:pPr>
            <w:r>
              <w:rPr>
                <w:rFonts w:ascii="sans-serif" w:eastAsia="sans-serif" w:hAnsi="sans-serif" w:cs="sans-serif"/>
                <w:color w:val="000000"/>
                <w:sz w:val="18"/>
                <w:szCs w:val="18"/>
              </w:rPr>
              <w:t>16 </w:t>
            </w:r>
          </w:p>
        </w:tc>
        <w:tc>
          <w:tcPr>
            <w:tcW w:w="0" w:type="auto"/>
            <w:shd w:val="clear" w:color="auto" w:fill="FFFFFF"/>
            <w:tcMar>
              <w:top w:w="40" w:type="dxa"/>
              <w:left w:w="0" w:type="dxa"/>
              <w:bottom w:w="40" w:type="dxa"/>
              <w:right w:w="20" w:type="dxa"/>
            </w:tcMar>
            <w:vAlign w:val="bottom"/>
          </w:tcPr>
          <w:p w14:paraId="5406677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777"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778" w14:textId="77777777" w:rsidR="00611BDD" w:rsidRDefault="002E18C7">
            <w:pPr>
              <w:jc w:val="right"/>
              <w:textAlignment w:val="bottom"/>
            </w:pPr>
            <w:r>
              <w:rPr>
                <w:rFonts w:ascii="sans-serif" w:eastAsia="sans-serif" w:hAnsi="sans-serif" w:cs="sans-serif"/>
                <w:color w:val="000000"/>
                <w:sz w:val="18"/>
                <w:szCs w:val="18"/>
              </w:rPr>
              <w:t>(10)</w:t>
            </w:r>
          </w:p>
        </w:tc>
        <w:tc>
          <w:tcPr>
            <w:tcW w:w="0" w:type="auto"/>
            <w:shd w:val="clear" w:color="auto" w:fill="FFFFFF"/>
            <w:tcMar>
              <w:top w:w="40" w:type="dxa"/>
              <w:left w:w="0" w:type="dxa"/>
              <w:bottom w:w="40" w:type="dxa"/>
              <w:right w:w="20" w:type="dxa"/>
            </w:tcMar>
            <w:vAlign w:val="bottom"/>
          </w:tcPr>
          <w:p w14:paraId="54066779" w14:textId="77777777" w:rsidR="00611BDD" w:rsidRDefault="00611BDD">
            <w:pPr>
              <w:jc w:val="right"/>
              <w:rPr>
                <w:rFonts w:ascii="宋体"/>
              </w:rPr>
            </w:pPr>
          </w:p>
        </w:tc>
      </w:tr>
      <w:tr w:rsidR="00611BDD" w14:paraId="5406677F" w14:textId="77777777">
        <w:trPr>
          <w:jc w:val="center"/>
        </w:trPr>
        <w:tc>
          <w:tcPr>
            <w:tcW w:w="0" w:type="auto"/>
            <w:gridSpan w:val="3"/>
            <w:shd w:val="clear" w:color="auto" w:fill="E2EFD9"/>
            <w:tcMar>
              <w:top w:w="40" w:type="dxa"/>
              <w:left w:w="20" w:type="dxa"/>
              <w:bottom w:w="40" w:type="dxa"/>
              <w:right w:w="20" w:type="dxa"/>
            </w:tcMar>
            <w:vAlign w:val="bottom"/>
          </w:tcPr>
          <w:p w14:paraId="5406677B" w14:textId="77777777" w:rsidR="00611BDD" w:rsidRDefault="002E18C7">
            <w:pPr>
              <w:textAlignment w:val="bottom"/>
            </w:pPr>
            <w:r>
              <w:rPr>
                <w:rFonts w:ascii="sans-serif" w:eastAsia="sans-serif" w:hAnsi="sans-serif" w:cs="sans-serif"/>
                <w:color w:val="000000"/>
                <w:sz w:val="18"/>
                <w:szCs w:val="18"/>
              </w:rPr>
              <w:t>Changes in operating assets and liabilities, net of acquisitions:</w:t>
            </w:r>
          </w:p>
        </w:tc>
        <w:tc>
          <w:tcPr>
            <w:tcW w:w="0" w:type="auto"/>
            <w:gridSpan w:val="3"/>
            <w:shd w:val="clear" w:color="auto" w:fill="E2EFD9"/>
            <w:tcMar>
              <w:top w:w="0" w:type="dxa"/>
              <w:left w:w="20" w:type="dxa"/>
              <w:bottom w:w="0" w:type="dxa"/>
              <w:right w:w="20" w:type="dxa"/>
            </w:tcMar>
            <w:vAlign w:val="bottom"/>
          </w:tcPr>
          <w:p w14:paraId="5406677C"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77D"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77E" w14:textId="77777777" w:rsidR="00611BDD" w:rsidRDefault="00611BDD">
            <w:pPr>
              <w:rPr>
                <w:rFonts w:ascii="宋体"/>
              </w:rPr>
            </w:pPr>
          </w:p>
        </w:tc>
      </w:tr>
      <w:tr w:rsidR="00611BDD" w14:paraId="54066786" w14:textId="77777777">
        <w:trPr>
          <w:jc w:val="center"/>
        </w:trPr>
        <w:tc>
          <w:tcPr>
            <w:tcW w:w="0" w:type="auto"/>
            <w:gridSpan w:val="3"/>
            <w:shd w:val="clear" w:color="auto" w:fill="FFFFFF"/>
            <w:tcMar>
              <w:top w:w="40" w:type="dxa"/>
              <w:left w:w="155" w:type="dxa"/>
              <w:bottom w:w="40" w:type="dxa"/>
              <w:right w:w="20" w:type="dxa"/>
            </w:tcMar>
            <w:vAlign w:val="bottom"/>
          </w:tcPr>
          <w:p w14:paraId="54066780" w14:textId="77777777" w:rsidR="00611BDD" w:rsidRDefault="002E18C7">
            <w:pPr>
              <w:textAlignment w:val="bottom"/>
            </w:pPr>
            <w:r>
              <w:rPr>
                <w:rFonts w:ascii="sans-serif" w:eastAsia="sans-serif" w:hAnsi="sans-serif" w:cs="sans-serif"/>
                <w:color w:val="000000"/>
                <w:sz w:val="18"/>
                <w:szCs w:val="18"/>
              </w:rPr>
              <w:t>Accounts receivable</w:t>
            </w:r>
          </w:p>
        </w:tc>
        <w:tc>
          <w:tcPr>
            <w:tcW w:w="0" w:type="auto"/>
            <w:gridSpan w:val="2"/>
            <w:shd w:val="clear" w:color="auto" w:fill="FFFFFF"/>
            <w:tcMar>
              <w:top w:w="40" w:type="dxa"/>
              <w:left w:w="20" w:type="dxa"/>
              <w:bottom w:w="40" w:type="dxa"/>
              <w:right w:w="0" w:type="dxa"/>
            </w:tcMar>
            <w:vAlign w:val="bottom"/>
          </w:tcPr>
          <w:p w14:paraId="54066781" w14:textId="77777777" w:rsidR="00611BDD" w:rsidRDefault="002E18C7">
            <w:pPr>
              <w:jc w:val="right"/>
              <w:textAlignment w:val="bottom"/>
            </w:pPr>
            <w:r>
              <w:rPr>
                <w:rFonts w:ascii="sans-serif" w:eastAsia="sans-serif" w:hAnsi="sans-serif" w:cs="sans-serif"/>
                <w:color w:val="000000"/>
                <w:sz w:val="18"/>
                <w:szCs w:val="18"/>
              </w:rPr>
              <w:t>(1,157)</w:t>
            </w:r>
          </w:p>
        </w:tc>
        <w:tc>
          <w:tcPr>
            <w:tcW w:w="0" w:type="auto"/>
            <w:shd w:val="clear" w:color="auto" w:fill="FFFFFF"/>
            <w:tcMar>
              <w:top w:w="40" w:type="dxa"/>
              <w:left w:w="0" w:type="dxa"/>
              <w:bottom w:w="40" w:type="dxa"/>
              <w:right w:w="20" w:type="dxa"/>
            </w:tcMar>
            <w:vAlign w:val="bottom"/>
          </w:tcPr>
          <w:p w14:paraId="54066782"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783"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784" w14:textId="77777777" w:rsidR="00611BDD" w:rsidRDefault="002E18C7">
            <w:pPr>
              <w:jc w:val="right"/>
              <w:textAlignment w:val="bottom"/>
            </w:pPr>
            <w:r>
              <w:rPr>
                <w:rFonts w:ascii="sans-serif" w:eastAsia="sans-serif" w:hAnsi="sans-serif" w:cs="sans-serif"/>
                <w:color w:val="000000"/>
                <w:sz w:val="18"/>
                <w:szCs w:val="18"/>
              </w:rPr>
              <w:t>(205)</w:t>
            </w:r>
          </w:p>
        </w:tc>
        <w:tc>
          <w:tcPr>
            <w:tcW w:w="0" w:type="auto"/>
            <w:shd w:val="clear" w:color="auto" w:fill="FFFFFF"/>
            <w:tcMar>
              <w:top w:w="40" w:type="dxa"/>
              <w:left w:w="0" w:type="dxa"/>
              <w:bottom w:w="40" w:type="dxa"/>
              <w:right w:w="20" w:type="dxa"/>
            </w:tcMar>
            <w:vAlign w:val="bottom"/>
          </w:tcPr>
          <w:p w14:paraId="54066785" w14:textId="77777777" w:rsidR="00611BDD" w:rsidRDefault="00611BDD">
            <w:pPr>
              <w:jc w:val="right"/>
              <w:rPr>
                <w:rFonts w:ascii="宋体"/>
              </w:rPr>
            </w:pPr>
          </w:p>
        </w:tc>
      </w:tr>
      <w:tr w:rsidR="00611BDD" w14:paraId="5406678D" w14:textId="77777777">
        <w:trPr>
          <w:jc w:val="center"/>
        </w:trPr>
        <w:tc>
          <w:tcPr>
            <w:tcW w:w="0" w:type="auto"/>
            <w:gridSpan w:val="3"/>
            <w:shd w:val="clear" w:color="auto" w:fill="E2EFD9"/>
            <w:tcMar>
              <w:top w:w="40" w:type="dxa"/>
              <w:left w:w="155" w:type="dxa"/>
              <w:bottom w:w="40" w:type="dxa"/>
              <w:right w:w="20" w:type="dxa"/>
            </w:tcMar>
            <w:vAlign w:val="bottom"/>
          </w:tcPr>
          <w:p w14:paraId="54066787" w14:textId="77777777" w:rsidR="00611BDD" w:rsidRDefault="002E18C7">
            <w:pPr>
              <w:textAlignment w:val="bottom"/>
            </w:pPr>
            <w:r>
              <w:rPr>
                <w:rFonts w:ascii="sans-serif" w:eastAsia="sans-serif" w:hAnsi="sans-serif" w:cs="sans-serif"/>
                <w:color w:val="000000"/>
                <w:sz w:val="18"/>
                <w:szCs w:val="18"/>
              </w:rPr>
              <w:t>Inventories</w:t>
            </w:r>
          </w:p>
        </w:tc>
        <w:tc>
          <w:tcPr>
            <w:tcW w:w="0" w:type="auto"/>
            <w:gridSpan w:val="2"/>
            <w:shd w:val="clear" w:color="auto" w:fill="E2EFD9"/>
            <w:tcMar>
              <w:top w:w="40" w:type="dxa"/>
              <w:left w:w="20" w:type="dxa"/>
              <w:bottom w:w="40" w:type="dxa"/>
              <w:right w:w="0" w:type="dxa"/>
            </w:tcMar>
            <w:vAlign w:val="bottom"/>
          </w:tcPr>
          <w:p w14:paraId="54066788" w14:textId="77777777" w:rsidR="00611BDD" w:rsidRDefault="002E18C7">
            <w:pPr>
              <w:jc w:val="right"/>
              <w:textAlignment w:val="bottom"/>
            </w:pPr>
            <w:r>
              <w:rPr>
                <w:rFonts w:ascii="sans-serif" w:eastAsia="sans-serif" w:hAnsi="sans-serif" w:cs="sans-serif"/>
                <w:color w:val="000000"/>
                <w:sz w:val="18"/>
                <w:szCs w:val="18"/>
              </w:rPr>
              <w:t>(282)</w:t>
            </w:r>
          </w:p>
        </w:tc>
        <w:tc>
          <w:tcPr>
            <w:tcW w:w="0" w:type="auto"/>
            <w:shd w:val="clear" w:color="auto" w:fill="E2EFD9"/>
            <w:tcMar>
              <w:top w:w="40" w:type="dxa"/>
              <w:left w:w="0" w:type="dxa"/>
              <w:bottom w:w="40" w:type="dxa"/>
              <w:right w:w="20" w:type="dxa"/>
            </w:tcMar>
            <w:vAlign w:val="bottom"/>
          </w:tcPr>
          <w:p w14:paraId="5406678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78A"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78B" w14:textId="77777777" w:rsidR="00611BDD" w:rsidRDefault="002E18C7">
            <w:pPr>
              <w:jc w:val="right"/>
              <w:textAlignment w:val="bottom"/>
            </w:pPr>
            <w:r>
              <w:rPr>
                <w:rFonts w:ascii="sans-serif" w:eastAsia="sans-serif" w:hAnsi="sans-serif" w:cs="sans-serif"/>
                <w:color w:val="000000"/>
                <w:sz w:val="18"/>
                <w:szCs w:val="18"/>
              </w:rPr>
              <w:t>(97)</w:t>
            </w:r>
          </w:p>
        </w:tc>
        <w:tc>
          <w:tcPr>
            <w:tcW w:w="0" w:type="auto"/>
            <w:shd w:val="clear" w:color="auto" w:fill="E2EFD9"/>
            <w:tcMar>
              <w:top w:w="40" w:type="dxa"/>
              <w:left w:w="0" w:type="dxa"/>
              <w:bottom w:w="40" w:type="dxa"/>
              <w:right w:w="20" w:type="dxa"/>
            </w:tcMar>
            <w:vAlign w:val="bottom"/>
          </w:tcPr>
          <w:p w14:paraId="5406678C" w14:textId="77777777" w:rsidR="00611BDD" w:rsidRDefault="00611BDD">
            <w:pPr>
              <w:jc w:val="right"/>
              <w:rPr>
                <w:rFonts w:ascii="宋体"/>
              </w:rPr>
            </w:pPr>
          </w:p>
        </w:tc>
      </w:tr>
      <w:tr w:rsidR="00611BDD" w14:paraId="54066794" w14:textId="77777777">
        <w:trPr>
          <w:jc w:val="center"/>
        </w:trPr>
        <w:tc>
          <w:tcPr>
            <w:tcW w:w="0" w:type="auto"/>
            <w:gridSpan w:val="3"/>
            <w:shd w:val="clear" w:color="auto" w:fill="FFFFFF"/>
            <w:tcMar>
              <w:top w:w="40" w:type="dxa"/>
              <w:left w:w="155" w:type="dxa"/>
              <w:bottom w:w="40" w:type="dxa"/>
              <w:right w:w="20" w:type="dxa"/>
            </w:tcMar>
            <w:vAlign w:val="bottom"/>
          </w:tcPr>
          <w:p w14:paraId="5406678E" w14:textId="77777777" w:rsidR="00611BDD" w:rsidRDefault="002E18C7">
            <w:pPr>
              <w:textAlignment w:val="bottom"/>
            </w:pPr>
            <w:r>
              <w:rPr>
                <w:rFonts w:ascii="sans-serif" w:eastAsia="sans-serif" w:hAnsi="sans-serif" w:cs="sans-serif"/>
                <w:color w:val="000000"/>
                <w:sz w:val="18"/>
                <w:szCs w:val="18"/>
              </w:rPr>
              <w:t>Prepaid expenses and other assets</w:t>
            </w:r>
          </w:p>
        </w:tc>
        <w:tc>
          <w:tcPr>
            <w:tcW w:w="0" w:type="auto"/>
            <w:gridSpan w:val="2"/>
            <w:shd w:val="clear" w:color="auto" w:fill="FFFFFF"/>
            <w:tcMar>
              <w:top w:w="40" w:type="dxa"/>
              <w:left w:w="20" w:type="dxa"/>
              <w:bottom w:w="40" w:type="dxa"/>
              <w:right w:w="0" w:type="dxa"/>
            </w:tcMar>
            <w:vAlign w:val="bottom"/>
          </w:tcPr>
          <w:p w14:paraId="5406678F" w14:textId="77777777" w:rsidR="00611BDD" w:rsidRDefault="002E18C7">
            <w:pPr>
              <w:jc w:val="right"/>
              <w:textAlignment w:val="bottom"/>
            </w:pPr>
            <w:r>
              <w:rPr>
                <w:rFonts w:ascii="sans-serif" w:eastAsia="sans-serif" w:hAnsi="sans-serif" w:cs="sans-serif"/>
                <w:color w:val="000000"/>
                <w:sz w:val="18"/>
                <w:szCs w:val="18"/>
              </w:rPr>
              <w:t>18 </w:t>
            </w:r>
          </w:p>
        </w:tc>
        <w:tc>
          <w:tcPr>
            <w:tcW w:w="0" w:type="auto"/>
            <w:shd w:val="clear" w:color="auto" w:fill="FFFFFF"/>
            <w:tcMar>
              <w:top w:w="40" w:type="dxa"/>
              <w:left w:w="0" w:type="dxa"/>
              <w:bottom w:w="40" w:type="dxa"/>
              <w:right w:w="20" w:type="dxa"/>
            </w:tcMar>
            <w:vAlign w:val="bottom"/>
          </w:tcPr>
          <w:p w14:paraId="54066790"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791"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792" w14:textId="77777777" w:rsidR="00611BDD" w:rsidRDefault="002E18C7">
            <w:pPr>
              <w:jc w:val="right"/>
              <w:textAlignment w:val="bottom"/>
            </w:pPr>
            <w:r>
              <w:rPr>
                <w:rFonts w:ascii="sans-serif" w:eastAsia="sans-serif" w:hAnsi="sans-serif" w:cs="sans-serif"/>
                <w:color w:val="000000"/>
                <w:sz w:val="18"/>
                <w:szCs w:val="18"/>
              </w:rPr>
              <w:t>34 </w:t>
            </w:r>
          </w:p>
        </w:tc>
        <w:tc>
          <w:tcPr>
            <w:tcW w:w="0" w:type="auto"/>
            <w:shd w:val="clear" w:color="auto" w:fill="FFFFFF"/>
            <w:tcMar>
              <w:top w:w="40" w:type="dxa"/>
              <w:left w:w="0" w:type="dxa"/>
              <w:bottom w:w="40" w:type="dxa"/>
              <w:right w:w="20" w:type="dxa"/>
            </w:tcMar>
            <w:vAlign w:val="bottom"/>
          </w:tcPr>
          <w:p w14:paraId="54066793" w14:textId="77777777" w:rsidR="00611BDD" w:rsidRDefault="00611BDD">
            <w:pPr>
              <w:jc w:val="right"/>
              <w:rPr>
                <w:rFonts w:ascii="宋体"/>
              </w:rPr>
            </w:pPr>
          </w:p>
        </w:tc>
      </w:tr>
      <w:tr w:rsidR="00611BDD" w14:paraId="5406679B" w14:textId="77777777">
        <w:trPr>
          <w:jc w:val="center"/>
        </w:trPr>
        <w:tc>
          <w:tcPr>
            <w:tcW w:w="0" w:type="auto"/>
            <w:gridSpan w:val="3"/>
            <w:shd w:val="clear" w:color="auto" w:fill="E2EFD9"/>
            <w:tcMar>
              <w:top w:w="40" w:type="dxa"/>
              <w:left w:w="155" w:type="dxa"/>
              <w:bottom w:w="40" w:type="dxa"/>
              <w:right w:w="20" w:type="dxa"/>
            </w:tcMar>
            <w:vAlign w:val="bottom"/>
          </w:tcPr>
          <w:p w14:paraId="54066795" w14:textId="77777777" w:rsidR="00611BDD" w:rsidRDefault="002E18C7">
            <w:pPr>
              <w:textAlignment w:val="bottom"/>
            </w:pPr>
            <w:r>
              <w:rPr>
                <w:rFonts w:ascii="sans-serif" w:eastAsia="sans-serif" w:hAnsi="sans-serif" w:cs="sans-serif"/>
                <w:color w:val="000000"/>
                <w:sz w:val="18"/>
                <w:szCs w:val="18"/>
              </w:rPr>
              <w:t>Accounts payable</w:t>
            </w:r>
          </w:p>
        </w:tc>
        <w:tc>
          <w:tcPr>
            <w:tcW w:w="0" w:type="auto"/>
            <w:gridSpan w:val="2"/>
            <w:shd w:val="clear" w:color="auto" w:fill="E2EFD9"/>
            <w:tcMar>
              <w:top w:w="40" w:type="dxa"/>
              <w:left w:w="20" w:type="dxa"/>
              <w:bottom w:w="40" w:type="dxa"/>
              <w:right w:w="0" w:type="dxa"/>
            </w:tcMar>
            <w:vAlign w:val="bottom"/>
          </w:tcPr>
          <w:p w14:paraId="54066796" w14:textId="77777777" w:rsidR="00611BDD" w:rsidRDefault="002E18C7">
            <w:pPr>
              <w:jc w:val="right"/>
              <w:textAlignment w:val="bottom"/>
            </w:pPr>
            <w:r>
              <w:rPr>
                <w:rFonts w:ascii="sans-serif" w:eastAsia="sans-serif" w:hAnsi="sans-serif" w:cs="sans-serif"/>
                <w:color w:val="000000"/>
                <w:sz w:val="18"/>
                <w:szCs w:val="18"/>
              </w:rPr>
              <w:t>279 </w:t>
            </w:r>
          </w:p>
        </w:tc>
        <w:tc>
          <w:tcPr>
            <w:tcW w:w="0" w:type="auto"/>
            <w:shd w:val="clear" w:color="auto" w:fill="E2EFD9"/>
            <w:tcMar>
              <w:top w:w="40" w:type="dxa"/>
              <w:left w:w="0" w:type="dxa"/>
              <w:bottom w:w="40" w:type="dxa"/>
              <w:right w:w="20" w:type="dxa"/>
            </w:tcMar>
            <w:vAlign w:val="bottom"/>
          </w:tcPr>
          <w:p w14:paraId="54066797"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798"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799" w14:textId="77777777" w:rsidR="00611BDD" w:rsidRDefault="002E18C7">
            <w:pPr>
              <w:jc w:val="right"/>
              <w:textAlignment w:val="bottom"/>
            </w:pPr>
            <w:r>
              <w:rPr>
                <w:rFonts w:ascii="sans-serif" w:eastAsia="sans-serif" w:hAnsi="sans-serif" w:cs="sans-serif"/>
                <w:color w:val="000000"/>
                <w:sz w:val="18"/>
                <w:szCs w:val="18"/>
              </w:rPr>
              <w:t>63 </w:t>
            </w:r>
          </w:p>
        </w:tc>
        <w:tc>
          <w:tcPr>
            <w:tcW w:w="0" w:type="auto"/>
            <w:shd w:val="clear" w:color="auto" w:fill="E2EFD9"/>
            <w:tcMar>
              <w:top w:w="40" w:type="dxa"/>
              <w:left w:w="0" w:type="dxa"/>
              <w:bottom w:w="40" w:type="dxa"/>
              <w:right w:w="20" w:type="dxa"/>
            </w:tcMar>
            <w:vAlign w:val="bottom"/>
          </w:tcPr>
          <w:p w14:paraId="5406679A" w14:textId="77777777" w:rsidR="00611BDD" w:rsidRDefault="00611BDD">
            <w:pPr>
              <w:jc w:val="right"/>
              <w:rPr>
                <w:rFonts w:ascii="宋体"/>
              </w:rPr>
            </w:pPr>
          </w:p>
        </w:tc>
      </w:tr>
      <w:tr w:rsidR="00611BDD" w14:paraId="540667A2" w14:textId="77777777">
        <w:trPr>
          <w:jc w:val="center"/>
        </w:trPr>
        <w:tc>
          <w:tcPr>
            <w:tcW w:w="0" w:type="auto"/>
            <w:gridSpan w:val="3"/>
            <w:shd w:val="clear" w:color="auto" w:fill="FFFFFF"/>
            <w:tcMar>
              <w:top w:w="40" w:type="dxa"/>
              <w:left w:w="155" w:type="dxa"/>
              <w:bottom w:w="40" w:type="dxa"/>
              <w:right w:w="20" w:type="dxa"/>
            </w:tcMar>
            <w:vAlign w:val="bottom"/>
          </w:tcPr>
          <w:p w14:paraId="5406679C" w14:textId="77777777" w:rsidR="00611BDD" w:rsidRDefault="002E18C7">
            <w:pPr>
              <w:textAlignment w:val="bottom"/>
            </w:pPr>
            <w:r>
              <w:rPr>
                <w:rFonts w:ascii="sans-serif" w:eastAsia="sans-serif" w:hAnsi="sans-serif" w:cs="sans-serif"/>
                <w:color w:val="000000"/>
                <w:sz w:val="18"/>
                <w:szCs w:val="18"/>
              </w:rPr>
              <w:t>Accrued and other current liabilities</w:t>
            </w:r>
          </w:p>
        </w:tc>
        <w:tc>
          <w:tcPr>
            <w:tcW w:w="0" w:type="auto"/>
            <w:gridSpan w:val="2"/>
            <w:shd w:val="clear" w:color="auto" w:fill="FFFFFF"/>
            <w:tcMar>
              <w:top w:w="40" w:type="dxa"/>
              <w:left w:w="20" w:type="dxa"/>
              <w:bottom w:w="40" w:type="dxa"/>
              <w:right w:w="0" w:type="dxa"/>
            </w:tcMar>
            <w:vAlign w:val="bottom"/>
          </w:tcPr>
          <w:p w14:paraId="5406679D" w14:textId="77777777" w:rsidR="00611BDD" w:rsidRDefault="002E18C7">
            <w:pPr>
              <w:jc w:val="right"/>
              <w:textAlignment w:val="bottom"/>
            </w:pPr>
            <w:r>
              <w:rPr>
                <w:rFonts w:ascii="sans-serif" w:eastAsia="sans-serif" w:hAnsi="sans-serif" w:cs="sans-serif"/>
                <w:color w:val="000000"/>
                <w:sz w:val="18"/>
                <w:szCs w:val="18"/>
              </w:rPr>
              <w:t>132 </w:t>
            </w:r>
          </w:p>
        </w:tc>
        <w:tc>
          <w:tcPr>
            <w:tcW w:w="0" w:type="auto"/>
            <w:shd w:val="clear" w:color="auto" w:fill="FFFFFF"/>
            <w:tcMar>
              <w:top w:w="40" w:type="dxa"/>
              <w:left w:w="0" w:type="dxa"/>
              <w:bottom w:w="40" w:type="dxa"/>
              <w:right w:w="20" w:type="dxa"/>
            </w:tcMar>
            <w:vAlign w:val="bottom"/>
          </w:tcPr>
          <w:p w14:paraId="5406679E"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79F"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7A0" w14:textId="77777777" w:rsidR="00611BDD" w:rsidRDefault="002E18C7">
            <w:pPr>
              <w:jc w:val="right"/>
              <w:textAlignment w:val="bottom"/>
            </w:pPr>
            <w:r>
              <w:rPr>
                <w:rFonts w:ascii="sans-serif" w:eastAsia="sans-serif" w:hAnsi="sans-serif" w:cs="sans-serif"/>
                <w:color w:val="000000"/>
                <w:sz w:val="18"/>
                <w:szCs w:val="18"/>
              </w:rPr>
              <w:t>81 </w:t>
            </w:r>
          </w:p>
        </w:tc>
        <w:tc>
          <w:tcPr>
            <w:tcW w:w="0" w:type="auto"/>
            <w:shd w:val="clear" w:color="auto" w:fill="FFFFFF"/>
            <w:tcMar>
              <w:top w:w="40" w:type="dxa"/>
              <w:left w:w="0" w:type="dxa"/>
              <w:bottom w:w="40" w:type="dxa"/>
              <w:right w:w="20" w:type="dxa"/>
            </w:tcMar>
            <w:vAlign w:val="bottom"/>
          </w:tcPr>
          <w:p w14:paraId="540667A1" w14:textId="77777777" w:rsidR="00611BDD" w:rsidRDefault="00611BDD">
            <w:pPr>
              <w:jc w:val="right"/>
              <w:rPr>
                <w:rFonts w:ascii="宋体"/>
              </w:rPr>
            </w:pPr>
          </w:p>
        </w:tc>
      </w:tr>
      <w:tr w:rsidR="00611BDD" w14:paraId="540667A9" w14:textId="77777777">
        <w:trPr>
          <w:jc w:val="center"/>
        </w:trPr>
        <w:tc>
          <w:tcPr>
            <w:tcW w:w="0" w:type="auto"/>
            <w:gridSpan w:val="3"/>
            <w:shd w:val="clear" w:color="auto" w:fill="E2EFD9"/>
            <w:tcMar>
              <w:top w:w="40" w:type="dxa"/>
              <w:left w:w="155" w:type="dxa"/>
              <w:bottom w:w="40" w:type="dxa"/>
              <w:right w:w="20" w:type="dxa"/>
            </w:tcMar>
            <w:vAlign w:val="bottom"/>
          </w:tcPr>
          <w:p w14:paraId="540667A3" w14:textId="77777777" w:rsidR="00611BDD" w:rsidRDefault="002E18C7">
            <w:pPr>
              <w:textAlignment w:val="bottom"/>
            </w:pPr>
            <w:r>
              <w:rPr>
                <w:rFonts w:ascii="sans-serif" w:eastAsia="sans-serif" w:hAnsi="sans-serif" w:cs="sans-serif"/>
                <w:color w:val="000000"/>
                <w:sz w:val="18"/>
                <w:szCs w:val="18"/>
              </w:rPr>
              <w:t>Other long-term liabilities</w:t>
            </w:r>
          </w:p>
        </w:tc>
        <w:tc>
          <w:tcPr>
            <w:tcW w:w="0" w:type="auto"/>
            <w:gridSpan w:val="2"/>
            <w:shd w:val="clear" w:color="auto" w:fill="E2EFD9"/>
            <w:tcMar>
              <w:top w:w="40" w:type="dxa"/>
              <w:left w:w="20" w:type="dxa"/>
              <w:bottom w:w="40" w:type="dxa"/>
              <w:right w:w="0" w:type="dxa"/>
            </w:tcMar>
            <w:vAlign w:val="bottom"/>
          </w:tcPr>
          <w:p w14:paraId="540667A4" w14:textId="77777777" w:rsidR="00611BDD" w:rsidRDefault="002E18C7">
            <w:pPr>
              <w:jc w:val="right"/>
              <w:textAlignment w:val="bottom"/>
            </w:pPr>
            <w:r>
              <w:rPr>
                <w:rFonts w:ascii="sans-serif" w:eastAsia="sans-serif" w:hAnsi="sans-serif" w:cs="sans-serif"/>
                <w:color w:val="000000"/>
                <w:sz w:val="18"/>
                <w:szCs w:val="18"/>
              </w:rPr>
              <w:t>98 </w:t>
            </w:r>
          </w:p>
        </w:tc>
        <w:tc>
          <w:tcPr>
            <w:tcW w:w="0" w:type="auto"/>
            <w:shd w:val="clear" w:color="auto" w:fill="E2EFD9"/>
            <w:tcMar>
              <w:top w:w="40" w:type="dxa"/>
              <w:left w:w="0" w:type="dxa"/>
              <w:bottom w:w="40" w:type="dxa"/>
              <w:right w:w="20" w:type="dxa"/>
            </w:tcMar>
            <w:vAlign w:val="bottom"/>
          </w:tcPr>
          <w:p w14:paraId="540667A5"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7A6"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7A7" w14:textId="77777777" w:rsidR="00611BDD" w:rsidRDefault="002E18C7">
            <w:pPr>
              <w:jc w:val="right"/>
              <w:textAlignment w:val="bottom"/>
            </w:pPr>
            <w:r>
              <w:rPr>
                <w:rFonts w:ascii="sans-serif" w:eastAsia="sans-serif" w:hAnsi="sans-serif" w:cs="sans-serif"/>
                <w:color w:val="000000"/>
                <w:sz w:val="18"/>
                <w:szCs w:val="18"/>
              </w:rPr>
              <w:t>21 </w:t>
            </w:r>
          </w:p>
        </w:tc>
        <w:tc>
          <w:tcPr>
            <w:tcW w:w="0" w:type="auto"/>
            <w:shd w:val="clear" w:color="auto" w:fill="E2EFD9"/>
            <w:tcMar>
              <w:top w:w="40" w:type="dxa"/>
              <w:left w:w="0" w:type="dxa"/>
              <w:bottom w:w="40" w:type="dxa"/>
              <w:right w:w="20" w:type="dxa"/>
            </w:tcMar>
            <w:vAlign w:val="bottom"/>
          </w:tcPr>
          <w:p w14:paraId="540667A8" w14:textId="77777777" w:rsidR="00611BDD" w:rsidRDefault="00611BDD">
            <w:pPr>
              <w:jc w:val="right"/>
              <w:rPr>
                <w:rFonts w:ascii="宋体"/>
              </w:rPr>
            </w:pPr>
          </w:p>
        </w:tc>
      </w:tr>
      <w:tr w:rsidR="00611BDD" w14:paraId="540667B0" w14:textId="77777777">
        <w:trPr>
          <w:jc w:val="center"/>
        </w:trPr>
        <w:tc>
          <w:tcPr>
            <w:tcW w:w="0" w:type="auto"/>
            <w:gridSpan w:val="3"/>
            <w:shd w:val="clear" w:color="auto" w:fill="FFFFFF"/>
            <w:tcMar>
              <w:top w:w="40" w:type="dxa"/>
              <w:left w:w="20" w:type="dxa"/>
              <w:bottom w:w="40" w:type="dxa"/>
              <w:right w:w="20" w:type="dxa"/>
            </w:tcMar>
            <w:vAlign w:val="bottom"/>
          </w:tcPr>
          <w:p w14:paraId="540667AA" w14:textId="77777777" w:rsidR="00611BDD" w:rsidRDefault="002E18C7">
            <w:pPr>
              <w:textAlignment w:val="bottom"/>
            </w:pPr>
            <w:r>
              <w:rPr>
                <w:rFonts w:ascii="sans-serif" w:eastAsia="sans-serif" w:hAnsi="sans-serif" w:cs="sans-serif"/>
                <w:color w:val="000000"/>
                <w:sz w:val="18"/>
                <w:szCs w:val="18"/>
              </w:rPr>
              <w:t>Net cash provided by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7AB" w14:textId="77777777" w:rsidR="00611BDD" w:rsidRDefault="002E18C7">
            <w:pPr>
              <w:jc w:val="right"/>
              <w:textAlignment w:val="bottom"/>
            </w:pPr>
            <w:r>
              <w:rPr>
                <w:rFonts w:ascii="sans-serif" w:eastAsia="sans-serif" w:hAnsi="sans-serif" w:cs="sans-serif"/>
                <w:color w:val="000000"/>
                <w:sz w:val="18"/>
                <w:szCs w:val="18"/>
              </w:rPr>
              <w:t>4,556 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7AC"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7AD"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7AE" w14:textId="77777777" w:rsidR="00611BDD" w:rsidRDefault="002E18C7">
            <w:pPr>
              <w:jc w:val="right"/>
              <w:textAlignment w:val="bottom"/>
            </w:pPr>
            <w:r>
              <w:rPr>
                <w:rFonts w:ascii="sans-serif" w:eastAsia="sans-serif" w:hAnsi="sans-serif" w:cs="sans-serif"/>
                <w:color w:val="000000"/>
                <w:sz w:val="18"/>
                <w:szCs w:val="18"/>
              </w:rPr>
              <w:t>2,476 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7AF" w14:textId="77777777" w:rsidR="00611BDD" w:rsidRDefault="00611BDD">
            <w:pPr>
              <w:jc w:val="right"/>
              <w:rPr>
                <w:rFonts w:ascii="宋体"/>
              </w:rPr>
            </w:pPr>
          </w:p>
        </w:tc>
      </w:tr>
      <w:tr w:rsidR="00611BDD" w14:paraId="540667B5" w14:textId="77777777">
        <w:trPr>
          <w:jc w:val="center"/>
        </w:trPr>
        <w:tc>
          <w:tcPr>
            <w:tcW w:w="0" w:type="auto"/>
            <w:gridSpan w:val="3"/>
            <w:shd w:val="clear" w:color="auto" w:fill="E2EFD9"/>
            <w:tcMar>
              <w:top w:w="40" w:type="dxa"/>
              <w:left w:w="20" w:type="dxa"/>
              <w:bottom w:w="40" w:type="dxa"/>
              <w:right w:w="20" w:type="dxa"/>
            </w:tcMar>
            <w:vAlign w:val="bottom"/>
          </w:tcPr>
          <w:p w14:paraId="540667B1" w14:textId="77777777" w:rsidR="00611BDD" w:rsidRDefault="002E18C7">
            <w:pPr>
              <w:textAlignment w:val="bottom"/>
            </w:pPr>
            <w:r>
              <w:rPr>
                <w:rFonts w:ascii="sans-serif" w:eastAsia="sans-serif" w:hAnsi="sans-serif" w:cs="sans-serif"/>
                <w:color w:val="000000"/>
                <w:sz w:val="18"/>
                <w:szCs w:val="18"/>
              </w:rPr>
              <w:t>Cash flows from investing activities:</w:t>
            </w: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540667B2" w14:textId="77777777" w:rsidR="00611BDD" w:rsidRDefault="002E18C7">
            <w:pPr>
              <w:textAlignment w:val="bottom"/>
            </w:pPr>
            <w:r>
              <w:rPr>
                <w:rFonts w:ascii="sans-serif" w:eastAsia="sans-serif" w:hAnsi="sans-serif" w:cs="sans-serif"/>
                <w:color w:val="000000"/>
                <w:sz w:val="18"/>
                <w:szCs w:val="18"/>
              </w:rPr>
              <w:t> </w:t>
            </w:r>
          </w:p>
        </w:tc>
        <w:tc>
          <w:tcPr>
            <w:tcW w:w="0" w:type="auto"/>
            <w:gridSpan w:val="3"/>
            <w:shd w:val="clear" w:color="auto" w:fill="E2EFD9"/>
            <w:tcMar>
              <w:top w:w="0" w:type="dxa"/>
              <w:left w:w="20" w:type="dxa"/>
              <w:bottom w:w="0" w:type="dxa"/>
              <w:right w:w="20" w:type="dxa"/>
            </w:tcMar>
            <w:vAlign w:val="bottom"/>
          </w:tcPr>
          <w:p w14:paraId="540667B3" w14:textId="77777777" w:rsidR="00611BDD" w:rsidRDefault="00611BDD">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540667B4" w14:textId="77777777" w:rsidR="00611BDD" w:rsidRDefault="002E18C7">
            <w:pPr>
              <w:textAlignment w:val="bottom"/>
            </w:pPr>
            <w:r>
              <w:rPr>
                <w:rFonts w:ascii="sans-serif" w:eastAsia="sans-serif" w:hAnsi="sans-serif" w:cs="sans-serif"/>
                <w:color w:val="000000"/>
                <w:sz w:val="18"/>
                <w:szCs w:val="18"/>
              </w:rPr>
              <w:t> </w:t>
            </w:r>
          </w:p>
        </w:tc>
      </w:tr>
      <w:tr w:rsidR="00611BDD" w14:paraId="540667BC" w14:textId="77777777">
        <w:trPr>
          <w:jc w:val="center"/>
        </w:trPr>
        <w:tc>
          <w:tcPr>
            <w:tcW w:w="0" w:type="auto"/>
            <w:gridSpan w:val="3"/>
            <w:shd w:val="clear" w:color="auto" w:fill="FFFFFF"/>
            <w:tcMar>
              <w:top w:w="40" w:type="dxa"/>
              <w:left w:w="155" w:type="dxa"/>
              <w:bottom w:w="40" w:type="dxa"/>
              <w:right w:w="20" w:type="dxa"/>
            </w:tcMar>
            <w:vAlign w:val="bottom"/>
          </w:tcPr>
          <w:p w14:paraId="540667B6" w14:textId="77777777" w:rsidR="00611BDD" w:rsidRDefault="002E18C7">
            <w:pPr>
              <w:textAlignment w:val="bottom"/>
            </w:pPr>
            <w:r>
              <w:rPr>
                <w:rFonts w:ascii="sans-serif" w:eastAsia="sans-serif" w:hAnsi="sans-serif" w:cs="sans-serif"/>
                <w:color w:val="000000"/>
                <w:sz w:val="18"/>
                <w:szCs w:val="18"/>
              </w:rPr>
              <w:t xml:space="preserve">Proceeds from maturities of marketable </w:t>
            </w:r>
            <w:r>
              <w:rPr>
                <w:rFonts w:ascii="sans-serif" w:eastAsia="sans-serif" w:hAnsi="sans-serif" w:cs="sans-serif"/>
                <w:color w:val="000000"/>
                <w:sz w:val="18"/>
                <w:szCs w:val="18"/>
              </w:rPr>
              <w:t>securities</w:t>
            </w:r>
          </w:p>
        </w:tc>
        <w:tc>
          <w:tcPr>
            <w:tcW w:w="0" w:type="auto"/>
            <w:gridSpan w:val="2"/>
            <w:shd w:val="clear" w:color="auto" w:fill="FFFFFF"/>
            <w:tcMar>
              <w:top w:w="40" w:type="dxa"/>
              <w:left w:w="20" w:type="dxa"/>
              <w:bottom w:w="40" w:type="dxa"/>
              <w:right w:w="0" w:type="dxa"/>
            </w:tcMar>
            <w:vAlign w:val="bottom"/>
          </w:tcPr>
          <w:p w14:paraId="540667B7" w14:textId="77777777" w:rsidR="00611BDD" w:rsidRDefault="002E18C7">
            <w:pPr>
              <w:jc w:val="right"/>
              <w:textAlignment w:val="bottom"/>
            </w:pPr>
            <w:r>
              <w:rPr>
                <w:rFonts w:ascii="sans-serif" w:eastAsia="sans-serif" w:hAnsi="sans-serif" w:cs="sans-serif"/>
                <w:color w:val="000000"/>
                <w:sz w:val="18"/>
                <w:szCs w:val="18"/>
              </w:rPr>
              <w:t>5,236 </w:t>
            </w:r>
          </w:p>
        </w:tc>
        <w:tc>
          <w:tcPr>
            <w:tcW w:w="0" w:type="auto"/>
            <w:shd w:val="clear" w:color="auto" w:fill="FFFFFF"/>
            <w:tcMar>
              <w:top w:w="40" w:type="dxa"/>
              <w:left w:w="0" w:type="dxa"/>
              <w:bottom w:w="40" w:type="dxa"/>
              <w:right w:w="20" w:type="dxa"/>
            </w:tcMar>
            <w:vAlign w:val="bottom"/>
          </w:tcPr>
          <w:p w14:paraId="540667B8"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7B9"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7BA" w14:textId="77777777" w:rsidR="00611BDD" w:rsidRDefault="002E18C7">
            <w:pPr>
              <w:jc w:val="right"/>
              <w:textAlignment w:val="bottom"/>
            </w:pPr>
            <w:r>
              <w:rPr>
                <w:rFonts w:ascii="sans-serif" w:eastAsia="sans-serif" w:hAnsi="sans-serif" w:cs="sans-serif"/>
                <w:color w:val="000000"/>
                <w:sz w:val="18"/>
                <w:szCs w:val="18"/>
              </w:rPr>
              <w:t>1,032 </w:t>
            </w:r>
          </w:p>
        </w:tc>
        <w:tc>
          <w:tcPr>
            <w:tcW w:w="0" w:type="auto"/>
            <w:shd w:val="clear" w:color="auto" w:fill="FFFFFF"/>
            <w:tcMar>
              <w:top w:w="40" w:type="dxa"/>
              <w:left w:w="0" w:type="dxa"/>
              <w:bottom w:w="40" w:type="dxa"/>
              <w:right w:w="20" w:type="dxa"/>
            </w:tcMar>
            <w:vAlign w:val="bottom"/>
          </w:tcPr>
          <w:p w14:paraId="540667BB" w14:textId="77777777" w:rsidR="00611BDD" w:rsidRDefault="00611BDD">
            <w:pPr>
              <w:jc w:val="right"/>
              <w:rPr>
                <w:rFonts w:ascii="宋体"/>
              </w:rPr>
            </w:pPr>
          </w:p>
        </w:tc>
      </w:tr>
      <w:tr w:rsidR="00611BDD" w14:paraId="540667C3" w14:textId="77777777">
        <w:trPr>
          <w:jc w:val="center"/>
        </w:trPr>
        <w:tc>
          <w:tcPr>
            <w:tcW w:w="0" w:type="auto"/>
            <w:gridSpan w:val="3"/>
            <w:shd w:val="clear" w:color="auto" w:fill="E2EFD9"/>
            <w:tcMar>
              <w:top w:w="40" w:type="dxa"/>
              <w:left w:w="155" w:type="dxa"/>
              <w:bottom w:w="40" w:type="dxa"/>
              <w:right w:w="20" w:type="dxa"/>
            </w:tcMar>
            <w:vAlign w:val="bottom"/>
          </w:tcPr>
          <w:p w14:paraId="540667BD" w14:textId="77777777" w:rsidR="00611BDD" w:rsidRDefault="002E18C7">
            <w:pPr>
              <w:textAlignment w:val="bottom"/>
            </w:pPr>
            <w:r>
              <w:rPr>
                <w:rFonts w:ascii="sans-serif" w:eastAsia="sans-serif" w:hAnsi="sans-serif" w:cs="sans-serif"/>
                <w:color w:val="000000"/>
                <w:sz w:val="18"/>
                <w:szCs w:val="18"/>
              </w:rPr>
              <w:t>Proceeds from sales of marketable securities</w:t>
            </w:r>
          </w:p>
        </w:tc>
        <w:tc>
          <w:tcPr>
            <w:tcW w:w="0" w:type="auto"/>
            <w:gridSpan w:val="2"/>
            <w:shd w:val="clear" w:color="auto" w:fill="E2EFD9"/>
            <w:tcMar>
              <w:top w:w="40" w:type="dxa"/>
              <w:left w:w="20" w:type="dxa"/>
              <w:bottom w:w="40" w:type="dxa"/>
              <w:right w:w="0" w:type="dxa"/>
            </w:tcMar>
            <w:vAlign w:val="bottom"/>
          </w:tcPr>
          <w:p w14:paraId="540667BE" w14:textId="77777777" w:rsidR="00611BDD" w:rsidRDefault="002E18C7">
            <w:pPr>
              <w:jc w:val="right"/>
              <w:textAlignment w:val="bottom"/>
            </w:pPr>
            <w:r>
              <w:rPr>
                <w:rFonts w:ascii="sans-serif" w:eastAsia="sans-serif" w:hAnsi="sans-serif" w:cs="sans-serif"/>
                <w:color w:val="000000"/>
                <w:sz w:val="18"/>
                <w:szCs w:val="18"/>
              </w:rPr>
              <w:t>705 </w:t>
            </w:r>
          </w:p>
        </w:tc>
        <w:tc>
          <w:tcPr>
            <w:tcW w:w="0" w:type="auto"/>
            <w:shd w:val="clear" w:color="auto" w:fill="E2EFD9"/>
            <w:tcMar>
              <w:top w:w="40" w:type="dxa"/>
              <w:left w:w="0" w:type="dxa"/>
              <w:bottom w:w="40" w:type="dxa"/>
              <w:right w:w="20" w:type="dxa"/>
            </w:tcMar>
            <w:vAlign w:val="bottom"/>
          </w:tcPr>
          <w:p w14:paraId="540667BF"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7C0"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7C1" w14:textId="77777777" w:rsidR="00611BDD" w:rsidRDefault="002E18C7">
            <w:pPr>
              <w:jc w:val="right"/>
              <w:textAlignment w:val="bottom"/>
            </w:pPr>
            <w:r>
              <w:rPr>
                <w:rFonts w:ascii="sans-serif" w:eastAsia="sans-serif" w:hAnsi="sans-serif" w:cs="sans-serif"/>
                <w:color w:val="000000"/>
                <w:sz w:val="18"/>
                <w:szCs w:val="18"/>
              </w:rPr>
              <w:t>259 </w:t>
            </w:r>
          </w:p>
        </w:tc>
        <w:tc>
          <w:tcPr>
            <w:tcW w:w="0" w:type="auto"/>
            <w:shd w:val="clear" w:color="auto" w:fill="E2EFD9"/>
            <w:tcMar>
              <w:top w:w="40" w:type="dxa"/>
              <w:left w:w="0" w:type="dxa"/>
              <w:bottom w:w="40" w:type="dxa"/>
              <w:right w:w="20" w:type="dxa"/>
            </w:tcMar>
            <w:vAlign w:val="bottom"/>
          </w:tcPr>
          <w:p w14:paraId="540667C2" w14:textId="77777777" w:rsidR="00611BDD" w:rsidRDefault="00611BDD">
            <w:pPr>
              <w:jc w:val="right"/>
              <w:rPr>
                <w:rFonts w:ascii="宋体"/>
              </w:rPr>
            </w:pPr>
          </w:p>
        </w:tc>
      </w:tr>
      <w:tr w:rsidR="00611BDD" w14:paraId="540667C8" w14:textId="77777777">
        <w:trPr>
          <w:jc w:val="center"/>
          <w:hidden/>
        </w:trPr>
        <w:tc>
          <w:tcPr>
            <w:tcW w:w="0" w:type="auto"/>
            <w:gridSpan w:val="3"/>
            <w:shd w:val="clear" w:color="auto" w:fill="auto"/>
            <w:vAlign w:val="bottom"/>
          </w:tcPr>
          <w:p w14:paraId="540667C4" w14:textId="77777777" w:rsidR="00611BDD" w:rsidRDefault="00611BDD">
            <w:pPr>
              <w:rPr>
                <w:rFonts w:ascii="宋体"/>
                <w:vanish/>
              </w:rPr>
            </w:pPr>
          </w:p>
        </w:tc>
        <w:tc>
          <w:tcPr>
            <w:tcW w:w="0" w:type="auto"/>
            <w:gridSpan w:val="3"/>
            <w:shd w:val="clear" w:color="auto" w:fill="auto"/>
            <w:vAlign w:val="bottom"/>
          </w:tcPr>
          <w:p w14:paraId="540667C5" w14:textId="77777777" w:rsidR="00611BDD" w:rsidRDefault="00611BDD">
            <w:pPr>
              <w:rPr>
                <w:rFonts w:ascii="宋体"/>
                <w:vanish/>
              </w:rPr>
            </w:pPr>
          </w:p>
        </w:tc>
        <w:tc>
          <w:tcPr>
            <w:tcW w:w="0" w:type="auto"/>
            <w:gridSpan w:val="3"/>
            <w:shd w:val="clear" w:color="auto" w:fill="auto"/>
            <w:vAlign w:val="bottom"/>
          </w:tcPr>
          <w:p w14:paraId="540667C6" w14:textId="77777777" w:rsidR="00611BDD" w:rsidRDefault="00611BDD">
            <w:pPr>
              <w:rPr>
                <w:rFonts w:ascii="宋体"/>
                <w:vanish/>
              </w:rPr>
            </w:pPr>
          </w:p>
        </w:tc>
        <w:tc>
          <w:tcPr>
            <w:tcW w:w="0" w:type="auto"/>
            <w:gridSpan w:val="3"/>
            <w:shd w:val="clear" w:color="auto" w:fill="auto"/>
            <w:vAlign w:val="bottom"/>
          </w:tcPr>
          <w:p w14:paraId="540667C7" w14:textId="77777777" w:rsidR="00611BDD" w:rsidRDefault="00611BDD">
            <w:pPr>
              <w:rPr>
                <w:rFonts w:ascii="宋体"/>
                <w:vanish/>
              </w:rPr>
            </w:pPr>
          </w:p>
        </w:tc>
      </w:tr>
      <w:tr w:rsidR="00611BDD" w14:paraId="540667CF" w14:textId="77777777">
        <w:trPr>
          <w:jc w:val="center"/>
        </w:trPr>
        <w:tc>
          <w:tcPr>
            <w:tcW w:w="0" w:type="auto"/>
            <w:gridSpan w:val="3"/>
            <w:shd w:val="clear" w:color="auto" w:fill="FFFFFF"/>
            <w:tcMar>
              <w:top w:w="40" w:type="dxa"/>
              <w:left w:w="155" w:type="dxa"/>
              <w:bottom w:w="40" w:type="dxa"/>
              <w:right w:w="20" w:type="dxa"/>
            </w:tcMar>
            <w:vAlign w:val="bottom"/>
          </w:tcPr>
          <w:p w14:paraId="540667C9" w14:textId="77777777" w:rsidR="00611BDD" w:rsidRDefault="002E18C7">
            <w:pPr>
              <w:textAlignment w:val="bottom"/>
            </w:pPr>
            <w:r>
              <w:rPr>
                <w:rFonts w:ascii="sans-serif" w:eastAsia="sans-serif" w:hAnsi="sans-serif" w:cs="sans-serif"/>
                <w:color w:val="000000"/>
                <w:sz w:val="18"/>
                <w:szCs w:val="18"/>
              </w:rPr>
              <w:t>Purchases of marketable securities</w:t>
            </w:r>
          </w:p>
        </w:tc>
        <w:tc>
          <w:tcPr>
            <w:tcW w:w="0" w:type="auto"/>
            <w:gridSpan w:val="2"/>
            <w:shd w:val="clear" w:color="auto" w:fill="FFFFFF"/>
            <w:tcMar>
              <w:top w:w="40" w:type="dxa"/>
              <w:left w:w="20" w:type="dxa"/>
              <w:bottom w:w="40" w:type="dxa"/>
              <w:right w:w="0" w:type="dxa"/>
            </w:tcMar>
            <w:vAlign w:val="bottom"/>
          </w:tcPr>
          <w:p w14:paraId="540667CA" w14:textId="77777777" w:rsidR="00611BDD" w:rsidRDefault="002E18C7">
            <w:pPr>
              <w:jc w:val="right"/>
              <w:textAlignment w:val="bottom"/>
            </w:pPr>
            <w:r>
              <w:rPr>
                <w:rFonts w:ascii="sans-serif" w:eastAsia="sans-serif" w:hAnsi="sans-serif" w:cs="sans-serif"/>
                <w:color w:val="000000"/>
                <w:sz w:val="18"/>
                <w:szCs w:val="18"/>
              </w:rPr>
              <w:t>(9,268)</w:t>
            </w:r>
          </w:p>
        </w:tc>
        <w:tc>
          <w:tcPr>
            <w:tcW w:w="0" w:type="auto"/>
            <w:shd w:val="clear" w:color="auto" w:fill="FFFFFF"/>
            <w:tcMar>
              <w:top w:w="40" w:type="dxa"/>
              <w:left w:w="0" w:type="dxa"/>
              <w:bottom w:w="40" w:type="dxa"/>
              <w:right w:w="20" w:type="dxa"/>
            </w:tcMar>
            <w:vAlign w:val="bottom"/>
          </w:tcPr>
          <w:p w14:paraId="540667CB"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7CC"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7CD" w14:textId="77777777" w:rsidR="00611BDD" w:rsidRDefault="002E18C7">
            <w:pPr>
              <w:jc w:val="right"/>
              <w:textAlignment w:val="bottom"/>
            </w:pPr>
            <w:r>
              <w:rPr>
                <w:rFonts w:ascii="sans-serif" w:eastAsia="sans-serif" w:hAnsi="sans-serif" w:cs="sans-serif"/>
                <w:color w:val="000000"/>
                <w:sz w:val="18"/>
                <w:szCs w:val="18"/>
              </w:rPr>
              <w:t>(8,286)</w:t>
            </w:r>
          </w:p>
        </w:tc>
        <w:tc>
          <w:tcPr>
            <w:tcW w:w="0" w:type="auto"/>
            <w:shd w:val="clear" w:color="auto" w:fill="FFFFFF"/>
            <w:tcMar>
              <w:top w:w="40" w:type="dxa"/>
              <w:left w:w="0" w:type="dxa"/>
              <w:bottom w:w="40" w:type="dxa"/>
              <w:right w:w="20" w:type="dxa"/>
            </w:tcMar>
            <w:vAlign w:val="bottom"/>
          </w:tcPr>
          <w:p w14:paraId="540667CE" w14:textId="77777777" w:rsidR="00611BDD" w:rsidRDefault="00611BDD">
            <w:pPr>
              <w:jc w:val="right"/>
              <w:rPr>
                <w:rFonts w:ascii="宋体"/>
              </w:rPr>
            </w:pPr>
          </w:p>
        </w:tc>
      </w:tr>
      <w:tr w:rsidR="00611BDD" w14:paraId="540667D6" w14:textId="77777777">
        <w:trPr>
          <w:jc w:val="center"/>
        </w:trPr>
        <w:tc>
          <w:tcPr>
            <w:tcW w:w="0" w:type="auto"/>
            <w:gridSpan w:val="3"/>
            <w:shd w:val="clear" w:color="auto" w:fill="E2EFD9"/>
            <w:tcMar>
              <w:top w:w="40" w:type="dxa"/>
              <w:left w:w="155" w:type="dxa"/>
              <w:bottom w:w="40" w:type="dxa"/>
              <w:right w:w="20" w:type="dxa"/>
            </w:tcMar>
            <w:vAlign w:val="bottom"/>
          </w:tcPr>
          <w:p w14:paraId="540667D0" w14:textId="77777777" w:rsidR="00611BDD" w:rsidRDefault="002E18C7">
            <w:pPr>
              <w:textAlignment w:val="bottom"/>
            </w:pPr>
            <w:r>
              <w:rPr>
                <w:rFonts w:ascii="sans-serif" w:eastAsia="sans-serif" w:hAnsi="sans-serif" w:cs="sans-serif"/>
                <w:color w:val="000000"/>
                <w:sz w:val="18"/>
                <w:szCs w:val="18"/>
              </w:rPr>
              <w:t>Purchases related to property and equipment and intangible assets</w:t>
            </w:r>
          </w:p>
        </w:tc>
        <w:tc>
          <w:tcPr>
            <w:tcW w:w="0" w:type="auto"/>
            <w:gridSpan w:val="2"/>
            <w:shd w:val="clear" w:color="auto" w:fill="E2EFD9"/>
            <w:tcMar>
              <w:top w:w="40" w:type="dxa"/>
              <w:left w:w="20" w:type="dxa"/>
              <w:bottom w:w="40" w:type="dxa"/>
              <w:right w:w="0" w:type="dxa"/>
            </w:tcMar>
            <w:vAlign w:val="bottom"/>
          </w:tcPr>
          <w:p w14:paraId="540667D1" w14:textId="77777777" w:rsidR="00611BDD" w:rsidRDefault="002E18C7">
            <w:pPr>
              <w:jc w:val="right"/>
              <w:textAlignment w:val="bottom"/>
            </w:pPr>
            <w:r>
              <w:rPr>
                <w:rFonts w:ascii="sans-serif" w:eastAsia="sans-serif" w:hAnsi="sans-serif" w:cs="sans-serif"/>
                <w:color w:val="000000"/>
                <w:sz w:val="18"/>
                <w:szCs w:val="18"/>
              </w:rPr>
              <w:t>(481)</w:t>
            </w:r>
          </w:p>
        </w:tc>
        <w:tc>
          <w:tcPr>
            <w:tcW w:w="0" w:type="auto"/>
            <w:shd w:val="clear" w:color="auto" w:fill="E2EFD9"/>
            <w:tcMar>
              <w:top w:w="40" w:type="dxa"/>
              <w:left w:w="0" w:type="dxa"/>
              <w:bottom w:w="40" w:type="dxa"/>
              <w:right w:w="20" w:type="dxa"/>
            </w:tcMar>
            <w:vAlign w:val="bottom"/>
          </w:tcPr>
          <w:p w14:paraId="540667D2"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7D3"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7D4" w14:textId="77777777" w:rsidR="00611BDD" w:rsidRDefault="002E18C7">
            <w:pPr>
              <w:jc w:val="right"/>
              <w:textAlignment w:val="bottom"/>
            </w:pPr>
            <w:r>
              <w:rPr>
                <w:rFonts w:ascii="sans-serif" w:eastAsia="sans-serif" w:hAnsi="sans-serif" w:cs="sans-serif"/>
                <w:color w:val="000000"/>
                <w:sz w:val="18"/>
                <w:szCs w:val="18"/>
              </w:rPr>
              <w:t>(372)</w:t>
            </w:r>
          </w:p>
        </w:tc>
        <w:tc>
          <w:tcPr>
            <w:tcW w:w="0" w:type="auto"/>
            <w:shd w:val="clear" w:color="auto" w:fill="E2EFD9"/>
            <w:tcMar>
              <w:top w:w="40" w:type="dxa"/>
              <w:left w:w="0" w:type="dxa"/>
              <w:bottom w:w="40" w:type="dxa"/>
              <w:right w:w="20" w:type="dxa"/>
            </w:tcMar>
            <w:vAlign w:val="bottom"/>
          </w:tcPr>
          <w:p w14:paraId="540667D5" w14:textId="77777777" w:rsidR="00611BDD" w:rsidRDefault="00611BDD">
            <w:pPr>
              <w:jc w:val="right"/>
              <w:rPr>
                <w:rFonts w:ascii="宋体"/>
              </w:rPr>
            </w:pPr>
          </w:p>
        </w:tc>
      </w:tr>
      <w:tr w:rsidR="00611BDD" w14:paraId="540667DD" w14:textId="77777777">
        <w:trPr>
          <w:jc w:val="center"/>
        </w:trPr>
        <w:tc>
          <w:tcPr>
            <w:tcW w:w="0" w:type="auto"/>
            <w:gridSpan w:val="3"/>
            <w:shd w:val="clear" w:color="auto" w:fill="FFFFFF"/>
            <w:tcMar>
              <w:top w:w="40" w:type="dxa"/>
              <w:left w:w="155" w:type="dxa"/>
              <w:bottom w:w="40" w:type="dxa"/>
              <w:right w:w="20" w:type="dxa"/>
            </w:tcMar>
            <w:vAlign w:val="bottom"/>
          </w:tcPr>
          <w:p w14:paraId="540667D7" w14:textId="77777777" w:rsidR="00611BDD" w:rsidRDefault="002E18C7">
            <w:pPr>
              <w:textAlignment w:val="bottom"/>
            </w:pPr>
            <w:r>
              <w:rPr>
                <w:rFonts w:ascii="sans-serif" w:eastAsia="sans-serif" w:hAnsi="sans-serif" w:cs="sans-serif"/>
                <w:color w:val="000000"/>
                <w:sz w:val="18"/>
                <w:szCs w:val="18"/>
              </w:rPr>
              <w:t xml:space="preserve">Investments and </w:t>
            </w:r>
            <w:r>
              <w:rPr>
                <w:rFonts w:ascii="sans-serif" w:eastAsia="sans-serif" w:hAnsi="sans-serif" w:cs="sans-serif"/>
                <w:color w:val="000000"/>
                <w:sz w:val="18"/>
                <w:szCs w:val="18"/>
              </w:rPr>
              <w:t>other, net</w:t>
            </w:r>
          </w:p>
        </w:tc>
        <w:tc>
          <w:tcPr>
            <w:tcW w:w="0" w:type="auto"/>
            <w:gridSpan w:val="2"/>
            <w:shd w:val="clear" w:color="auto" w:fill="FFFFFF"/>
            <w:tcMar>
              <w:top w:w="40" w:type="dxa"/>
              <w:left w:w="20" w:type="dxa"/>
              <w:bottom w:w="40" w:type="dxa"/>
              <w:right w:w="0" w:type="dxa"/>
            </w:tcMar>
            <w:vAlign w:val="bottom"/>
          </w:tcPr>
          <w:p w14:paraId="540667D8" w14:textId="77777777" w:rsidR="00611BDD" w:rsidRDefault="002E18C7">
            <w:pPr>
              <w:jc w:val="right"/>
              <w:textAlignment w:val="bottom"/>
            </w:pPr>
            <w:r>
              <w:rPr>
                <w:rFonts w:ascii="sans-serif" w:eastAsia="sans-serif" w:hAnsi="sans-serif" w:cs="sans-serif"/>
                <w:color w:val="000000"/>
                <w:sz w:val="18"/>
                <w:szCs w:val="18"/>
              </w:rPr>
              <w:t>3 </w:t>
            </w:r>
          </w:p>
        </w:tc>
        <w:tc>
          <w:tcPr>
            <w:tcW w:w="0" w:type="auto"/>
            <w:shd w:val="clear" w:color="auto" w:fill="FFFFFF"/>
            <w:tcMar>
              <w:top w:w="40" w:type="dxa"/>
              <w:left w:w="0" w:type="dxa"/>
              <w:bottom w:w="40" w:type="dxa"/>
              <w:right w:w="20" w:type="dxa"/>
            </w:tcMar>
            <w:vAlign w:val="bottom"/>
          </w:tcPr>
          <w:p w14:paraId="540667D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7DA"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7DB" w14:textId="77777777" w:rsidR="00611BDD" w:rsidRDefault="002E18C7">
            <w:pPr>
              <w:jc w:val="right"/>
              <w:textAlignment w:val="bottom"/>
            </w:pPr>
            <w:r>
              <w:rPr>
                <w:rFonts w:ascii="sans-serif" w:eastAsia="sans-serif" w:hAnsi="sans-serif" w:cs="sans-serif"/>
                <w:color w:val="000000"/>
                <w:sz w:val="18"/>
                <w:szCs w:val="18"/>
              </w:rPr>
              <w:t>(7)</w:t>
            </w:r>
          </w:p>
        </w:tc>
        <w:tc>
          <w:tcPr>
            <w:tcW w:w="0" w:type="auto"/>
            <w:shd w:val="clear" w:color="auto" w:fill="FFFFFF"/>
            <w:tcMar>
              <w:top w:w="40" w:type="dxa"/>
              <w:left w:w="0" w:type="dxa"/>
              <w:bottom w:w="40" w:type="dxa"/>
              <w:right w:w="20" w:type="dxa"/>
            </w:tcMar>
            <w:vAlign w:val="bottom"/>
          </w:tcPr>
          <w:p w14:paraId="540667DC" w14:textId="77777777" w:rsidR="00611BDD" w:rsidRDefault="00611BDD">
            <w:pPr>
              <w:jc w:val="right"/>
              <w:rPr>
                <w:rFonts w:ascii="宋体"/>
              </w:rPr>
            </w:pPr>
          </w:p>
        </w:tc>
      </w:tr>
      <w:tr w:rsidR="00611BDD" w14:paraId="540667E4" w14:textId="77777777">
        <w:trPr>
          <w:jc w:val="center"/>
        </w:trPr>
        <w:tc>
          <w:tcPr>
            <w:tcW w:w="0" w:type="auto"/>
            <w:gridSpan w:val="3"/>
            <w:shd w:val="clear" w:color="auto" w:fill="E2EFD9"/>
            <w:tcMar>
              <w:top w:w="40" w:type="dxa"/>
              <w:left w:w="155" w:type="dxa"/>
              <w:bottom w:w="40" w:type="dxa"/>
              <w:right w:w="20" w:type="dxa"/>
            </w:tcMar>
            <w:vAlign w:val="bottom"/>
          </w:tcPr>
          <w:p w14:paraId="540667DE" w14:textId="77777777" w:rsidR="00611BDD" w:rsidRDefault="002E18C7">
            <w:pPr>
              <w:textAlignment w:val="bottom"/>
            </w:pPr>
            <w:r>
              <w:rPr>
                <w:rFonts w:ascii="sans-serif" w:eastAsia="sans-serif" w:hAnsi="sans-serif" w:cs="sans-serif"/>
                <w:color w:val="000000"/>
                <w:sz w:val="18"/>
                <w:szCs w:val="18"/>
              </w:rPr>
              <w:t>Acquisitions, net of cash acquired</w:t>
            </w:r>
          </w:p>
        </w:tc>
        <w:tc>
          <w:tcPr>
            <w:tcW w:w="0" w:type="auto"/>
            <w:gridSpan w:val="2"/>
            <w:shd w:val="clear" w:color="auto" w:fill="E2EFD9"/>
            <w:tcMar>
              <w:top w:w="40" w:type="dxa"/>
              <w:left w:w="20" w:type="dxa"/>
              <w:bottom w:w="40" w:type="dxa"/>
              <w:right w:w="0" w:type="dxa"/>
            </w:tcMar>
            <w:vAlign w:val="bottom"/>
          </w:tcPr>
          <w:p w14:paraId="540667DF" w14:textId="77777777" w:rsidR="00611BDD" w:rsidRDefault="002E18C7">
            <w:pPr>
              <w:jc w:val="right"/>
              <w:textAlignment w:val="bottom"/>
            </w:pPr>
            <w:r>
              <w:rPr>
                <w:rFonts w:ascii="sans-serif" w:eastAsia="sans-serif" w:hAnsi="sans-serif" w:cs="sans-serif"/>
                <w:color w:val="000000"/>
                <w:sz w:val="18"/>
                <w:szCs w:val="18"/>
              </w:rPr>
              <w:t>— </w:t>
            </w:r>
          </w:p>
        </w:tc>
        <w:tc>
          <w:tcPr>
            <w:tcW w:w="0" w:type="auto"/>
            <w:shd w:val="clear" w:color="auto" w:fill="E2EFD9"/>
            <w:tcMar>
              <w:top w:w="40" w:type="dxa"/>
              <w:left w:w="0" w:type="dxa"/>
              <w:bottom w:w="40" w:type="dxa"/>
              <w:right w:w="20" w:type="dxa"/>
            </w:tcMar>
            <w:vAlign w:val="bottom"/>
          </w:tcPr>
          <w:p w14:paraId="540667E0"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7E1"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7E2" w14:textId="77777777" w:rsidR="00611BDD" w:rsidRDefault="002E18C7">
            <w:pPr>
              <w:jc w:val="right"/>
              <w:textAlignment w:val="bottom"/>
            </w:pPr>
            <w:r>
              <w:rPr>
                <w:rFonts w:ascii="sans-serif" w:eastAsia="sans-serif" w:hAnsi="sans-serif" w:cs="sans-serif"/>
                <w:color w:val="000000"/>
                <w:sz w:val="18"/>
                <w:szCs w:val="18"/>
              </w:rPr>
              <w:t>(7,171)</w:t>
            </w:r>
          </w:p>
        </w:tc>
        <w:tc>
          <w:tcPr>
            <w:tcW w:w="0" w:type="auto"/>
            <w:shd w:val="clear" w:color="auto" w:fill="E2EFD9"/>
            <w:tcMar>
              <w:top w:w="40" w:type="dxa"/>
              <w:left w:w="0" w:type="dxa"/>
              <w:bottom w:w="40" w:type="dxa"/>
              <w:right w:w="20" w:type="dxa"/>
            </w:tcMar>
            <w:vAlign w:val="bottom"/>
          </w:tcPr>
          <w:p w14:paraId="540667E3" w14:textId="77777777" w:rsidR="00611BDD" w:rsidRDefault="00611BDD">
            <w:pPr>
              <w:jc w:val="right"/>
              <w:rPr>
                <w:rFonts w:ascii="宋体"/>
              </w:rPr>
            </w:pPr>
          </w:p>
        </w:tc>
      </w:tr>
      <w:tr w:rsidR="00611BDD" w14:paraId="540667EB" w14:textId="77777777">
        <w:trPr>
          <w:jc w:val="center"/>
        </w:trPr>
        <w:tc>
          <w:tcPr>
            <w:tcW w:w="0" w:type="auto"/>
            <w:gridSpan w:val="3"/>
            <w:shd w:val="clear" w:color="auto" w:fill="FFFFFF"/>
            <w:tcMar>
              <w:top w:w="40" w:type="dxa"/>
              <w:left w:w="20" w:type="dxa"/>
              <w:bottom w:w="40" w:type="dxa"/>
              <w:right w:w="20" w:type="dxa"/>
            </w:tcMar>
            <w:vAlign w:val="bottom"/>
          </w:tcPr>
          <w:p w14:paraId="540667E5" w14:textId="77777777" w:rsidR="00611BDD" w:rsidRDefault="002E18C7">
            <w:pPr>
              <w:textAlignment w:val="bottom"/>
            </w:pPr>
            <w:r>
              <w:rPr>
                <w:rFonts w:ascii="sans-serif" w:eastAsia="sans-serif" w:hAnsi="sans-serif" w:cs="sans-serif"/>
                <w:color w:val="000000"/>
                <w:sz w:val="18"/>
                <w:szCs w:val="18"/>
              </w:rPr>
              <w:t>Net cash used in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7E6" w14:textId="77777777" w:rsidR="00611BDD" w:rsidRDefault="002E18C7">
            <w:pPr>
              <w:jc w:val="right"/>
              <w:textAlignment w:val="bottom"/>
            </w:pPr>
            <w:r>
              <w:rPr>
                <w:rFonts w:ascii="sans-serif" w:eastAsia="sans-serif" w:hAnsi="sans-serif" w:cs="sans-serif"/>
                <w:color w:val="000000"/>
                <w:sz w:val="18"/>
                <w:szCs w:val="18"/>
              </w:rPr>
              <w:t>(3,805)</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7E7"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7E8"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7E9" w14:textId="77777777" w:rsidR="00611BDD" w:rsidRDefault="002E18C7">
            <w:pPr>
              <w:jc w:val="right"/>
              <w:textAlignment w:val="bottom"/>
            </w:pPr>
            <w:r>
              <w:rPr>
                <w:rFonts w:ascii="sans-serif" w:eastAsia="sans-serif" w:hAnsi="sans-serif" w:cs="sans-serif"/>
                <w:color w:val="000000"/>
                <w:sz w:val="18"/>
                <w:szCs w:val="18"/>
              </w:rPr>
              <w:t>(14,545)</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7EA" w14:textId="77777777" w:rsidR="00611BDD" w:rsidRDefault="00611BDD">
            <w:pPr>
              <w:jc w:val="right"/>
              <w:rPr>
                <w:rFonts w:ascii="宋体"/>
              </w:rPr>
            </w:pPr>
          </w:p>
        </w:tc>
      </w:tr>
      <w:tr w:rsidR="00611BDD" w14:paraId="540667F0" w14:textId="77777777">
        <w:trPr>
          <w:jc w:val="center"/>
        </w:trPr>
        <w:tc>
          <w:tcPr>
            <w:tcW w:w="0" w:type="auto"/>
            <w:gridSpan w:val="3"/>
            <w:shd w:val="clear" w:color="auto" w:fill="E2EFD9"/>
            <w:tcMar>
              <w:top w:w="40" w:type="dxa"/>
              <w:left w:w="20" w:type="dxa"/>
              <w:bottom w:w="40" w:type="dxa"/>
              <w:right w:w="20" w:type="dxa"/>
            </w:tcMar>
            <w:vAlign w:val="bottom"/>
          </w:tcPr>
          <w:p w14:paraId="540667EC" w14:textId="77777777" w:rsidR="00611BDD" w:rsidRDefault="002E18C7">
            <w:pPr>
              <w:textAlignment w:val="bottom"/>
            </w:pPr>
            <w:r>
              <w:rPr>
                <w:rFonts w:ascii="sans-serif" w:eastAsia="sans-serif" w:hAnsi="sans-serif" w:cs="sans-serif"/>
                <w:color w:val="000000"/>
                <w:sz w:val="18"/>
                <w:szCs w:val="18"/>
              </w:rPr>
              <w:t>Cash flows from financing activities:</w:t>
            </w: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540667ED" w14:textId="77777777" w:rsidR="00611BDD" w:rsidRDefault="002E18C7">
            <w:pPr>
              <w:textAlignment w:val="bottom"/>
            </w:pPr>
            <w:r>
              <w:rPr>
                <w:rFonts w:ascii="sans-serif" w:eastAsia="sans-serif" w:hAnsi="sans-serif" w:cs="sans-serif"/>
                <w:color w:val="000000"/>
                <w:sz w:val="18"/>
                <w:szCs w:val="18"/>
              </w:rPr>
              <w:t> </w:t>
            </w:r>
          </w:p>
        </w:tc>
        <w:tc>
          <w:tcPr>
            <w:tcW w:w="0" w:type="auto"/>
            <w:gridSpan w:val="3"/>
            <w:shd w:val="clear" w:color="auto" w:fill="E2EFD9"/>
            <w:tcMar>
              <w:top w:w="0" w:type="dxa"/>
              <w:left w:w="20" w:type="dxa"/>
              <w:bottom w:w="0" w:type="dxa"/>
              <w:right w:w="20" w:type="dxa"/>
            </w:tcMar>
            <w:vAlign w:val="bottom"/>
          </w:tcPr>
          <w:p w14:paraId="540667EE" w14:textId="77777777" w:rsidR="00611BDD" w:rsidRDefault="00611BDD">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540667EF" w14:textId="77777777" w:rsidR="00611BDD" w:rsidRDefault="002E18C7">
            <w:pPr>
              <w:textAlignment w:val="bottom"/>
            </w:pPr>
            <w:r>
              <w:rPr>
                <w:rFonts w:ascii="sans-serif" w:eastAsia="sans-serif" w:hAnsi="sans-serif" w:cs="sans-serif"/>
                <w:color w:val="000000"/>
                <w:sz w:val="18"/>
                <w:szCs w:val="18"/>
              </w:rPr>
              <w:t> </w:t>
            </w:r>
          </w:p>
        </w:tc>
      </w:tr>
      <w:tr w:rsidR="00611BDD" w14:paraId="540667F7" w14:textId="77777777">
        <w:trPr>
          <w:jc w:val="center"/>
        </w:trPr>
        <w:tc>
          <w:tcPr>
            <w:tcW w:w="0" w:type="auto"/>
            <w:gridSpan w:val="3"/>
            <w:shd w:val="clear" w:color="auto" w:fill="FFFFFF"/>
            <w:tcMar>
              <w:top w:w="40" w:type="dxa"/>
              <w:left w:w="155" w:type="dxa"/>
              <w:bottom w:w="40" w:type="dxa"/>
              <w:right w:w="20" w:type="dxa"/>
            </w:tcMar>
            <w:vAlign w:val="bottom"/>
          </w:tcPr>
          <w:p w14:paraId="540667F1" w14:textId="77777777" w:rsidR="00611BDD" w:rsidRDefault="002E18C7">
            <w:pPr>
              <w:textAlignment w:val="bottom"/>
            </w:pPr>
            <w:r>
              <w:rPr>
                <w:rFonts w:ascii="sans-serif" w:eastAsia="sans-serif" w:hAnsi="sans-serif" w:cs="sans-serif"/>
                <w:color w:val="000000"/>
                <w:sz w:val="18"/>
                <w:szCs w:val="18"/>
              </w:rPr>
              <w:t>Issuance of debt, net of issuance costs</w:t>
            </w:r>
          </w:p>
        </w:tc>
        <w:tc>
          <w:tcPr>
            <w:tcW w:w="0" w:type="auto"/>
            <w:gridSpan w:val="2"/>
            <w:shd w:val="clear" w:color="auto" w:fill="FFFFFF"/>
            <w:tcMar>
              <w:top w:w="40" w:type="dxa"/>
              <w:left w:w="20" w:type="dxa"/>
              <w:bottom w:w="40" w:type="dxa"/>
              <w:right w:w="0" w:type="dxa"/>
            </w:tcMar>
            <w:vAlign w:val="bottom"/>
          </w:tcPr>
          <w:p w14:paraId="540667F2" w14:textId="77777777" w:rsidR="00611BDD" w:rsidRDefault="002E18C7">
            <w:pPr>
              <w:jc w:val="right"/>
              <w:textAlignment w:val="bottom"/>
            </w:pPr>
            <w:r>
              <w:rPr>
                <w:rFonts w:ascii="sans-serif" w:eastAsia="sans-serif" w:hAnsi="sans-serif" w:cs="sans-serif"/>
                <w:color w:val="000000"/>
                <w:sz w:val="18"/>
                <w:szCs w:val="18"/>
              </w:rPr>
              <w:t>4,985 </w:t>
            </w:r>
          </w:p>
        </w:tc>
        <w:tc>
          <w:tcPr>
            <w:tcW w:w="0" w:type="auto"/>
            <w:shd w:val="clear" w:color="auto" w:fill="FFFFFF"/>
            <w:tcMar>
              <w:top w:w="40" w:type="dxa"/>
              <w:left w:w="0" w:type="dxa"/>
              <w:bottom w:w="40" w:type="dxa"/>
              <w:right w:w="20" w:type="dxa"/>
            </w:tcMar>
            <w:vAlign w:val="bottom"/>
          </w:tcPr>
          <w:p w14:paraId="540667F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7F4"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7F5" w14:textId="77777777" w:rsidR="00611BDD" w:rsidRDefault="002E18C7">
            <w:pPr>
              <w:jc w:val="right"/>
              <w:textAlignment w:val="bottom"/>
            </w:pPr>
            <w:r>
              <w:rPr>
                <w:rFonts w:ascii="sans-serif" w:eastAsia="sans-serif" w:hAnsi="sans-serif" w:cs="sans-serif"/>
                <w:color w:val="000000"/>
                <w:sz w:val="18"/>
                <w:szCs w:val="18"/>
              </w:rPr>
              <w:t>4,971 </w:t>
            </w:r>
          </w:p>
        </w:tc>
        <w:tc>
          <w:tcPr>
            <w:tcW w:w="0" w:type="auto"/>
            <w:shd w:val="clear" w:color="auto" w:fill="FFFFFF"/>
            <w:tcMar>
              <w:top w:w="40" w:type="dxa"/>
              <w:left w:w="0" w:type="dxa"/>
              <w:bottom w:w="40" w:type="dxa"/>
              <w:right w:w="20" w:type="dxa"/>
            </w:tcMar>
            <w:vAlign w:val="bottom"/>
          </w:tcPr>
          <w:p w14:paraId="540667F6" w14:textId="77777777" w:rsidR="00611BDD" w:rsidRDefault="00611BDD">
            <w:pPr>
              <w:jc w:val="right"/>
              <w:rPr>
                <w:rFonts w:ascii="宋体"/>
              </w:rPr>
            </w:pPr>
          </w:p>
        </w:tc>
      </w:tr>
      <w:tr w:rsidR="00611BDD" w14:paraId="540667FE" w14:textId="77777777">
        <w:trPr>
          <w:jc w:val="center"/>
        </w:trPr>
        <w:tc>
          <w:tcPr>
            <w:tcW w:w="0" w:type="auto"/>
            <w:gridSpan w:val="3"/>
            <w:shd w:val="clear" w:color="auto" w:fill="E2EFD9"/>
            <w:tcMar>
              <w:top w:w="40" w:type="dxa"/>
              <w:left w:w="155" w:type="dxa"/>
              <w:bottom w:w="40" w:type="dxa"/>
              <w:right w:w="20" w:type="dxa"/>
            </w:tcMar>
            <w:vAlign w:val="bottom"/>
          </w:tcPr>
          <w:p w14:paraId="540667F8" w14:textId="77777777" w:rsidR="00611BDD" w:rsidRDefault="002E18C7">
            <w:pPr>
              <w:textAlignment w:val="bottom"/>
            </w:pPr>
            <w:r>
              <w:rPr>
                <w:rFonts w:ascii="sans-serif" w:eastAsia="sans-serif" w:hAnsi="sans-serif" w:cs="sans-serif"/>
                <w:color w:val="000000"/>
                <w:sz w:val="18"/>
                <w:szCs w:val="18"/>
              </w:rPr>
              <w:t xml:space="preserve">Proceeds related to </w:t>
            </w:r>
            <w:r>
              <w:rPr>
                <w:rFonts w:ascii="sans-serif" w:eastAsia="sans-serif" w:hAnsi="sans-serif" w:cs="sans-serif"/>
                <w:color w:val="000000"/>
                <w:sz w:val="18"/>
                <w:szCs w:val="18"/>
              </w:rPr>
              <w:t>employee stock plans</w:t>
            </w:r>
          </w:p>
        </w:tc>
        <w:tc>
          <w:tcPr>
            <w:tcW w:w="0" w:type="auto"/>
            <w:gridSpan w:val="2"/>
            <w:shd w:val="clear" w:color="auto" w:fill="E2EFD9"/>
            <w:tcMar>
              <w:top w:w="40" w:type="dxa"/>
              <w:left w:w="20" w:type="dxa"/>
              <w:bottom w:w="40" w:type="dxa"/>
              <w:right w:w="0" w:type="dxa"/>
            </w:tcMar>
            <w:vAlign w:val="bottom"/>
          </w:tcPr>
          <w:p w14:paraId="540667F9" w14:textId="77777777" w:rsidR="00611BDD" w:rsidRDefault="002E18C7">
            <w:pPr>
              <w:jc w:val="right"/>
              <w:textAlignment w:val="bottom"/>
            </w:pPr>
            <w:r>
              <w:rPr>
                <w:rFonts w:ascii="sans-serif" w:eastAsia="sans-serif" w:hAnsi="sans-serif" w:cs="sans-serif"/>
                <w:color w:val="000000"/>
                <w:sz w:val="18"/>
                <w:szCs w:val="18"/>
              </w:rPr>
              <w:t>128 </w:t>
            </w:r>
          </w:p>
        </w:tc>
        <w:tc>
          <w:tcPr>
            <w:tcW w:w="0" w:type="auto"/>
            <w:shd w:val="clear" w:color="auto" w:fill="E2EFD9"/>
            <w:tcMar>
              <w:top w:w="40" w:type="dxa"/>
              <w:left w:w="0" w:type="dxa"/>
              <w:bottom w:w="40" w:type="dxa"/>
              <w:right w:w="20" w:type="dxa"/>
            </w:tcMar>
            <w:vAlign w:val="bottom"/>
          </w:tcPr>
          <w:p w14:paraId="540667F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7FB"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7FC" w14:textId="77777777" w:rsidR="00611BDD" w:rsidRDefault="002E18C7">
            <w:pPr>
              <w:jc w:val="right"/>
              <w:textAlignment w:val="bottom"/>
            </w:pPr>
            <w:r>
              <w:rPr>
                <w:rFonts w:ascii="sans-serif" w:eastAsia="sans-serif" w:hAnsi="sans-serif" w:cs="sans-serif"/>
                <w:color w:val="000000"/>
                <w:sz w:val="18"/>
                <w:szCs w:val="18"/>
              </w:rPr>
              <w:t>94 </w:t>
            </w:r>
          </w:p>
        </w:tc>
        <w:tc>
          <w:tcPr>
            <w:tcW w:w="0" w:type="auto"/>
            <w:shd w:val="clear" w:color="auto" w:fill="E2EFD9"/>
            <w:tcMar>
              <w:top w:w="40" w:type="dxa"/>
              <w:left w:w="0" w:type="dxa"/>
              <w:bottom w:w="40" w:type="dxa"/>
              <w:right w:w="20" w:type="dxa"/>
            </w:tcMar>
            <w:vAlign w:val="bottom"/>
          </w:tcPr>
          <w:p w14:paraId="540667FD" w14:textId="77777777" w:rsidR="00611BDD" w:rsidRDefault="00611BDD">
            <w:pPr>
              <w:jc w:val="right"/>
              <w:rPr>
                <w:rFonts w:ascii="宋体"/>
              </w:rPr>
            </w:pPr>
          </w:p>
        </w:tc>
      </w:tr>
      <w:tr w:rsidR="00611BDD" w14:paraId="54066805" w14:textId="77777777">
        <w:trPr>
          <w:jc w:val="center"/>
        </w:trPr>
        <w:tc>
          <w:tcPr>
            <w:tcW w:w="0" w:type="auto"/>
            <w:gridSpan w:val="3"/>
            <w:shd w:val="clear" w:color="auto" w:fill="FFFFFF"/>
            <w:tcMar>
              <w:top w:w="40" w:type="dxa"/>
              <w:left w:w="155" w:type="dxa"/>
              <w:bottom w:w="40" w:type="dxa"/>
              <w:right w:w="20" w:type="dxa"/>
            </w:tcMar>
            <w:vAlign w:val="bottom"/>
          </w:tcPr>
          <w:p w14:paraId="540667FF" w14:textId="77777777" w:rsidR="00611BDD" w:rsidRDefault="002E18C7">
            <w:pPr>
              <w:textAlignment w:val="bottom"/>
            </w:pPr>
            <w:r>
              <w:rPr>
                <w:rFonts w:ascii="sans-serif" w:eastAsia="sans-serif" w:hAnsi="sans-serif" w:cs="sans-serif"/>
                <w:color w:val="000000"/>
                <w:sz w:val="18"/>
                <w:szCs w:val="18"/>
              </w:rPr>
              <w:t>Payments related to tax on restricted stock units</w:t>
            </w:r>
          </w:p>
        </w:tc>
        <w:tc>
          <w:tcPr>
            <w:tcW w:w="0" w:type="auto"/>
            <w:gridSpan w:val="2"/>
            <w:shd w:val="clear" w:color="auto" w:fill="FFFFFF"/>
            <w:tcMar>
              <w:top w:w="40" w:type="dxa"/>
              <w:left w:w="20" w:type="dxa"/>
              <w:bottom w:w="40" w:type="dxa"/>
              <w:right w:w="0" w:type="dxa"/>
            </w:tcMar>
            <w:vAlign w:val="bottom"/>
          </w:tcPr>
          <w:p w14:paraId="54066800" w14:textId="77777777" w:rsidR="00611BDD" w:rsidRDefault="002E18C7">
            <w:pPr>
              <w:jc w:val="right"/>
              <w:textAlignment w:val="bottom"/>
            </w:pPr>
            <w:r>
              <w:rPr>
                <w:rFonts w:ascii="sans-serif" w:eastAsia="sans-serif" w:hAnsi="sans-serif" w:cs="sans-serif"/>
                <w:color w:val="000000"/>
                <w:sz w:val="18"/>
                <w:szCs w:val="18"/>
              </w:rPr>
              <w:t>(843)</w:t>
            </w:r>
          </w:p>
        </w:tc>
        <w:tc>
          <w:tcPr>
            <w:tcW w:w="0" w:type="auto"/>
            <w:shd w:val="clear" w:color="auto" w:fill="FFFFFF"/>
            <w:tcMar>
              <w:top w:w="40" w:type="dxa"/>
              <w:left w:w="0" w:type="dxa"/>
              <w:bottom w:w="40" w:type="dxa"/>
              <w:right w:w="20" w:type="dxa"/>
            </w:tcMar>
            <w:vAlign w:val="bottom"/>
          </w:tcPr>
          <w:p w14:paraId="54066801"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802"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803" w14:textId="77777777" w:rsidR="00611BDD" w:rsidRDefault="002E18C7">
            <w:pPr>
              <w:jc w:val="right"/>
              <w:textAlignment w:val="bottom"/>
            </w:pPr>
            <w:r>
              <w:rPr>
                <w:rFonts w:ascii="sans-serif" w:eastAsia="sans-serif" w:hAnsi="sans-serif" w:cs="sans-serif"/>
                <w:color w:val="000000"/>
                <w:sz w:val="18"/>
                <w:szCs w:val="18"/>
              </w:rPr>
              <w:t>(418)</w:t>
            </w:r>
          </w:p>
        </w:tc>
        <w:tc>
          <w:tcPr>
            <w:tcW w:w="0" w:type="auto"/>
            <w:shd w:val="clear" w:color="auto" w:fill="FFFFFF"/>
            <w:tcMar>
              <w:top w:w="40" w:type="dxa"/>
              <w:left w:w="0" w:type="dxa"/>
              <w:bottom w:w="40" w:type="dxa"/>
              <w:right w:w="20" w:type="dxa"/>
            </w:tcMar>
            <w:vAlign w:val="bottom"/>
          </w:tcPr>
          <w:p w14:paraId="54066804" w14:textId="77777777" w:rsidR="00611BDD" w:rsidRDefault="00611BDD">
            <w:pPr>
              <w:jc w:val="right"/>
              <w:rPr>
                <w:rFonts w:ascii="宋体"/>
              </w:rPr>
            </w:pPr>
          </w:p>
        </w:tc>
      </w:tr>
      <w:tr w:rsidR="00611BDD" w14:paraId="5406680C" w14:textId="77777777">
        <w:trPr>
          <w:jc w:val="center"/>
        </w:trPr>
        <w:tc>
          <w:tcPr>
            <w:tcW w:w="0" w:type="auto"/>
            <w:gridSpan w:val="3"/>
            <w:shd w:val="clear" w:color="auto" w:fill="E2EFD9"/>
            <w:tcMar>
              <w:top w:w="40" w:type="dxa"/>
              <w:left w:w="155" w:type="dxa"/>
              <w:bottom w:w="40" w:type="dxa"/>
              <w:right w:w="20" w:type="dxa"/>
            </w:tcMar>
            <w:vAlign w:val="bottom"/>
          </w:tcPr>
          <w:p w14:paraId="54066806" w14:textId="77777777" w:rsidR="00611BDD" w:rsidRDefault="002E18C7">
            <w:pPr>
              <w:textAlignment w:val="bottom"/>
            </w:pPr>
            <w:r>
              <w:rPr>
                <w:rFonts w:ascii="sans-serif" w:eastAsia="sans-serif" w:hAnsi="sans-serif" w:cs="sans-serif"/>
                <w:color w:val="000000"/>
                <w:sz w:val="18"/>
                <w:szCs w:val="18"/>
              </w:rPr>
              <w:t>Dividends paid</w:t>
            </w:r>
          </w:p>
        </w:tc>
        <w:tc>
          <w:tcPr>
            <w:tcW w:w="0" w:type="auto"/>
            <w:gridSpan w:val="2"/>
            <w:shd w:val="clear" w:color="auto" w:fill="E2EFD9"/>
            <w:tcMar>
              <w:top w:w="40" w:type="dxa"/>
              <w:left w:w="20" w:type="dxa"/>
              <w:bottom w:w="40" w:type="dxa"/>
              <w:right w:w="0" w:type="dxa"/>
            </w:tcMar>
            <w:vAlign w:val="bottom"/>
          </w:tcPr>
          <w:p w14:paraId="54066807" w14:textId="77777777" w:rsidR="00611BDD" w:rsidRDefault="002E18C7">
            <w:pPr>
              <w:jc w:val="right"/>
              <w:textAlignment w:val="bottom"/>
            </w:pPr>
            <w:r>
              <w:rPr>
                <w:rFonts w:ascii="sans-serif" w:eastAsia="sans-serif" w:hAnsi="sans-serif" w:cs="sans-serif"/>
                <w:color w:val="000000"/>
                <w:sz w:val="18"/>
                <w:szCs w:val="18"/>
              </w:rPr>
              <w:t>(198)</w:t>
            </w:r>
          </w:p>
        </w:tc>
        <w:tc>
          <w:tcPr>
            <w:tcW w:w="0" w:type="auto"/>
            <w:shd w:val="clear" w:color="auto" w:fill="E2EFD9"/>
            <w:tcMar>
              <w:top w:w="40" w:type="dxa"/>
              <w:left w:w="0" w:type="dxa"/>
              <w:bottom w:w="40" w:type="dxa"/>
              <w:right w:w="20" w:type="dxa"/>
            </w:tcMar>
            <w:vAlign w:val="bottom"/>
          </w:tcPr>
          <w:p w14:paraId="54066808"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809"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80A" w14:textId="77777777" w:rsidR="00611BDD" w:rsidRDefault="002E18C7">
            <w:pPr>
              <w:jc w:val="right"/>
              <w:textAlignment w:val="bottom"/>
            </w:pPr>
            <w:r>
              <w:rPr>
                <w:rFonts w:ascii="sans-serif" w:eastAsia="sans-serif" w:hAnsi="sans-serif" w:cs="sans-serif"/>
                <w:color w:val="000000"/>
                <w:sz w:val="18"/>
                <w:szCs w:val="18"/>
              </w:rPr>
              <w:t>(197)</w:t>
            </w:r>
          </w:p>
        </w:tc>
        <w:tc>
          <w:tcPr>
            <w:tcW w:w="0" w:type="auto"/>
            <w:shd w:val="clear" w:color="auto" w:fill="E2EFD9"/>
            <w:tcMar>
              <w:top w:w="40" w:type="dxa"/>
              <w:left w:w="0" w:type="dxa"/>
              <w:bottom w:w="40" w:type="dxa"/>
              <w:right w:w="20" w:type="dxa"/>
            </w:tcMar>
            <w:vAlign w:val="bottom"/>
          </w:tcPr>
          <w:p w14:paraId="5406680B" w14:textId="77777777" w:rsidR="00611BDD" w:rsidRDefault="00611BDD">
            <w:pPr>
              <w:jc w:val="right"/>
              <w:rPr>
                <w:rFonts w:ascii="宋体"/>
              </w:rPr>
            </w:pPr>
          </w:p>
        </w:tc>
      </w:tr>
      <w:tr w:rsidR="00611BDD" w14:paraId="54066813" w14:textId="77777777">
        <w:trPr>
          <w:jc w:val="center"/>
        </w:trPr>
        <w:tc>
          <w:tcPr>
            <w:tcW w:w="0" w:type="auto"/>
            <w:gridSpan w:val="3"/>
            <w:shd w:val="clear" w:color="auto" w:fill="FFFFFF"/>
            <w:tcMar>
              <w:top w:w="40" w:type="dxa"/>
              <w:left w:w="155" w:type="dxa"/>
              <w:bottom w:w="40" w:type="dxa"/>
              <w:right w:w="20" w:type="dxa"/>
            </w:tcMar>
            <w:vAlign w:val="bottom"/>
          </w:tcPr>
          <w:p w14:paraId="5406680D" w14:textId="77777777" w:rsidR="00611BDD" w:rsidRDefault="002E18C7">
            <w:pPr>
              <w:textAlignment w:val="bottom"/>
            </w:pPr>
            <w:r>
              <w:rPr>
                <w:rFonts w:ascii="sans-serif" w:eastAsia="sans-serif" w:hAnsi="sans-serif" w:cs="sans-serif"/>
                <w:color w:val="000000"/>
                <w:sz w:val="18"/>
                <w:szCs w:val="18"/>
              </w:rPr>
              <w:t>Principal payments on property and equipment</w:t>
            </w:r>
          </w:p>
        </w:tc>
        <w:tc>
          <w:tcPr>
            <w:tcW w:w="0" w:type="auto"/>
            <w:gridSpan w:val="2"/>
            <w:shd w:val="clear" w:color="auto" w:fill="FFFFFF"/>
            <w:tcMar>
              <w:top w:w="40" w:type="dxa"/>
              <w:left w:w="20" w:type="dxa"/>
              <w:bottom w:w="40" w:type="dxa"/>
              <w:right w:w="0" w:type="dxa"/>
            </w:tcMar>
            <w:vAlign w:val="bottom"/>
          </w:tcPr>
          <w:p w14:paraId="5406680E" w14:textId="77777777" w:rsidR="00611BDD" w:rsidRDefault="002E18C7">
            <w:pPr>
              <w:jc w:val="right"/>
              <w:textAlignment w:val="bottom"/>
            </w:pPr>
            <w:r>
              <w:rPr>
                <w:rFonts w:ascii="sans-serif" w:eastAsia="sans-serif" w:hAnsi="sans-serif" w:cs="sans-serif"/>
                <w:color w:val="000000"/>
                <w:sz w:val="18"/>
                <w:szCs w:val="18"/>
              </w:rPr>
              <w:t>(40)</w:t>
            </w:r>
          </w:p>
        </w:tc>
        <w:tc>
          <w:tcPr>
            <w:tcW w:w="0" w:type="auto"/>
            <w:shd w:val="clear" w:color="auto" w:fill="FFFFFF"/>
            <w:tcMar>
              <w:top w:w="40" w:type="dxa"/>
              <w:left w:w="0" w:type="dxa"/>
              <w:bottom w:w="40" w:type="dxa"/>
              <w:right w:w="20" w:type="dxa"/>
            </w:tcMar>
            <w:vAlign w:val="bottom"/>
          </w:tcPr>
          <w:p w14:paraId="5406680F"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810"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811" w14:textId="77777777" w:rsidR="00611BDD" w:rsidRDefault="002E18C7">
            <w:pPr>
              <w:jc w:val="right"/>
              <w:textAlignment w:val="bottom"/>
            </w:pPr>
            <w:r>
              <w:rPr>
                <w:rFonts w:ascii="sans-serif" w:eastAsia="sans-serif" w:hAnsi="sans-serif" w:cs="sans-serif"/>
                <w:color w:val="000000"/>
                <w:sz w:val="18"/>
                <w:szCs w:val="18"/>
              </w:rPr>
              <w:t>— </w:t>
            </w:r>
          </w:p>
        </w:tc>
        <w:tc>
          <w:tcPr>
            <w:tcW w:w="0" w:type="auto"/>
            <w:shd w:val="clear" w:color="auto" w:fill="FFFFFF"/>
            <w:tcMar>
              <w:top w:w="40" w:type="dxa"/>
              <w:left w:w="0" w:type="dxa"/>
              <w:bottom w:w="40" w:type="dxa"/>
              <w:right w:w="20" w:type="dxa"/>
            </w:tcMar>
            <w:vAlign w:val="bottom"/>
          </w:tcPr>
          <w:p w14:paraId="54066812" w14:textId="77777777" w:rsidR="00611BDD" w:rsidRDefault="00611BDD">
            <w:pPr>
              <w:jc w:val="right"/>
              <w:rPr>
                <w:rFonts w:ascii="宋体"/>
              </w:rPr>
            </w:pPr>
          </w:p>
        </w:tc>
      </w:tr>
      <w:tr w:rsidR="00611BDD" w14:paraId="54066818" w14:textId="77777777">
        <w:trPr>
          <w:jc w:val="center"/>
          <w:hidden/>
        </w:trPr>
        <w:tc>
          <w:tcPr>
            <w:tcW w:w="0" w:type="auto"/>
            <w:gridSpan w:val="3"/>
            <w:shd w:val="clear" w:color="auto" w:fill="auto"/>
            <w:vAlign w:val="bottom"/>
          </w:tcPr>
          <w:p w14:paraId="54066814" w14:textId="77777777" w:rsidR="00611BDD" w:rsidRDefault="00611BDD">
            <w:pPr>
              <w:rPr>
                <w:rFonts w:ascii="宋体"/>
                <w:vanish/>
              </w:rPr>
            </w:pPr>
          </w:p>
        </w:tc>
        <w:tc>
          <w:tcPr>
            <w:tcW w:w="0" w:type="auto"/>
            <w:gridSpan w:val="3"/>
            <w:shd w:val="clear" w:color="auto" w:fill="auto"/>
            <w:vAlign w:val="bottom"/>
          </w:tcPr>
          <w:p w14:paraId="54066815" w14:textId="77777777" w:rsidR="00611BDD" w:rsidRDefault="00611BDD">
            <w:pPr>
              <w:rPr>
                <w:rFonts w:ascii="宋体"/>
                <w:vanish/>
              </w:rPr>
            </w:pPr>
          </w:p>
        </w:tc>
        <w:tc>
          <w:tcPr>
            <w:tcW w:w="0" w:type="auto"/>
            <w:gridSpan w:val="3"/>
            <w:shd w:val="clear" w:color="auto" w:fill="auto"/>
            <w:vAlign w:val="bottom"/>
          </w:tcPr>
          <w:p w14:paraId="54066816" w14:textId="77777777" w:rsidR="00611BDD" w:rsidRDefault="00611BDD">
            <w:pPr>
              <w:rPr>
                <w:rFonts w:ascii="宋体"/>
                <w:vanish/>
              </w:rPr>
            </w:pPr>
          </w:p>
        </w:tc>
        <w:tc>
          <w:tcPr>
            <w:tcW w:w="0" w:type="auto"/>
            <w:gridSpan w:val="3"/>
            <w:shd w:val="clear" w:color="auto" w:fill="auto"/>
            <w:vAlign w:val="bottom"/>
          </w:tcPr>
          <w:p w14:paraId="54066817" w14:textId="77777777" w:rsidR="00611BDD" w:rsidRDefault="00611BDD">
            <w:pPr>
              <w:rPr>
                <w:rFonts w:ascii="宋体"/>
                <w:vanish/>
              </w:rPr>
            </w:pPr>
          </w:p>
        </w:tc>
      </w:tr>
      <w:tr w:rsidR="00611BDD" w14:paraId="5406681D" w14:textId="77777777">
        <w:trPr>
          <w:jc w:val="center"/>
          <w:hidden/>
        </w:trPr>
        <w:tc>
          <w:tcPr>
            <w:tcW w:w="0" w:type="auto"/>
            <w:gridSpan w:val="3"/>
            <w:shd w:val="clear" w:color="auto" w:fill="auto"/>
            <w:vAlign w:val="bottom"/>
          </w:tcPr>
          <w:p w14:paraId="54066819" w14:textId="77777777" w:rsidR="00611BDD" w:rsidRDefault="00611BDD">
            <w:pPr>
              <w:rPr>
                <w:rFonts w:ascii="宋体"/>
                <w:vanish/>
              </w:rPr>
            </w:pPr>
          </w:p>
        </w:tc>
        <w:tc>
          <w:tcPr>
            <w:tcW w:w="0" w:type="auto"/>
            <w:gridSpan w:val="3"/>
            <w:shd w:val="clear" w:color="auto" w:fill="auto"/>
            <w:vAlign w:val="bottom"/>
          </w:tcPr>
          <w:p w14:paraId="5406681A" w14:textId="77777777" w:rsidR="00611BDD" w:rsidRDefault="00611BDD">
            <w:pPr>
              <w:rPr>
                <w:rFonts w:ascii="宋体"/>
                <w:vanish/>
              </w:rPr>
            </w:pPr>
          </w:p>
        </w:tc>
        <w:tc>
          <w:tcPr>
            <w:tcW w:w="0" w:type="auto"/>
            <w:gridSpan w:val="3"/>
            <w:shd w:val="clear" w:color="auto" w:fill="auto"/>
            <w:vAlign w:val="bottom"/>
          </w:tcPr>
          <w:p w14:paraId="5406681B" w14:textId="77777777" w:rsidR="00611BDD" w:rsidRDefault="00611BDD">
            <w:pPr>
              <w:rPr>
                <w:rFonts w:ascii="宋体"/>
                <w:vanish/>
              </w:rPr>
            </w:pPr>
          </w:p>
        </w:tc>
        <w:tc>
          <w:tcPr>
            <w:tcW w:w="0" w:type="auto"/>
            <w:gridSpan w:val="3"/>
            <w:shd w:val="clear" w:color="auto" w:fill="auto"/>
            <w:vAlign w:val="bottom"/>
          </w:tcPr>
          <w:p w14:paraId="5406681C" w14:textId="77777777" w:rsidR="00611BDD" w:rsidRDefault="00611BDD">
            <w:pPr>
              <w:rPr>
                <w:rFonts w:ascii="宋体"/>
                <w:vanish/>
              </w:rPr>
            </w:pPr>
          </w:p>
        </w:tc>
      </w:tr>
      <w:tr w:rsidR="00611BDD" w14:paraId="54066822" w14:textId="77777777">
        <w:trPr>
          <w:jc w:val="center"/>
          <w:hidden/>
        </w:trPr>
        <w:tc>
          <w:tcPr>
            <w:tcW w:w="0" w:type="auto"/>
            <w:gridSpan w:val="3"/>
            <w:shd w:val="clear" w:color="auto" w:fill="auto"/>
            <w:vAlign w:val="bottom"/>
          </w:tcPr>
          <w:p w14:paraId="5406681E" w14:textId="77777777" w:rsidR="00611BDD" w:rsidRDefault="00611BDD">
            <w:pPr>
              <w:rPr>
                <w:rFonts w:ascii="宋体"/>
                <w:vanish/>
              </w:rPr>
            </w:pPr>
          </w:p>
        </w:tc>
        <w:tc>
          <w:tcPr>
            <w:tcW w:w="0" w:type="auto"/>
            <w:gridSpan w:val="3"/>
            <w:shd w:val="clear" w:color="auto" w:fill="auto"/>
            <w:vAlign w:val="bottom"/>
          </w:tcPr>
          <w:p w14:paraId="5406681F" w14:textId="77777777" w:rsidR="00611BDD" w:rsidRDefault="00611BDD">
            <w:pPr>
              <w:rPr>
                <w:rFonts w:ascii="宋体"/>
                <w:vanish/>
              </w:rPr>
            </w:pPr>
          </w:p>
        </w:tc>
        <w:tc>
          <w:tcPr>
            <w:tcW w:w="0" w:type="auto"/>
            <w:gridSpan w:val="3"/>
            <w:shd w:val="clear" w:color="auto" w:fill="auto"/>
            <w:vAlign w:val="bottom"/>
          </w:tcPr>
          <w:p w14:paraId="54066820" w14:textId="77777777" w:rsidR="00611BDD" w:rsidRDefault="00611BDD">
            <w:pPr>
              <w:rPr>
                <w:rFonts w:ascii="宋体"/>
                <w:vanish/>
              </w:rPr>
            </w:pPr>
          </w:p>
        </w:tc>
        <w:tc>
          <w:tcPr>
            <w:tcW w:w="0" w:type="auto"/>
            <w:gridSpan w:val="3"/>
            <w:shd w:val="clear" w:color="auto" w:fill="auto"/>
            <w:vAlign w:val="bottom"/>
          </w:tcPr>
          <w:p w14:paraId="54066821" w14:textId="77777777" w:rsidR="00611BDD" w:rsidRDefault="00611BDD">
            <w:pPr>
              <w:rPr>
                <w:rFonts w:ascii="宋体"/>
                <w:vanish/>
              </w:rPr>
            </w:pPr>
          </w:p>
        </w:tc>
      </w:tr>
      <w:tr w:rsidR="00611BDD" w14:paraId="54066829" w14:textId="77777777">
        <w:trPr>
          <w:jc w:val="center"/>
        </w:trPr>
        <w:tc>
          <w:tcPr>
            <w:tcW w:w="0" w:type="auto"/>
            <w:gridSpan w:val="3"/>
            <w:shd w:val="clear" w:color="auto" w:fill="E2EFD9"/>
            <w:tcMar>
              <w:top w:w="40" w:type="dxa"/>
              <w:left w:w="155" w:type="dxa"/>
              <w:bottom w:w="40" w:type="dxa"/>
              <w:right w:w="20" w:type="dxa"/>
            </w:tcMar>
            <w:vAlign w:val="bottom"/>
          </w:tcPr>
          <w:p w14:paraId="54066823" w14:textId="77777777" w:rsidR="00611BDD" w:rsidRDefault="002E18C7">
            <w:pPr>
              <w:textAlignment w:val="bottom"/>
            </w:pPr>
            <w:r>
              <w:rPr>
                <w:rFonts w:ascii="sans-serif" w:eastAsia="sans-serif" w:hAnsi="sans-serif" w:cs="sans-serif"/>
                <w:color w:val="000000"/>
                <w:sz w:val="18"/>
                <w:szCs w:val="18"/>
              </w:rPr>
              <w:t>Other</w:t>
            </w:r>
          </w:p>
        </w:tc>
        <w:tc>
          <w:tcPr>
            <w:tcW w:w="0" w:type="auto"/>
            <w:gridSpan w:val="2"/>
            <w:shd w:val="clear" w:color="auto" w:fill="E2EFD9"/>
            <w:tcMar>
              <w:top w:w="40" w:type="dxa"/>
              <w:left w:w="20" w:type="dxa"/>
              <w:bottom w:w="40" w:type="dxa"/>
              <w:right w:w="0" w:type="dxa"/>
            </w:tcMar>
            <w:vAlign w:val="bottom"/>
          </w:tcPr>
          <w:p w14:paraId="54066824" w14:textId="77777777" w:rsidR="00611BDD" w:rsidRDefault="002E18C7">
            <w:pPr>
              <w:jc w:val="right"/>
              <w:textAlignment w:val="bottom"/>
            </w:pPr>
            <w:r>
              <w:rPr>
                <w:rFonts w:ascii="sans-serif" w:eastAsia="sans-serif" w:hAnsi="sans-serif" w:cs="sans-serif"/>
                <w:color w:val="000000"/>
                <w:sz w:val="18"/>
                <w:szCs w:val="18"/>
              </w:rPr>
              <w:t>(2)</w:t>
            </w:r>
          </w:p>
        </w:tc>
        <w:tc>
          <w:tcPr>
            <w:tcW w:w="0" w:type="auto"/>
            <w:shd w:val="clear" w:color="auto" w:fill="E2EFD9"/>
            <w:tcMar>
              <w:top w:w="40" w:type="dxa"/>
              <w:left w:w="0" w:type="dxa"/>
              <w:bottom w:w="40" w:type="dxa"/>
              <w:right w:w="20" w:type="dxa"/>
            </w:tcMar>
            <w:vAlign w:val="bottom"/>
          </w:tcPr>
          <w:p w14:paraId="54066825"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826"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827" w14:textId="77777777" w:rsidR="00611BDD" w:rsidRDefault="002E18C7">
            <w:pPr>
              <w:jc w:val="right"/>
              <w:textAlignment w:val="bottom"/>
            </w:pPr>
            <w:r>
              <w:rPr>
                <w:rFonts w:ascii="sans-serif" w:eastAsia="sans-serif" w:hAnsi="sans-serif" w:cs="sans-serif"/>
                <w:color w:val="000000"/>
                <w:sz w:val="18"/>
                <w:szCs w:val="18"/>
              </w:rPr>
              <w:t>(3)</w:t>
            </w:r>
          </w:p>
        </w:tc>
        <w:tc>
          <w:tcPr>
            <w:tcW w:w="0" w:type="auto"/>
            <w:shd w:val="clear" w:color="auto" w:fill="E2EFD9"/>
            <w:tcMar>
              <w:top w:w="40" w:type="dxa"/>
              <w:left w:w="0" w:type="dxa"/>
              <w:bottom w:w="40" w:type="dxa"/>
              <w:right w:w="20" w:type="dxa"/>
            </w:tcMar>
            <w:vAlign w:val="bottom"/>
          </w:tcPr>
          <w:p w14:paraId="54066828" w14:textId="77777777" w:rsidR="00611BDD" w:rsidRDefault="00611BDD">
            <w:pPr>
              <w:jc w:val="right"/>
              <w:rPr>
                <w:rFonts w:ascii="宋体"/>
              </w:rPr>
            </w:pPr>
          </w:p>
        </w:tc>
      </w:tr>
      <w:tr w:rsidR="00611BDD" w14:paraId="54066830" w14:textId="77777777">
        <w:trPr>
          <w:jc w:val="center"/>
        </w:trPr>
        <w:tc>
          <w:tcPr>
            <w:tcW w:w="0" w:type="auto"/>
            <w:gridSpan w:val="3"/>
            <w:shd w:val="clear" w:color="auto" w:fill="FFFFFF"/>
            <w:tcMar>
              <w:top w:w="40" w:type="dxa"/>
              <w:left w:w="20" w:type="dxa"/>
              <w:bottom w:w="40" w:type="dxa"/>
              <w:right w:w="20" w:type="dxa"/>
            </w:tcMar>
            <w:vAlign w:val="bottom"/>
          </w:tcPr>
          <w:p w14:paraId="5406682A" w14:textId="77777777" w:rsidR="00611BDD" w:rsidRDefault="002E18C7">
            <w:pPr>
              <w:textAlignment w:val="bottom"/>
            </w:pPr>
            <w:r>
              <w:rPr>
                <w:rFonts w:ascii="sans-serif" w:eastAsia="sans-serif" w:hAnsi="sans-serif" w:cs="sans-serif"/>
                <w:color w:val="000000"/>
                <w:sz w:val="18"/>
                <w:szCs w:val="18"/>
              </w:rPr>
              <w:t xml:space="preserve">Net cash provided by </w:t>
            </w:r>
            <w:r>
              <w:rPr>
                <w:rFonts w:ascii="sans-serif" w:eastAsia="sans-serif" w:hAnsi="sans-serif" w:cs="sans-serif"/>
                <w:color w:val="000000"/>
                <w:sz w:val="18"/>
                <w:szCs w:val="18"/>
              </w:rPr>
              <w:t>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82B" w14:textId="77777777" w:rsidR="00611BDD" w:rsidRDefault="002E18C7">
            <w:pPr>
              <w:jc w:val="right"/>
              <w:textAlignment w:val="bottom"/>
            </w:pPr>
            <w:r>
              <w:rPr>
                <w:rFonts w:ascii="sans-serif" w:eastAsia="sans-serif" w:hAnsi="sans-serif" w:cs="sans-serif"/>
                <w:color w:val="000000"/>
                <w:sz w:val="18"/>
                <w:szCs w:val="18"/>
              </w:rPr>
              <w:t>4,030 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82C"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82D"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82E" w14:textId="77777777" w:rsidR="00611BDD" w:rsidRDefault="002E18C7">
            <w:pPr>
              <w:jc w:val="right"/>
              <w:textAlignment w:val="bottom"/>
            </w:pPr>
            <w:r>
              <w:rPr>
                <w:rFonts w:ascii="sans-serif" w:eastAsia="sans-serif" w:hAnsi="sans-serif" w:cs="sans-serif"/>
                <w:color w:val="000000"/>
                <w:sz w:val="18"/>
                <w:szCs w:val="18"/>
              </w:rPr>
              <w:t>4,447 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82F" w14:textId="77777777" w:rsidR="00611BDD" w:rsidRDefault="00611BDD">
            <w:pPr>
              <w:jc w:val="right"/>
              <w:rPr>
                <w:rFonts w:ascii="宋体"/>
              </w:rPr>
            </w:pPr>
          </w:p>
        </w:tc>
      </w:tr>
      <w:tr w:rsidR="00611BDD" w14:paraId="54066837" w14:textId="77777777">
        <w:trPr>
          <w:jc w:val="center"/>
        </w:trPr>
        <w:tc>
          <w:tcPr>
            <w:tcW w:w="0" w:type="auto"/>
            <w:gridSpan w:val="3"/>
            <w:shd w:val="clear" w:color="auto" w:fill="E2EFD9"/>
            <w:tcMar>
              <w:top w:w="40" w:type="dxa"/>
              <w:left w:w="20" w:type="dxa"/>
              <w:bottom w:w="40" w:type="dxa"/>
              <w:right w:w="20" w:type="dxa"/>
            </w:tcMar>
            <w:vAlign w:val="bottom"/>
          </w:tcPr>
          <w:p w14:paraId="54066831" w14:textId="77777777" w:rsidR="00611BDD" w:rsidRDefault="002E18C7">
            <w:pPr>
              <w:textAlignment w:val="bottom"/>
            </w:pPr>
            <w:r>
              <w:rPr>
                <w:rFonts w:ascii="sans-serif" w:eastAsia="sans-serif" w:hAnsi="sans-serif" w:cs="sans-serif"/>
                <w:color w:val="000000"/>
                <w:sz w:val="18"/>
                <w:szCs w:val="18"/>
              </w:rPr>
              <w:t>Change in cash and cash equivalents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6832" w14:textId="77777777" w:rsidR="00611BDD" w:rsidRDefault="002E18C7">
            <w:pPr>
              <w:jc w:val="right"/>
              <w:textAlignment w:val="bottom"/>
            </w:pPr>
            <w:r>
              <w:rPr>
                <w:rFonts w:ascii="sans-serif" w:eastAsia="sans-serif" w:hAnsi="sans-serif" w:cs="sans-serif"/>
                <w:color w:val="000000"/>
                <w:sz w:val="18"/>
                <w:szCs w:val="18"/>
              </w:rPr>
              <w:t>4,781 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83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834" w14:textId="77777777" w:rsidR="00611BDD" w:rsidRDefault="00611BD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6835" w14:textId="77777777" w:rsidR="00611BDD" w:rsidRDefault="002E18C7">
            <w:pPr>
              <w:jc w:val="right"/>
              <w:textAlignment w:val="bottom"/>
            </w:pPr>
            <w:r>
              <w:rPr>
                <w:rFonts w:ascii="sans-serif" w:eastAsia="sans-serif" w:hAnsi="sans-serif" w:cs="sans-serif"/>
                <w:color w:val="000000"/>
                <w:sz w:val="18"/>
                <w:szCs w:val="18"/>
              </w:rPr>
              <w:t>(7,622)</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6836" w14:textId="77777777" w:rsidR="00611BDD" w:rsidRDefault="00611BDD">
            <w:pPr>
              <w:jc w:val="right"/>
              <w:rPr>
                <w:rFonts w:ascii="宋体"/>
              </w:rPr>
            </w:pPr>
          </w:p>
        </w:tc>
      </w:tr>
      <w:tr w:rsidR="00611BDD" w14:paraId="5406683E" w14:textId="77777777">
        <w:trPr>
          <w:jc w:val="center"/>
        </w:trPr>
        <w:tc>
          <w:tcPr>
            <w:tcW w:w="0" w:type="auto"/>
            <w:gridSpan w:val="3"/>
            <w:shd w:val="clear" w:color="auto" w:fill="FFFFFF"/>
            <w:tcMar>
              <w:top w:w="40" w:type="dxa"/>
              <w:left w:w="20" w:type="dxa"/>
              <w:bottom w:w="40" w:type="dxa"/>
              <w:right w:w="20" w:type="dxa"/>
            </w:tcMar>
            <w:vAlign w:val="bottom"/>
          </w:tcPr>
          <w:p w14:paraId="54066838" w14:textId="77777777" w:rsidR="00611BDD" w:rsidRDefault="002E18C7">
            <w:pPr>
              <w:textAlignment w:val="bottom"/>
            </w:pPr>
            <w:r>
              <w:rPr>
                <w:rFonts w:ascii="sans-serif" w:eastAsia="sans-serif" w:hAnsi="sans-serif" w:cs="sans-serif"/>
                <w:color w:val="000000"/>
                <w:sz w:val="18"/>
                <w:szCs w:val="18"/>
              </w:rPr>
              <w:t>Cash and cash equivalents at beginning of period</w:t>
            </w:r>
          </w:p>
        </w:tc>
        <w:tc>
          <w:tcPr>
            <w:tcW w:w="0" w:type="auto"/>
            <w:gridSpan w:val="2"/>
            <w:shd w:val="clear" w:color="auto" w:fill="FFFFFF"/>
            <w:tcMar>
              <w:top w:w="40" w:type="dxa"/>
              <w:left w:w="20" w:type="dxa"/>
              <w:bottom w:w="40" w:type="dxa"/>
              <w:right w:w="0" w:type="dxa"/>
            </w:tcMar>
            <w:vAlign w:val="bottom"/>
          </w:tcPr>
          <w:p w14:paraId="54066839" w14:textId="77777777" w:rsidR="00611BDD" w:rsidRDefault="002E18C7">
            <w:pPr>
              <w:jc w:val="right"/>
              <w:textAlignment w:val="bottom"/>
            </w:pPr>
            <w:r>
              <w:rPr>
                <w:rFonts w:ascii="sans-serif" w:eastAsia="sans-serif" w:hAnsi="sans-serif" w:cs="sans-serif"/>
                <w:color w:val="000000"/>
                <w:sz w:val="18"/>
                <w:szCs w:val="18"/>
              </w:rPr>
              <w:t>847 </w:t>
            </w:r>
          </w:p>
        </w:tc>
        <w:tc>
          <w:tcPr>
            <w:tcW w:w="0" w:type="auto"/>
            <w:shd w:val="clear" w:color="auto" w:fill="FFFFFF"/>
            <w:tcMar>
              <w:top w:w="40" w:type="dxa"/>
              <w:left w:w="0" w:type="dxa"/>
              <w:bottom w:w="40" w:type="dxa"/>
              <w:right w:w="20" w:type="dxa"/>
            </w:tcMar>
            <w:vAlign w:val="bottom"/>
          </w:tcPr>
          <w:p w14:paraId="5406683A"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83B"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83C" w14:textId="77777777" w:rsidR="00611BDD" w:rsidRDefault="002E18C7">
            <w:pPr>
              <w:jc w:val="right"/>
              <w:textAlignment w:val="bottom"/>
            </w:pPr>
            <w:r>
              <w:rPr>
                <w:rFonts w:ascii="sans-serif" w:eastAsia="sans-serif" w:hAnsi="sans-serif" w:cs="sans-serif"/>
                <w:color w:val="000000"/>
                <w:sz w:val="18"/>
                <w:szCs w:val="18"/>
              </w:rPr>
              <w:t>10,896 </w:t>
            </w:r>
          </w:p>
        </w:tc>
        <w:tc>
          <w:tcPr>
            <w:tcW w:w="0" w:type="auto"/>
            <w:shd w:val="clear" w:color="auto" w:fill="FFFFFF"/>
            <w:tcMar>
              <w:top w:w="40" w:type="dxa"/>
              <w:left w:w="0" w:type="dxa"/>
              <w:bottom w:w="40" w:type="dxa"/>
              <w:right w:w="20" w:type="dxa"/>
            </w:tcMar>
            <w:vAlign w:val="bottom"/>
          </w:tcPr>
          <w:p w14:paraId="5406683D" w14:textId="77777777" w:rsidR="00611BDD" w:rsidRDefault="00611BDD">
            <w:pPr>
              <w:jc w:val="right"/>
              <w:rPr>
                <w:rFonts w:ascii="宋体"/>
              </w:rPr>
            </w:pPr>
          </w:p>
        </w:tc>
      </w:tr>
      <w:tr w:rsidR="00611BDD" w14:paraId="54066847" w14:textId="77777777">
        <w:trPr>
          <w:jc w:val="center"/>
        </w:trPr>
        <w:tc>
          <w:tcPr>
            <w:tcW w:w="0" w:type="auto"/>
            <w:gridSpan w:val="3"/>
            <w:shd w:val="clear" w:color="auto" w:fill="E2EFD9"/>
            <w:tcMar>
              <w:top w:w="40" w:type="dxa"/>
              <w:left w:w="20" w:type="dxa"/>
              <w:bottom w:w="40" w:type="dxa"/>
              <w:right w:w="20" w:type="dxa"/>
            </w:tcMar>
            <w:vAlign w:val="bottom"/>
          </w:tcPr>
          <w:p w14:paraId="5406683F" w14:textId="77777777" w:rsidR="00611BDD" w:rsidRDefault="002E18C7">
            <w:pPr>
              <w:textAlignment w:val="bottom"/>
            </w:pPr>
            <w:r>
              <w:rPr>
                <w:rFonts w:ascii="sans-serif" w:eastAsia="sans-serif" w:hAnsi="sans-serif" w:cs="sans-serif"/>
                <w:color w:val="000000"/>
                <w:sz w:val="18"/>
                <w:szCs w:val="18"/>
              </w:rPr>
              <w:t>Cash and cash equivalents at end of period</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840" w14:textId="77777777" w:rsidR="00611BDD" w:rsidRDefault="002E18C7">
            <w:pPr>
              <w:textAlignment w:val="bottom"/>
            </w:pPr>
            <w:r>
              <w:rPr>
                <w:rFonts w:ascii="sans-serif" w:eastAsia="sans-serif" w:hAnsi="sans-serif" w:cs="sans-serif"/>
                <w:color w:val="000000"/>
                <w:sz w:val="18"/>
                <w:szCs w:val="18"/>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841" w14:textId="77777777" w:rsidR="00611BDD" w:rsidRDefault="002E18C7">
            <w:pPr>
              <w:jc w:val="right"/>
              <w:textAlignment w:val="bottom"/>
            </w:pPr>
            <w:r>
              <w:rPr>
                <w:rFonts w:ascii="sans-serif" w:eastAsia="sans-serif" w:hAnsi="sans-serif" w:cs="sans-serif"/>
                <w:color w:val="000000"/>
                <w:sz w:val="18"/>
                <w:szCs w:val="18"/>
              </w:rPr>
              <w:t>5,628 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842"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843"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844" w14:textId="77777777" w:rsidR="00611BDD" w:rsidRDefault="002E18C7">
            <w:pPr>
              <w:textAlignment w:val="bottom"/>
            </w:pPr>
            <w:r>
              <w:rPr>
                <w:rFonts w:ascii="sans-serif" w:eastAsia="sans-serif" w:hAnsi="sans-serif" w:cs="sans-serif"/>
                <w:color w:val="000000"/>
                <w:sz w:val="18"/>
                <w:szCs w:val="18"/>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845" w14:textId="77777777" w:rsidR="00611BDD" w:rsidRDefault="002E18C7">
            <w:pPr>
              <w:jc w:val="right"/>
              <w:textAlignment w:val="bottom"/>
            </w:pPr>
            <w:r>
              <w:rPr>
                <w:rFonts w:ascii="sans-serif" w:eastAsia="sans-serif" w:hAnsi="sans-serif" w:cs="sans-serif"/>
                <w:color w:val="000000"/>
                <w:sz w:val="18"/>
                <w:szCs w:val="18"/>
              </w:rPr>
              <w:t>3,274 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846" w14:textId="77777777" w:rsidR="00611BDD" w:rsidRDefault="00611BDD">
            <w:pPr>
              <w:jc w:val="right"/>
              <w:rPr>
                <w:rFonts w:ascii="宋体"/>
              </w:rPr>
            </w:pPr>
          </w:p>
        </w:tc>
      </w:tr>
      <w:tr w:rsidR="00611BDD" w14:paraId="5406684C" w14:textId="77777777">
        <w:trPr>
          <w:jc w:val="center"/>
          <w:hidden/>
        </w:trPr>
        <w:tc>
          <w:tcPr>
            <w:tcW w:w="0" w:type="auto"/>
            <w:gridSpan w:val="3"/>
            <w:shd w:val="clear" w:color="auto" w:fill="auto"/>
            <w:vAlign w:val="bottom"/>
          </w:tcPr>
          <w:p w14:paraId="54066848" w14:textId="77777777" w:rsidR="00611BDD" w:rsidRDefault="00611BDD">
            <w:pPr>
              <w:rPr>
                <w:rFonts w:ascii="宋体"/>
                <w:vanish/>
              </w:rPr>
            </w:pPr>
          </w:p>
        </w:tc>
        <w:tc>
          <w:tcPr>
            <w:tcW w:w="0" w:type="auto"/>
            <w:gridSpan w:val="3"/>
            <w:shd w:val="clear" w:color="auto" w:fill="auto"/>
            <w:vAlign w:val="bottom"/>
          </w:tcPr>
          <w:p w14:paraId="54066849" w14:textId="77777777" w:rsidR="00611BDD" w:rsidRDefault="00611BDD">
            <w:pPr>
              <w:rPr>
                <w:rFonts w:ascii="宋体"/>
                <w:vanish/>
              </w:rPr>
            </w:pPr>
          </w:p>
        </w:tc>
        <w:tc>
          <w:tcPr>
            <w:tcW w:w="0" w:type="auto"/>
            <w:gridSpan w:val="3"/>
            <w:shd w:val="clear" w:color="auto" w:fill="auto"/>
            <w:vAlign w:val="bottom"/>
          </w:tcPr>
          <w:p w14:paraId="5406684A" w14:textId="77777777" w:rsidR="00611BDD" w:rsidRDefault="00611BDD">
            <w:pPr>
              <w:rPr>
                <w:rFonts w:ascii="宋体"/>
                <w:vanish/>
              </w:rPr>
            </w:pPr>
          </w:p>
        </w:tc>
        <w:tc>
          <w:tcPr>
            <w:tcW w:w="0" w:type="auto"/>
            <w:gridSpan w:val="3"/>
            <w:shd w:val="clear" w:color="auto" w:fill="auto"/>
            <w:vAlign w:val="bottom"/>
          </w:tcPr>
          <w:p w14:paraId="5406684B" w14:textId="77777777" w:rsidR="00611BDD" w:rsidRDefault="00611BDD">
            <w:pPr>
              <w:rPr>
                <w:rFonts w:ascii="宋体"/>
                <w:vanish/>
              </w:rPr>
            </w:pPr>
          </w:p>
        </w:tc>
      </w:tr>
      <w:tr w:rsidR="00611BDD" w14:paraId="54066851" w14:textId="77777777">
        <w:trPr>
          <w:jc w:val="center"/>
          <w:hidden/>
        </w:trPr>
        <w:tc>
          <w:tcPr>
            <w:tcW w:w="0" w:type="auto"/>
            <w:gridSpan w:val="3"/>
            <w:shd w:val="clear" w:color="auto" w:fill="auto"/>
            <w:vAlign w:val="bottom"/>
          </w:tcPr>
          <w:p w14:paraId="5406684D" w14:textId="77777777" w:rsidR="00611BDD" w:rsidRDefault="00611BDD">
            <w:pPr>
              <w:rPr>
                <w:rFonts w:ascii="宋体"/>
                <w:vanish/>
              </w:rPr>
            </w:pPr>
          </w:p>
        </w:tc>
        <w:tc>
          <w:tcPr>
            <w:tcW w:w="0" w:type="auto"/>
            <w:gridSpan w:val="3"/>
            <w:shd w:val="clear" w:color="auto" w:fill="auto"/>
            <w:vAlign w:val="bottom"/>
          </w:tcPr>
          <w:p w14:paraId="5406684E" w14:textId="77777777" w:rsidR="00611BDD" w:rsidRDefault="00611BDD">
            <w:pPr>
              <w:rPr>
                <w:rFonts w:ascii="宋体"/>
                <w:vanish/>
              </w:rPr>
            </w:pPr>
          </w:p>
        </w:tc>
        <w:tc>
          <w:tcPr>
            <w:tcW w:w="0" w:type="auto"/>
            <w:gridSpan w:val="3"/>
            <w:shd w:val="clear" w:color="auto" w:fill="auto"/>
            <w:vAlign w:val="bottom"/>
          </w:tcPr>
          <w:p w14:paraId="5406684F" w14:textId="77777777" w:rsidR="00611BDD" w:rsidRDefault="00611BDD">
            <w:pPr>
              <w:rPr>
                <w:rFonts w:ascii="宋体"/>
                <w:vanish/>
              </w:rPr>
            </w:pPr>
          </w:p>
        </w:tc>
        <w:tc>
          <w:tcPr>
            <w:tcW w:w="0" w:type="auto"/>
            <w:gridSpan w:val="3"/>
            <w:shd w:val="clear" w:color="auto" w:fill="auto"/>
            <w:vAlign w:val="bottom"/>
          </w:tcPr>
          <w:p w14:paraId="54066850" w14:textId="77777777" w:rsidR="00611BDD" w:rsidRDefault="00611BDD">
            <w:pPr>
              <w:rPr>
                <w:rFonts w:ascii="宋体"/>
                <w:vanish/>
              </w:rPr>
            </w:pPr>
          </w:p>
        </w:tc>
      </w:tr>
      <w:tr w:rsidR="00611BDD" w14:paraId="54066856" w14:textId="77777777">
        <w:trPr>
          <w:jc w:val="center"/>
          <w:hidden/>
        </w:trPr>
        <w:tc>
          <w:tcPr>
            <w:tcW w:w="0" w:type="auto"/>
            <w:gridSpan w:val="3"/>
            <w:shd w:val="clear" w:color="auto" w:fill="auto"/>
            <w:vAlign w:val="bottom"/>
          </w:tcPr>
          <w:p w14:paraId="54066852" w14:textId="77777777" w:rsidR="00611BDD" w:rsidRDefault="00611BDD">
            <w:pPr>
              <w:rPr>
                <w:rFonts w:ascii="宋体"/>
                <w:vanish/>
              </w:rPr>
            </w:pPr>
          </w:p>
        </w:tc>
        <w:tc>
          <w:tcPr>
            <w:tcW w:w="0" w:type="auto"/>
            <w:gridSpan w:val="3"/>
            <w:shd w:val="clear" w:color="auto" w:fill="auto"/>
            <w:vAlign w:val="bottom"/>
          </w:tcPr>
          <w:p w14:paraId="54066853" w14:textId="77777777" w:rsidR="00611BDD" w:rsidRDefault="00611BDD">
            <w:pPr>
              <w:rPr>
                <w:rFonts w:ascii="宋体"/>
                <w:vanish/>
              </w:rPr>
            </w:pPr>
          </w:p>
        </w:tc>
        <w:tc>
          <w:tcPr>
            <w:tcW w:w="0" w:type="auto"/>
            <w:gridSpan w:val="3"/>
            <w:shd w:val="clear" w:color="auto" w:fill="auto"/>
            <w:vAlign w:val="bottom"/>
          </w:tcPr>
          <w:p w14:paraId="54066854" w14:textId="77777777" w:rsidR="00611BDD" w:rsidRDefault="00611BDD">
            <w:pPr>
              <w:rPr>
                <w:rFonts w:ascii="宋体"/>
                <w:vanish/>
              </w:rPr>
            </w:pPr>
          </w:p>
        </w:tc>
        <w:tc>
          <w:tcPr>
            <w:tcW w:w="0" w:type="auto"/>
            <w:gridSpan w:val="3"/>
            <w:shd w:val="clear" w:color="auto" w:fill="auto"/>
            <w:vAlign w:val="bottom"/>
          </w:tcPr>
          <w:p w14:paraId="54066855" w14:textId="77777777" w:rsidR="00611BDD" w:rsidRDefault="00611BDD">
            <w:pPr>
              <w:rPr>
                <w:rFonts w:ascii="宋体"/>
                <w:vanish/>
              </w:rPr>
            </w:pPr>
          </w:p>
        </w:tc>
      </w:tr>
      <w:tr w:rsidR="00611BDD" w14:paraId="5406685B" w14:textId="77777777">
        <w:trPr>
          <w:jc w:val="center"/>
          <w:hidden/>
        </w:trPr>
        <w:tc>
          <w:tcPr>
            <w:tcW w:w="0" w:type="auto"/>
            <w:gridSpan w:val="3"/>
            <w:shd w:val="clear" w:color="auto" w:fill="auto"/>
            <w:vAlign w:val="bottom"/>
          </w:tcPr>
          <w:p w14:paraId="54066857" w14:textId="77777777" w:rsidR="00611BDD" w:rsidRDefault="00611BDD">
            <w:pPr>
              <w:rPr>
                <w:rFonts w:ascii="宋体"/>
                <w:vanish/>
              </w:rPr>
            </w:pPr>
          </w:p>
        </w:tc>
        <w:tc>
          <w:tcPr>
            <w:tcW w:w="0" w:type="auto"/>
            <w:gridSpan w:val="3"/>
            <w:shd w:val="clear" w:color="auto" w:fill="auto"/>
            <w:vAlign w:val="bottom"/>
          </w:tcPr>
          <w:p w14:paraId="54066858" w14:textId="77777777" w:rsidR="00611BDD" w:rsidRDefault="00611BDD">
            <w:pPr>
              <w:rPr>
                <w:rFonts w:ascii="宋体"/>
                <w:vanish/>
              </w:rPr>
            </w:pPr>
          </w:p>
        </w:tc>
        <w:tc>
          <w:tcPr>
            <w:tcW w:w="0" w:type="auto"/>
            <w:gridSpan w:val="3"/>
            <w:shd w:val="clear" w:color="auto" w:fill="auto"/>
            <w:vAlign w:val="bottom"/>
          </w:tcPr>
          <w:p w14:paraId="54066859" w14:textId="77777777" w:rsidR="00611BDD" w:rsidRDefault="00611BDD">
            <w:pPr>
              <w:rPr>
                <w:rFonts w:ascii="宋体"/>
                <w:vanish/>
              </w:rPr>
            </w:pPr>
          </w:p>
        </w:tc>
        <w:tc>
          <w:tcPr>
            <w:tcW w:w="0" w:type="auto"/>
            <w:gridSpan w:val="3"/>
            <w:shd w:val="clear" w:color="auto" w:fill="auto"/>
            <w:vAlign w:val="bottom"/>
          </w:tcPr>
          <w:p w14:paraId="5406685A" w14:textId="77777777" w:rsidR="00611BDD" w:rsidRDefault="00611BDD">
            <w:pPr>
              <w:rPr>
                <w:rFonts w:ascii="宋体"/>
                <w:vanish/>
              </w:rPr>
            </w:pPr>
          </w:p>
        </w:tc>
      </w:tr>
    </w:tbl>
    <w:p w14:paraId="5406685C" w14:textId="77777777" w:rsidR="00611BDD" w:rsidRDefault="002E18C7">
      <w:pPr>
        <w:spacing w:after="180"/>
        <w:jc w:val="center"/>
      </w:pPr>
      <w:r>
        <w:rPr>
          <w:rFonts w:ascii="sans-serif" w:eastAsia="sans-serif" w:hAnsi="sans-serif" w:cs="sans-serif"/>
          <w:color w:val="000000"/>
          <w:sz w:val="20"/>
          <w:szCs w:val="20"/>
        </w:rPr>
        <w:t xml:space="preserve">See </w:t>
      </w:r>
      <w:r>
        <w:rPr>
          <w:rFonts w:ascii="sans-serif" w:eastAsia="sans-serif" w:hAnsi="sans-serif" w:cs="sans-serif"/>
          <w:color w:val="000000"/>
          <w:sz w:val="20"/>
          <w:szCs w:val="20"/>
        </w:rPr>
        <w:t>accompanying Notes to Condensed Consolidated Financial Statements.</w:t>
      </w:r>
    </w:p>
    <w:p w14:paraId="5406685D" w14:textId="77777777" w:rsidR="00611BDD" w:rsidRDefault="002E18C7">
      <w:pPr>
        <w:spacing w:after="180"/>
        <w:jc w:val="center"/>
      </w:pPr>
      <w:r>
        <w:rPr>
          <w:rFonts w:ascii="sans-serif" w:eastAsia="sans-serif" w:hAnsi="sans-serif" w:cs="sans-serif"/>
          <w:color w:val="000000"/>
          <w:sz w:val="20"/>
          <w:szCs w:val="20"/>
        </w:rPr>
        <w:t>8</w:t>
      </w:r>
    </w:p>
    <w:p w14:paraId="5406685E" w14:textId="77777777" w:rsidR="00611BDD" w:rsidRDefault="002E18C7">
      <w:r>
        <w:pict w14:anchorId="54067C2C">
          <v:rect id="_x0000_i1032" style="width:415.3pt;height:1.5pt" o:hralign="center" o:hrstd="t" o:hr="t" fillcolor="#a0a0a0" stroked="f"/>
        </w:pict>
      </w:r>
    </w:p>
    <w:p w14:paraId="5406685F" w14:textId="77777777" w:rsidR="00611BDD" w:rsidRDefault="002E18C7">
      <w:pPr>
        <w:jc w:val="center"/>
      </w:pPr>
      <w:r>
        <w:rPr>
          <w:rFonts w:ascii="sans-serif" w:eastAsia="sans-serif" w:hAnsi="sans-serif" w:cs="sans-serif"/>
          <w:b/>
          <w:bCs/>
          <w:color w:val="000000"/>
          <w:sz w:val="20"/>
          <w:szCs w:val="20"/>
        </w:rPr>
        <w:t>NVIDIA CORPORATION AND SUBSIDIARIES</w:t>
      </w:r>
    </w:p>
    <w:p w14:paraId="54066860" w14:textId="77777777" w:rsidR="00611BDD" w:rsidRDefault="002E18C7">
      <w:pPr>
        <w:jc w:val="center"/>
      </w:pPr>
      <w:r>
        <w:rPr>
          <w:rFonts w:ascii="sans-serif" w:eastAsia="sans-serif" w:hAnsi="sans-serif" w:cs="sans-serif"/>
          <w:b/>
          <w:bCs/>
          <w:color w:val="000000"/>
          <w:sz w:val="20"/>
          <w:szCs w:val="20"/>
        </w:rPr>
        <w:t>NOTES TO CONDENSED CONSOLIDATED FINANCIAL STATEMENTS</w:t>
      </w:r>
    </w:p>
    <w:p w14:paraId="54066861" w14:textId="77777777" w:rsidR="00611BDD" w:rsidRDefault="002E18C7">
      <w:pPr>
        <w:jc w:val="center"/>
      </w:pPr>
      <w:r>
        <w:rPr>
          <w:rFonts w:ascii="sans-serif" w:eastAsia="sans-serif" w:hAnsi="sans-serif" w:cs="sans-serif"/>
          <w:b/>
          <w:bCs/>
          <w:color w:val="000000"/>
          <w:sz w:val="20"/>
          <w:szCs w:val="20"/>
        </w:rPr>
        <w:t>(Unaudited)</w:t>
      </w:r>
    </w:p>
    <w:p w14:paraId="54066862" w14:textId="77777777" w:rsidR="00611BDD" w:rsidRDefault="00611BDD">
      <w:pPr>
        <w:spacing w:after="180"/>
        <w:jc w:val="both"/>
      </w:pPr>
    </w:p>
    <w:p w14:paraId="54066863" w14:textId="77777777" w:rsidR="00611BDD" w:rsidRDefault="00611BDD">
      <w:pPr>
        <w:spacing w:after="180"/>
        <w:jc w:val="center"/>
      </w:pPr>
    </w:p>
    <w:p w14:paraId="54066864" w14:textId="77777777" w:rsidR="00611BDD" w:rsidRDefault="002E18C7">
      <w:pPr>
        <w:spacing w:before="240" w:after="120"/>
        <w:jc w:val="both"/>
      </w:pPr>
      <w:r>
        <w:rPr>
          <w:rFonts w:ascii="sans-serif" w:eastAsia="sans-serif" w:hAnsi="sans-serif" w:cs="sans-serif"/>
          <w:b/>
          <w:bCs/>
          <w:color w:val="76B900"/>
          <w:sz w:val="22"/>
          <w:szCs w:val="22"/>
        </w:rPr>
        <w:t>Note 1 - Summary of Significant Accounting Policies</w:t>
      </w:r>
    </w:p>
    <w:p w14:paraId="54066865" w14:textId="77777777" w:rsidR="00611BDD" w:rsidRDefault="002E18C7">
      <w:pPr>
        <w:spacing w:before="240" w:after="60"/>
        <w:jc w:val="both"/>
      </w:pPr>
      <w:r>
        <w:rPr>
          <w:rFonts w:ascii="sans-serif" w:eastAsia="sans-serif" w:hAnsi="sans-serif" w:cs="sans-serif"/>
          <w:b/>
          <w:bCs/>
          <w:color w:val="76B900"/>
          <w:sz w:val="20"/>
          <w:szCs w:val="20"/>
        </w:rPr>
        <w:t>Basis of Presentation</w:t>
      </w:r>
    </w:p>
    <w:p w14:paraId="54066866" w14:textId="77777777" w:rsidR="00611BDD" w:rsidRDefault="002E18C7">
      <w:pPr>
        <w:spacing w:after="180"/>
        <w:jc w:val="both"/>
      </w:pPr>
      <w:r>
        <w:rPr>
          <w:rFonts w:ascii="sans-serif" w:eastAsia="sans-serif" w:hAnsi="sans-serif" w:cs="sans-serif"/>
          <w:color w:val="000000"/>
          <w:sz w:val="20"/>
          <w:szCs w:val="20"/>
        </w:rPr>
        <w:t xml:space="preserve">The </w:t>
      </w:r>
      <w:r>
        <w:rPr>
          <w:rFonts w:ascii="sans-serif" w:eastAsia="sans-serif" w:hAnsi="sans-serif" w:cs="sans-serif"/>
          <w:color w:val="000000"/>
          <w:sz w:val="20"/>
          <w:szCs w:val="20"/>
        </w:rPr>
        <w:t xml:space="preserve">accompanying unaudited condensed consolidated financial statements were prepared in accordance with accounting principles generally accepted in the United States of America, or U.S. GAAP, for interim financial information and with the instructions to Form </w:t>
      </w:r>
      <w:r>
        <w:rPr>
          <w:rFonts w:ascii="sans-serif" w:eastAsia="sans-serif" w:hAnsi="sans-serif" w:cs="sans-serif"/>
          <w:color w:val="000000"/>
          <w:sz w:val="20"/>
          <w:szCs w:val="20"/>
        </w:rPr>
        <w:t>10-Q and Article 10 of Securities and Exchange Commission, or SEC, Regulation S-X. The January 31, 2021 consolidated balance sheet was derived from our audited consolidated financial statements included in our Annual Report on Form 10-K for the fiscal year</w:t>
      </w:r>
      <w:r>
        <w:rPr>
          <w:rFonts w:ascii="sans-serif" w:eastAsia="sans-serif" w:hAnsi="sans-serif" w:cs="sans-serif"/>
          <w:color w:val="000000"/>
          <w:sz w:val="20"/>
          <w:szCs w:val="20"/>
        </w:rPr>
        <w:t xml:space="preserve"> ended January 31, 2021, as filed with the SEC, but does not include all disclosures required by U.S. GAAP. In the opinion of management, all adjustments, consisting only of normal recurring adjustments considered necessary for a fair statement of results </w:t>
      </w:r>
      <w:r>
        <w:rPr>
          <w:rFonts w:ascii="sans-serif" w:eastAsia="sans-serif" w:hAnsi="sans-serif" w:cs="sans-serif"/>
          <w:color w:val="000000"/>
          <w:sz w:val="20"/>
          <w:szCs w:val="20"/>
        </w:rPr>
        <w:t>of operations and financial position, have been included. The results for the interim periods presented are not necessarily indicative of the results expected for any future period. The following information should be read in conjunction with the audited c</w:t>
      </w:r>
      <w:r>
        <w:rPr>
          <w:rFonts w:ascii="sans-serif" w:eastAsia="sans-serif" w:hAnsi="sans-serif" w:cs="sans-serif"/>
          <w:color w:val="000000"/>
          <w:sz w:val="20"/>
          <w:szCs w:val="20"/>
        </w:rPr>
        <w:t>onsolidated financial statements and notes thereto included in our Annual Report on Form 10-K for the fiscal year ended January 31, 2021.</w:t>
      </w:r>
      <w:r>
        <w:rPr>
          <w:rFonts w:ascii="sans-serif" w:eastAsia="sans-serif" w:hAnsi="sans-serif" w:cs="sans-serif"/>
          <w:b/>
          <w:bCs/>
          <w:color w:val="000000"/>
          <w:sz w:val="20"/>
          <w:szCs w:val="20"/>
        </w:rPr>
        <w:t> </w:t>
      </w:r>
    </w:p>
    <w:p w14:paraId="54066867" w14:textId="77777777" w:rsidR="00611BDD" w:rsidRDefault="002E18C7">
      <w:pPr>
        <w:spacing w:before="240" w:after="60"/>
        <w:jc w:val="both"/>
      </w:pPr>
      <w:r>
        <w:rPr>
          <w:rFonts w:ascii="sans-serif" w:eastAsia="sans-serif" w:hAnsi="sans-serif" w:cs="sans-serif"/>
          <w:color w:val="000000"/>
          <w:sz w:val="20"/>
          <w:szCs w:val="20"/>
        </w:rPr>
        <w:t>On May 21, 2021, our Board of Directors declared a four-for-one split of our common stock in the form of a stock divi</w:t>
      </w:r>
      <w:r>
        <w:rPr>
          <w:rFonts w:ascii="sans-serif" w:eastAsia="sans-serif" w:hAnsi="sans-serif" w:cs="sans-serif"/>
          <w:color w:val="000000"/>
          <w:sz w:val="20"/>
          <w:szCs w:val="20"/>
        </w:rPr>
        <w:t>dend, or the Stock Split, which was conditioned upon obtaining stockholder approval to increase the number of our authorized shares of common stock from 2 billion to 4 billion. On June 3, 2021, at the 2021 Annual Meeting of Stockholders, our stockholders a</w:t>
      </w:r>
      <w:r>
        <w:rPr>
          <w:rFonts w:ascii="sans-serif" w:eastAsia="sans-serif" w:hAnsi="sans-serif" w:cs="sans-serif"/>
          <w:color w:val="000000"/>
          <w:sz w:val="20"/>
          <w:szCs w:val="20"/>
        </w:rPr>
        <w:t>pproved the amendment to our Amended and Restated Certificate of Incorporation to increase the number of authorized shares of common stock to 4 billion. As a result, each stockholder of record at the close of business on June 21, 2021 received a dividend o</w:t>
      </w:r>
      <w:r>
        <w:rPr>
          <w:rFonts w:ascii="sans-serif" w:eastAsia="sans-serif" w:hAnsi="sans-serif" w:cs="sans-serif"/>
          <w:color w:val="000000"/>
          <w:sz w:val="20"/>
          <w:szCs w:val="20"/>
        </w:rPr>
        <w:t xml:space="preserve">f three additional shares of common stock for every share held on the record date, distributed after the close of trading on July 19, 2021. All share, equity award, and per share amounts and related shareholders' equity balances presented herein have been </w:t>
      </w:r>
      <w:r>
        <w:rPr>
          <w:rFonts w:ascii="sans-serif" w:eastAsia="sans-serif" w:hAnsi="sans-serif" w:cs="sans-serif"/>
          <w:color w:val="000000"/>
          <w:sz w:val="20"/>
          <w:szCs w:val="20"/>
        </w:rPr>
        <w:t>retroactively adjusted to reflect the Stock Split.</w:t>
      </w:r>
    </w:p>
    <w:p w14:paraId="54066868" w14:textId="77777777" w:rsidR="00611BDD" w:rsidRDefault="002E18C7">
      <w:pPr>
        <w:spacing w:before="240" w:after="60"/>
        <w:jc w:val="both"/>
      </w:pPr>
      <w:r>
        <w:rPr>
          <w:rFonts w:ascii="sans-serif" w:eastAsia="sans-serif" w:hAnsi="sans-serif" w:cs="sans-serif"/>
          <w:b/>
          <w:bCs/>
          <w:color w:val="76B900"/>
          <w:sz w:val="20"/>
          <w:szCs w:val="20"/>
        </w:rPr>
        <w:t>Significant Accounting Policies</w:t>
      </w:r>
    </w:p>
    <w:p w14:paraId="54066869" w14:textId="77777777" w:rsidR="00611BDD" w:rsidRDefault="002E18C7">
      <w:pPr>
        <w:spacing w:after="180"/>
        <w:jc w:val="both"/>
      </w:pPr>
      <w:r>
        <w:rPr>
          <w:rFonts w:ascii="sans-serif" w:eastAsia="sans-serif" w:hAnsi="sans-serif" w:cs="sans-serif"/>
          <w:color w:val="000000"/>
          <w:sz w:val="20"/>
          <w:szCs w:val="20"/>
        </w:rPr>
        <w:t>There have been no material changes to our significant accounting policies disclosed in Note 1 - Organization and Summary of Significant Accounting Policies, of the Notes to</w:t>
      </w:r>
      <w:r>
        <w:rPr>
          <w:rFonts w:ascii="sans-serif" w:eastAsia="sans-serif" w:hAnsi="sans-serif" w:cs="sans-serif"/>
          <w:color w:val="000000"/>
          <w:sz w:val="20"/>
          <w:szCs w:val="20"/>
        </w:rPr>
        <w:t xml:space="preserve"> the Consolidated Financial Statements included in our Annual Report on Form 10-K for the fiscal year ended January 31, 2021.</w:t>
      </w:r>
    </w:p>
    <w:p w14:paraId="5406686A" w14:textId="77777777" w:rsidR="00611BDD" w:rsidRDefault="002E18C7">
      <w:pPr>
        <w:spacing w:before="240" w:after="60"/>
        <w:jc w:val="both"/>
      </w:pPr>
      <w:r>
        <w:rPr>
          <w:rFonts w:ascii="sans-serif" w:eastAsia="sans-serif" w:hAnsi="sans-serif" w:cs="sans-serif"/>
          <w:b/>
          <w:bCs/>
          <w:color w:val="76B900"/>
          <w:sz w:val="20"/>
          <w:szCs w:val="20"/>
        </w:rPr>
        <w:t>Fiscal Year</w:t>
      </w:r>
    </w:p>
    <w:p w14:paraId="5406686B" w14:textId="77777777" w:rsidR="00611BDD" w:rsidRDefault="002E18C7">
      <w:pPr>
        <w:spacing w:after="180"/>
        <w:jc w:val="both"/>
      </w:pPr>
      <w:r>
        <w:rPr>
          <w:rFonts w:ascii="sans-serif" w:eastAsia="sans-serif" w:hAnsi="sans-serif" w:cs="sans-serif"/>
          <w:color w:val="000000"/>
          <w:sz w:val="20"/>
          <w:szCs w:val="20"/>
        </w:rPr>
        <w:t>We operate on a 52- or 53-week year, ending on the last Sunday in January. Fiscal year 2022 is a 52-week year and fisc</w:t>
      </w:r>
      <w:r>
        <w:rPr>
          <w:rFonts w:ascii="sans-serif" w:eastAsia="sans-serif" w:hAnsi="sans-serif" w:cs="sans-serif"/>
          <w:color w:val="000000"/>
          <w:sz w:val="20"/>
          <w:szCs w:val="20"/>
        </w:rPr>
        <w:t>al year 2021 was a 53-week year. The second quarters of fiscal years 2022 and 2021 were both 13-week quarters.</w:t>
      </w:r>
    </w:p>
    <w:p w14:paraId="5406686C" w14:textId="77777777" w:rsidR="00611BDD" w:rsidRDefault="002E18C7">
      <w:pPr>
        <w:spacing w:before="240" w:after="60"/>
        <w:jc w:val="both"/>
      </w:pPr>
      <w:r>
        <w:rPr>
          <w:rFonts w:ascii="sans-serif" w:eastAsia="sans-serif" w:hAnsi="sans-serif" w:cs="sans-serif"/>
          <w:b/>
          <w:bCs/>
          <w:color w:val="76B900"/>
          <w:sz w:val="20"/>
          <w:szCs w:val="20"/>
        </w:rPr>
        <w:t>Reclassifications</w:t>
      </w:r>
    </w:p>
    <w:p w14:paraId="5406686D" w14:textId="77777777" w:rsidR="00611BDD" w:rsidRDefault="002E18C7">
      <w:pPr>
        <w:spacing w:after="180"/>
        <w:jc w:val="both"/>
      </w:pPr>
      <w:r>
        <w:rPr>
          <w:rFonts w:ascii="sans-serif" w:eastAsia="sans-serif" w:hAnsi="sans-serif" w:cs="sans-serif"/>
          <w:color w:val="000000"/>
          <w:sz w:val="20"/>
          <w:szCs w:val="20"/>
        </w:rPr>
        <w:t>Certain prior fiscal year balances have been reclassified to conform to the current fiscal year presentation.</w:t>
      </w:r>
    </w:p>
    <w:p w14:paraId="5406686E" w14:textId="77777777" w:rsidR="00611BDD" w:rsidRDefault="002E18C7">
      <w:pPr>
        <w:spacing w:before="240" w:after="60"/>
        <w:jc w:val="both"/>
      </w:pPr>
      <w:r>
        <w:rPr>
          <w:rFonts w:ascii="sans-serif" w:eastAsia="sans-serif" w:hAnsi="sans-serif" w:cs="sans-serif"/>
          <w:b/>
          <w:bCs/>
          <w:color w:val="76B900"/>
          <w:sz w:val="20"/>
          <w:szCs w:val="20"/>
        </w:rPr>
        <w:t>Principles of Con</w:t>
      </w:r>
      <w:r>
        <w:rPr>
          <w:rFonts w:ascii="sans-serif" w:eastAsia="sans-serif" w:hAnsi="sans-serif" w:cs="sans-serif"/>
          <w:b/>
          <w:bCs/>
          <w:color w:val="76B900"/>
          <w:sz w:val="20"/>
          <w:szCs w:val="20"/>
        </w:rPr>
        <w:t>solidation</w:t>
      </w:r>
    </w:p>
    <w:p w14:paraId="5406686F" w14:textId="77777777" w:rsidR="00611BDD" w:rsidRDefault="002E18C7">
      <w:pPr>
        <w:spacing w:after="180"/>
        <w:jc w:val="both"/>
      </w:pPr>
      <w:r>
        <w:rPr>
          <w:rFonts w:ascii="sans-serif" w:eastAsia="sans-serif" w:hAnsi="sans-serif" w:cs="sans-serif"/>
          <w:color w:val="000000"/>
          <w:sz w:val="20"/>
          <w:szCs w:val="20"/>
        </w:rPr>
        <w:t>Our condensed consolidated financial statements include the accounts of NVIDIA Corporation and our wholly-owned subsidiaries. All intercompany balances and transactions have been eliminated in consolidation.</w:t>
      </w:r>
    </w:p>
    <w:p w14:paraId="54066870" w14:textId="77777777" w:rsidR="00611BDD" w:rsidRDefault="002E18C7">
      <w:pPr>
        <w:spacing w:before="240" w:after="60"/>
        <w:jc w:val="both"/>
      </w:pPr>
      <w:r>
        <w:rPr>
          <w:rFonts w:ascii="sans-serif" w:eastAsia="sans-serif" w:hAnsi="sans-serif" w:cs="sans-serif"/>
          <w:b/>
          <w:bCs/>
          <w:color w:val="76B900"/>
          <w:sz w:val="20"/>
          <w:szCs w:val="20"/>
        </w:rPr>
        <w:t>Use of Estimates</w:t>
      </w:r>
    </w:p>
    <w:p w14:paraId="54066871" w14:textId="77777777" w:rsidR="00611BDD" w:rsidRDefault="002E18C7">
      <w:pPr>
        <w:spacing w:after="180"/>
        <w:jc w:val="both"/>
      </w:pPr>
      <w:r>
        <w:rPr>
          <w:rFonts w:ascii="sans-serif" w:eastAsia="sans-serif" w:hAnsi="sans-serif" w:cs="sans-serif"/>
          <w:color w:val="000000"/>
          <w:sz w:val="20"/>
          <w:szCs w:val="20"/>
        </w:rPr>
        <w:t>The preparation of f</w:t>
      </w:r>
      <w:r>
        <w:rPr>
          <w:rFonts w:ascii="sans-serif" w:eastAsia="sans-serif" w:hAnsi="sans-serif" w:cs="sans-serif"/>
          <w:color w:val="000000"/>
          <w:sz w:val="20"/>
          <w:szCs w:val="20"/>
        </w:rPr>
        <w:t>inancial statements in conformity with U.S. GAAP requires management to make estimates and assumptions that affect the reported amounts of assets and liabilities and disclosures of contingent assets and liabilities at the date of the financial statements a</w:t>
      </w:r>
      <w:r>
        <w:rPr>
          <w:rFonts w:ascii="sans-serif" w:eastAsia="sans-serif" w:hAnsi="sans-serif" w:cs="sans-serif"/>
          <w:color w:val="000000"/>
          <w:sz w:val="20"/>
          <w:szCs w:val="20"/>
        </w:rPr>
        <w:t>nd the reported amounts of revenue and expenses during the reporting period. Actual results could differ materially from our estimates. On an ongoing basis, we evaluate our estimates, including those related to revenue recognition, cash equivalents and mar</w:t>
      </w:r>
      <w:r>
        <w:rPr>
          <w:rFonts w:ascii="sans-serif" w:eastAsia="sans-serif" w:hAnsi="sans-serif" w:cs="sans-serif"/>
          <w:color w:val="000000"/>
          <w:sz w:val="20"/>
          <w:szCs w:val="20"/>
        </w:rPr>
        <w:t>ketable securities, accounts receivable, inventories, income taxes, goodwill, stock-based compensation, litigation, investigation and settlement costs, restructuring and other charges, and other contingencies. The inputs into our judgments and estimates co</w:t>
      </w:r>
      <w:r>
        <w:rPr>
          <w:rFonts w:ascii="sans-serif" w:eastAsia="sans-serif" w:hAnsi="sans-serif" w:cs="sans-serif"/>
          <w:color w:val="000000"/>
          <w:sz w:val="20"/>
          <w:szCs w:val="20"/>
        </w:rPr>
        <w:t>nsider the economic implications of COVID-19. These estimates are based on historical facts and various other assumptions that we believe are reasonable.</w:t>
      </w:r>
    </w:p>
    <w:p w14:paraId="54066872" w14:textId="77777777" w:rsidR="00611BDD" w:rsidRDefault="002E18C7">
      <w:pPr>
        <w:spacing w:after="180"/>
        <w:jc w:val="center"/>
      </w:pPr>
      <w:r>
        <w:rPr>
          <w:rFonts w:ascii="sans-serif" w:eastAsia="sans-serif" w:hAnsi="sans-serif" w:cs="sans-serif"/>
          <w:color w:val="000000"/>
          <w:sz w:val="20"/>
          <w:szCs w:val="20"/>
        </w:rPr>
        <w:t>9</w:t>
      </w:r>
    </w:p>
    <w:p w14:paraId="54066873" w14:textId="77777777" w:rsidR="00611BDD" w:rsidRDefault="002E18C7">
      <w:r>
        <w:pict w14:anchorId="54067C2D">
          <v:rect id="_x0000_i1033" style="width:415.3pt;height:1.5pt" o:hralign="center" o:hrstd="t" o:hr="t" fillcolor="#a0a0a0" stroked="f"/>
        </w:pict>
      </w:r>
    </w:p>
    <w:p w14:paraId="54066874" w14:textId="77777777" w:rsidR="00611BDD" w:rsidRDefault="002E18C7">
      <w:pPr>
        <w:jc w:val="center"/>
      </w:pPr>
      <w:r>
        <w:rPr>
          <w:rFonts w:ascii="sans-serif" w:eastAsia="sans-serif" w:hAnsi="sans-serif" w:cs="sans-serif"/>
          <w:b/>
          <w:bCs/>
          <w:color w:val="000000"/>
          <w:sz w:val="20"/>
          <w:szCs w:val="20"/>
        </w:rPr>
        <w:t>NVIDIA CORPORATION AND SUBSIDIARIES</w:t>
      </w:r>
    </w:p>
    <w:p w14:paraId="54066875" w14:textId="77777777" w:rsidR="00611BDD" w:rsidRDefault="002E18C7">
      <w:pPr>
        <w:jc w:val="center"/>
      </w:pPr>
      <w:r>
        <w:rPr>
          <w:rFonts w:ascii="sans-serif" w:eastAsia="sans-serif" w:hAnsi="sans-serif" w:cs="sans-serif"/>
          <w:b/>
          <w:bCs/>
          <w:color w:val="000000"/>
          <w:sz w:val="20"/>
          <w:szCs w:val="20"/>
        </w:rPr>
        <w:t xml:space="preserve">NOTES TO CONDENSED CONSOLIDATED FINANCIAL STATEMENTS </w:t>
      </w:r>
      <w:r>
        <w:rPr>
          <w:rFonts w:ascii="sans-serif" w:eastAsia="sans-serif" w:hAnsi="sans-serif" w:cs="sans-serif"/>
          <w:b/>
          <w:bCs/>
          <w:color w:val="000000"/>
          <w:sz w:val="20"/>
          <w:szCs w:val="20"/>
        </w:rPr>
        <w:t>(Continued)</w:t>
      </w:r>
    </w:p>
    <w:p w14:paraId="54066876" w14:textId="77777777" w:rsidR="00611BDD" w:rsidRDefault="002E18C7">
      <w:pPr>
        <w:jc w:val="center"/>
      </w:pPr>
      <w:r>
        <w:rPr>
          <w:rFonts w:ascii="sans-serif" w:eastAsia="sans-serif" w:hAnsi="sans-serif" w:cs="sans-serif"/>
          <w:b/>
          <w:bCs/>
          <w:color w:val="000000"/>
          <w:sz w:val="20"/>
          <w:szCs w:val="20"/>
        </w:rPr>
        <w:t>(Unaudited)</w:t>
      </w:r>
    </w:p>
    <w:p w14:paraId="54066877" w14:textId="77777777" w:rsidR="00611BDD" w:rsidRDefault="00611BDD">
      <w:pPr>
        <w:spacing w:after="180"/>
        <w:jc w:val="both"/>
      </w:pPr>
    </w:p>
    <w:p w14:paraId="54066878" w14:textId="77777777" w:rsidR="00611BDD" w:rsidRDefault="00611BDD">
      <w:pPr>
        <w:spacing w:after="180"/>
        <w:jc w:val="both"/>
      </w:pPr>
    </w:p>
    <w:p w14:paraId="54066879" w14:textId="77777777" w:rsidR="00611BDD" w:rsidRDefault="002E18C7">
      <w:pPr>
        <w:spacing w:before="240" w:after="120"/>
        <w:jc w:val="both"/>
      </w:pPr>
      <w:r>
        <w:rPr>
          <w:rFonts w:ascii="sans-serif" w:eastAsia="sans-serif" w:hAnsi="sans-serif" w:cs="sans-serif"/>
          <w:b/>
          <w:bCs/>
          <w:color w:val="76B900"/>
          <w:sz w:val="22"/>
          <w:szCs w:val="22"/>
        </w:rPr>
        <w:t>Note 2 - Business Combination</w:t>
      </w:r>
    </w:p>
    <w:p w14:paraId="5406687A" w14:textId="77777777" w:rsidR="00611BDD" w:rsidRDefault="002E18C7">
      <w:pPr>
        <w:spacing w:before="240" w:after="60"/>
        <w:jc w:val="both"/>
      </w:pPr>
      <w:r>
        <w:rPr>
          <w:rFonts w:ascii="sans-serif" w:eastAsia="sans-serif" w:hAnsi="sans-serif" w:cs="sans-serif"/>
          <w:b/>
          <w:bCs/>
          <w:color w:val="76B900"/>
          <w:sz w:val="20"/>
          <w:szCs w:val="20"/>
        </w:rPr>
        <w:t>Pending Acquisition of Arm Limited</w:t>
      </w:r>
    </w:p>
    <w:p w14:paraId="5406687B" w14:textId="77777777" w:rsidR="00611BDD" w:rsidRDefault="002E18C7">
      <w:pPr>
        <w:jc w:val="both"/>
      </w:pPr>
      <w:r>
        <w:rPr>
          <w:rFonts w:ascii="sans-serif" w:eastAsia="sans-serif" w:hAnsi="sans-serif" w:cs="sans-serif"/>
          <w:color w:val="000000"/>
          <w:sz w:val="20"/>
          <w:szCs w:val="20"/>
        </w:rPr>
        <w:t>On September 13, 2020, we entered into a Share Purchase Agreement, or the Purchase Agreement, with Arm Limited, or Arm, and SoftBank Group Capital Limited and SVF Ho</w:t>
      </w:r>
      <w:r>
        <w:rPr>
          <w:rFonts w:ascii="sans-serif" w:eastAsia="sans-serif" w:hAnsi="sans-serif" w:cs="sans-serif"/>
          <w:color w:val="000000"/>
          <w:sz w:val="20"/>
          <w:szCs w:val="20"/>
        </w:rPr>
        <w:t>ldco (UK) Limited, or together, SoftBank, for us to acquire, from SoftBank, all allotted and issued ordinary shares of Arm in a transaction valued at $40 billion. We paid $2 billion in cash at signing, or the Signing Consideration, and will pay upon closin</w:t>
      </w:r>
      <w:r>
        <w:rPr>
          <w:rFonts w:ascii="sans-serif" w:eastAsia="sans-serif" w:hAnsi="sans-serif" w:cs="sans-serif"/>
          <w:color w:val="000000"/>
          <w:sz w:val="20"/>
          <w:szCs w:val="20"/>
        </w:rPr>
        <w:t>g of the acquisition $10 billion in cash and issue to SoftBank 177.5 million shares of our common stock, which had an aggregate value of $21.5 billion as of the date of the Purchase Agreement. The transaction includes a potential earn out, which is conting</w:t>
      </w:r>
      <w:r>
        <w:rPr>
          <w:rFonts w:ascii="sans-serif" w:eastAsia="sans-serif" w:hAnsi="sans-serif" w:cs="sans-serif"/>
          <w:color w:val="000000"/>
          <w:sz w:val="20"/>
          <w:szCs w:val="20"/>
        </w:rPr>
        <w:t>ent on the achievement of certain financial performance targets by Arm during the fiscal year ending March 31, 2022. If the financial targets are achieved, SoftBank can elect to receive either up to an additional $5 billion in cash or up to an additional 4</w:t>
      </w:r>
      <w:r>
        <w:rPr>
          <w:rFonts w:ascii="sans-serif" w:eastAsia="sans-serif" w:hAnsi="sans-serif" w:cs="sans-serif"/>
          <w:color w:val="000000"/>
          <w:sz w:val="20"/>
          <w:szCs w:val="20"/>
        </w:rPr>
        <w:t>1.3 million shares of our common stock. We will issue up to $1.5 billion in restricted stock units to Arm employees after closing. The $2 billion paid upon signing was allocated between advanced consideration for the acquisition of $1.36 billion and the pr</w:t>
      </w:r>
      <w:r>
        <w:rPr>
          <w:rFonts w:ascii="sans-serif" w:eastAsia="sans-serif" w:hAnsi="sans-serif" w:cs="sans-serif"/>
          <w:color w:val="000000"/>
          <w:sz w:val="20"/>
          <w:szCs w:val="20"/>
        </w:rPr>
        <w:t>epayment of intellectual property licenses from Arm of $0.17 billion and royalties of $0.47 billion, both with a 20-year term. The closing of the acquisition is subject to customary closing conditions, including receipt of specified governmental and regula</w:t>
      </w:r>
      <w:r>
        <w:rPr>
          <w:rFonts w:ascii="sans-serif" w:eastAsia="sans-serif" w:hAnsi="sans-serif" w:cs="sans-serif"/>
          <w:color w:val="000000"/>
          <w:sz w:val="20"/>
          <w:szCs w:val="20"/>
        </w:rPr>
        <w:t>tory consents and approvals and the expiration of any related mandatory waiting period, and Arm's implementation of the reorganization and distribution of Arm’s IoT Services Group and certain other assets and liabilities. We are working through the regulat</w:t>
      </w:r>
      <w:r>
        <w:rPr>
          <w:rFonts w:ascii="sans-serif" w:eastAsia="sans-serif" w:hAnsi="sans-serif" w:cs="sans-serif"/>
          <w:color w:val="000000"/>
          <w:sz w:val="20"/>
          <w:szCs w:val="20"/>
        </w:rPr>
        <w:t>ory process in the United States, the United Kingdom, the European Union, China and other jurisdictions. Although some Arm licensees have expressed concerns or objected to the transaction, and discussions with regulators are taking longer than initially th</w:t>
      </w:r>
      <w:r>
        <w:rPr>
          <w:rFonts w:ascii="sans-serif" w:eastAsia="sans-serif" w:hAnsi="sans-serif" w:cs="sans-serif"/>
          <w:color w:val="000000"/>
          <w:sz w:val="20"/>
          <w:szCs w:val="20"/>
        </w:rPr>
        <w:t>ought, we are confident in the deal rationale and that regulators should recognize the benefits of the acquisition to Arm, its licensees, and the industry. If the Purchase Agreement is terminated under certain circumstances, we will be refunded $1.25 billi</w:t>
      </w:r>
      <w:r>
        <w:rPr>
          <w:rFonts w:ascii="sans-serif" w:eastAsia="sans-serif" w:hAnsi="sans-serif" w:cs="sans-serif"/>
          <w:color w:val="000000"/>
          <w:sz w:val="20"/>
          <w:szCs w:val="20"/>
        </w:rPr>
        <w:t xml:space="preserve">on of the Signing Consideration. The Signing Consideration was allocated on a fair value basis and any refund of the Signing Consideration will use stated values in the Purchase Agreement. </w:t>
      </w:r>
    </w:p>
    <w:p w14:paraId="5406687C" w14:textId="77777777" w:rsidR="00611BDD" w:rsidRDefault="002E18C7">
      <w:pPr>
        <w:spacing w:before="240" w:after="60"/>
      </w:pPr>
      <w:r>
        <w:rPr>
          <w:rFonts w:ascii="sans-serif" w:eastAsia="sans-serif" w:hAnsi="sans-serif" w:cs="sans-serif"/>
          <w:b/>
          <w:bCs/>
          <w:color w:val="76B900"/>
          <w:sz w:val="20"/>
          <w:szCs w:val="20"/>
        </w:rPr>
        <w:t>Acquisition of Mellanox Technologies, Ltd.</w:t>
      </w:r>
    </w:p>
    <w:p w14:paraId="5406687D" w14:textId="77777777" w:rsidR="00611BDD" w:rsidRDefault="002E18C7">
      <w:pPr>
        <w:spacing w:after="180"/>
        <w:jc w:val="both"/>
      </w:pPr>
      <w:r>
        <w:rPr>
          <w:rFonts w:ascii="sans-serif" w:eastAsia="sans-serif" w:hAnsi="sans-serif" w:cs="sans-serif"/>
          <w:color w:val="000000"/>
          <w:sz w:val="20"/>
          <w:szCs w:val="20"/>
        </w:rPr>
        <w:t>On April 27, 2020, we c</w:t>
      </w:r>
      <w:r>
        <w:rPr>
          <w:rFonts w:ascii="sans-serif" w:eastAsia="sans-serif" w:hAnsi="sans-serif" w:cs="sans-serif"/>
          <w:color w:val="000000"/>
          <w:sz w:val="20"/>
          <w:szCs w:val="20"/>
        </w:rPr>
        <w:t>ompleted the acquisition of all outstanding shares of Mellanox for a total purchase consideration of $7.13 billion. Mellanox is a supplier of high-performance interconnect products for computing, storage and communications applications. We acquired Mellano</w:t>
      </w:r>
      <w:r>
        <w:rPr>
          <w:rFonts w:ascii="sans-serif" w:eastAsia="sans-serif" w:hAnsi="sans-serif" w:cs="sans-serif"/>
          <w:color w:val="000000"/>
          <w:sz w:val="20"/>
          <w:szCs w:val="20"/>
        </w:rPr>
        <w:t>x to optimize data center workloads to scale across the entire computing, networking, and storage stack.</w:t>
      </w:r>
    </w:p>
    <w:p w14:paraId="5406687E" w14:textId="77777777" w:rsidR="00611BDD" w:rsidRDefault="002E18C7">
      <w:pPr>
        <w:spacing w:before="120" w:after="120"/>
        <w:jc w:val="both"/>
      </w:pPr>
      <w:r>
        <w:rPr>
          <w:rFonts w:ascii="sans-serif" w:eastAsia="sans-serif" w:hAnsi="sans-serif" w:cs="sans-serif"/>
          <w:b/>
          <w:bCs/>
          <w:color w:val="000000"/>
          <w:sz w:val="20"/>
          <w:szCs w:val="20"/>
        </w:rPr>
        <w:t>Supplemental Unaudited Pro Forma Information</w:t>
      </w:r>
    </w:p>
    <w:p w14:paraId="5406687F" w14:textId="77777777" w:rsidR="00611BDD" w:rsidRDefault="002E18C7">
      <w:pPr>
        <w:spacing w:after="180"/>
        <w:jc w:val="both"/>
      </w:pPr>
      <w:r>
        <w:rPr>
          <w:rFonts w:ascii="sans-serif" w:eastAsia="sans-serif" w:hAnsi="sans-serif" w:cs="sans-serif"/>
          <w:color w:val="000000"/>
          <w:sz w:val="20"/>
          <w:szCs w:val="20"/>
        </w:rPr>
        <w:t xml:space="preserve">The following unaudited pro forma financial information summarizes the combined results of operations for </w:t>
      </w:r>
      <w:r>
        <w:rPr>
          <w:rFonts w:ascii="sans-serif" w:eastAsia="sans-serif" w:hAnsi="sans-serif" w:cs="sans-serif"/>
          <w:color w:val="000000"/>
          <w:sz w:val="20"/>
          <w:szCs w:val="20"/>
        </w:rPr>
        <w:t>NVIDIA and Mellanox as if the companies were combined as of the beginning of fiscal year 2020:</w:t>
      </w:r>
    </w:p>
    <w:tbl>
      <w:tblPr>
        <w:tblW w:w="5000" w:type="pct"/>
        <w:tblCellMar>
          <w:top w:w="15" w:type="dxa"/>
          <w:left w:w="15" w:type="dxa"/>
          <w:bottom w:w="15" w:type="dxa"/>
          <w:right w:w="15" w:type="dxa"/>
        </w:tblCellMar>
        <w:tblLook w:val="04A0" w:firstRow="1" w:lastRow="0" w:firstColumn="1" w:lastColumn="0" w:noHBand="0" w:noVBand="1"/>
      </w:tblPr>
      <w:tblGrid>
        <w:gridCol w:w="37"/>
        <w:gridCol w:w="3962"/>
        <w:gridCol w:w="36"/>
        <w:gridCol w:w="123"/>
        <w:gridCol w:w="1937"/>
        <w:gridCol w:w="36"/>
        <w:gridCol w:w="36"/>
        <w:gridCol w:w="36"/>
        <w:gridCol w:w="36"/>
        <w:gridCol w:w="123"/>
        <w:gridCol w:w="1938"/>
        <w:gridCol w:w="36"/>
      </w:tblGrid>
      <w:tr w:rsidR="00611BDD" w14:paraId="5406688C" w14:textId="77777777">
        <w:tc>
          <w:tcPr>
            <w:tcW w:w="50" w:type="pct"/>
            <w:shd w:val="clear" w:color="auto" w:fill="auto"/>
            <w:vAlign w:val="bottom"/>
          </w:tcPr>
          <w:p w14:paraId="54066880" w14:textId="77777777" w:rsidR="00611BDD" w:rsidRDefault="00611BDD">
            <w:pPr>
              <w:rPr>
                <w:rFonts w:ascii="宋体"/>
              </w:rPr>
            </w:pPr>
          </w:p>
        </w:tc>
        <w:tc>
          <w:tcPr>
            <w:tcW w:w="2415" w:type="pct"/>
            <w:shd w:val="clear" w:color="auto" w:fill="auto"/>
            <w:vAlign w:val="bottom"/>
          </w:tcPr>
          <w:p w14:paraId="54066881" w14:textId="77777777" w:rsidR="00611BDD" w:rsidRDefault="00611BDD">
            <w:pPr>
              <w:rPr>
                <w:rFonts w:ascii="宋体"/>
              </w:rPr>
            </w:pPr>
          </w:p>
        </w:tc>
        <w:tc>
          <w:tcPr>
            <w:tcW w:w="5" w:type="pct"/>
            <w:shd w:val="clear" w:color="auto" w:fill="auto"/>
            <w:vAlign w:val="bottom"/>
          </w:tcPr>
          <w:p w14:paraId="54066882" w14:textId="77777777" w:rsidR="00611BDD" w:rsidRDefault="00611BDD">
            <w:pPr>
              <w:rPr>
                <w:rFonts w:ascii="宋体"/>
              </w:rPr>
            </w:pPr>
          </w:p>
        </w:tc>
        <w:tc>
          <w:tcPr>
            <w:tcW w:w="50" w:type="pct"/>
            <w:shd w:val="clear" w:color="auto" w:fill="auto"/>
            <w:vAlign w:val="bottom"/>
          </w:tcPr>
          <w:p w14:paraId="54066883" w14:textId="77777777" w:rsidR="00611BDD" w:rsidRDefault="00611BDD">
            <w:pPr>
              <w:rPr>
                <w:rFonts w:ascii="宋体"/>
              </w:rPr>
            </w:pPr>
          </w:p>
        </w:tc>
        <w:tc>
          <w:tcPr>
            <w:tcW w:w="1195" w:type="pct"/>
            <w:shd w:val="clear" w:color="auto" w:fill="auto"/>
            <w:vAlign w:val="bottom"/>
          </w:tcPr>
          <w:p w14:paraId="54066884" w14:textId="77777777" w:rsidR="00611BDD" w:rsidRDefault="00611BDD">
            <w:pPr>
              <w:rPr>
                <w:rFonts w:ascii="宋体"/>
              </w:rPr>
            </w:pPr>
          </w:p>
        </w:tc>
        <w:tc>
          <w:tcPr>
            <w:tcW w:w="5" w:type="pct"/>
            <w:shd w:val="clear" w:color="auto" w:fill="auto"/>
            <w:vAlign w:val="bottom"/>
          </w:tcPr>
          <w:p w14:paraId="54066885" w14:textId="77777777" w:rsidR="00611BDD" w:rsidRDefault="00611BDD">
            <w:pPr>
              <w:rPr>
                <w:rFonts w:ascii="宋体"/>
              </w:rPr>
            </w:pPr>
          </w:p>
        </w:tc>
        <w:tc>
          <w:tcPr>
            <w:tcW w:w="5" w:type="pct"/>
            <w:shd w:val="clear" w:color="auto" w:fill="auto"/>
            <w:vAlign w:val="bottom"/>
          </w:tcPr>
          <w:p w14:paraId="54066886" w14:textId="77777777" w:rsidR="00611BDD" w:rsidRDefault="00611BDD">
            <w:pPr>
              <w:rPr>
                <w:rFonts w:ascii="宋体"/>
              </w:rPr>
            </w:pPr>
          </w:p>
        </w:tc>
        <w:tc>
          <w:tcPr>
            <w:tcW w:w="19" w:type="pct"/>
            <w:shd w:val="clear" w:color="auto" w:fill="auto"/>
            <w:vAlign w:val="bottom"/>
          </w:tcPr>
          <w:p w14:paraId="54066887" w14:textId="77777777" w:rsidR="00611BDD" w:rsidRDefault="00611BDD">
            <w:pPr>
              <w:rPr>
                <w:rFonts w:ascii="宋体"/>
              </w:rPr>
            </w:pPr>
          </w:p>
        </w:tc>
        <w:tc>
          <w:tcPr>
            <w:tcW w:w="5" w:type="pct"/>
            <w:shd w:val="clear" w:color="auto" w:fill="auto"/>
            <w:vAlign w:val="bottom"/>
          </w:tcPr>
          <w:p w14:paraId="54066888" w14:textId="77777777" w:rsidR="00611BDD" w:rsidRDefault="00611BDD">
            <w:pPr>
              <w:rPr>
                <w:rFonts w:ascii="宋体"/>
              </w:rPr>
            </w:pPr>
          </w:p>
        </w:tc>
        <w:tc>
          <w:tcPr>
            <w:tcW w:w="50" w:type="pct"/>
            <w:shd w:val="clear" w:color="auto" w:fill="auto"/>
            <w:vAlign w:val="bottom"/>
          </w:tcPr>
          <w:p w14:paraId="54066889" w14:textId="77777777" w:rsidR="00611BDD" w:rsidRDefault="00611BDD">
            <w:pPr>
              <w:rPr>
                <w:rFonts w:ascii="宋体"/>
              </w:rPr>
            </w:pPr>
          </w:p>
        </w:tc>
        <w:tc>
          <w:tcPr>
            <w:tcW w:w="1195" w:type="pct"/>
            <w:shd w:val="clear" w:color="auto" w:fill="auto"/>
            <w:vAlign w:val="bottom"/>
          </w:tcPr>
          <w:p w14:paraId="5406688A" w14:textId="77777777" w:rsidR="00611BDD" w:rsidRDefault="00611BDD">
            <w:pPr>
              <w:rPr>
                <w:rFonts w:ascii="宋体"/>
              </w:rPr>
            </w:pPr>
          </w:p>
        </w:tc>
        <w:tc>
          <w:tcPr>
            <w:tcW w:w="5" w:type="pct"/>
            <w:shd w:val="clear" w:color="auto" w:fill="auto"/>
            <w:vAlign w:val="bottom"/>
          </w:tcPr>
          <w:p w14:paraId="5406688B" w14:textId="77777777" w:rsidR="00611BDD" w:rsidRDefault="00611BDD">
            <w:pPr>
              <w:rPr>
                <w:rFonts w:ascii="宋体"/>
              </w:rPr>
            </w:pPr>
          </w:p>
        </w:tc>
      </w:tr>
      <w:tr w:rsidR="00611BDD" w14:paraId="5406688F" w14:textId="77777777">
        <w:tc>
          <w:tcPr>
            <w:tcW w:w="0" w:type="auto"/>
            <w:gridSpan w:val="3"/>
            <w:shd w:val="clear" w:color="auto" w:fill="auto"/>
            <w:tcMar>
              <w:top w:w="0" w:type="dxa"/>
              <w:left w:w="20" w:type="dxa"/>
              <w:bottom w:w="0" w:type="dxa"/>
              <w:right w:w="20" w:type="dxa"/>
            </w:tcMar>
            <w:vAlign w:val="bottom"/>
          </w:tcPr>
          <w:p w14:paraId="5406688D" w14:textId="77777777" w:rsidR="00611BDD" w:rsidRDefault="00611BDD">
            <w:pPr>
              <w:rPr>
                <w:rFonts w:ascii="宋体"/>
              </w:rPr>
            </w:pPr>
          </w:p>
        </w:tc>
        <w:tc>
          <w:tcPr>
            <w:tcW w:w="0" w:type="auto"/>
            <w:gridSpan w:val="9"/>
            <w:shd w:val="clear" w:color="auto" w:fill="auto"/>
            <w:tcMar>
              <w:top w:w="40" w:type="dxa"/>
              <w:left w:w="20" w:type="dxa"/>
              <w:bottom w:w="40" w:type="dxa"/>
              <w:right w:w="20" w:type="dxa"/>
            </w:tcMar>
            <w:vAlign w:val="bottom"/>
          </w:tcPr>
          <w:p w14:paraId="5406688E" w14:textId="77777777" w:rsidR="00611BDD" w:rsidRDefault="002E18C7">
            <w:pPr>
              <w:jc w:val="center"/>
              <w:textAlignment w:val="bottom"/>
            </w:pPr>
            <w:r>
              <w:rPr>
                <w:rFonts w:ascii="sans-serif" w:eastAsia="sans-serif" w:hAnsi="sans-serif" w:cs="sans-serif"/>
                <w:b/>
                <w:bCs/>
                <w:color w:val="000000"/>
                <w:sz w:val="20"/>
                <w:szCs w:val="20"/>
              </w:rPr>
              <w:t>Pro Forma</w:t>
            </w:r>
          </w:p>
        </w:tc>
      </w:tr>
      <w:tr w:rsidR="00611BDD" w14:paraId="54066894" w14:textId="77777777">
        <w:tc>
          <w:tcPr>
            <w:tcW w:w="0" w:type="auto"/>
            <w:gridSpan w:val="3"/>
            <w:shd w:val="clear" w:color="auto" w:fill="auto"/>
            <w:tcMar>
              <w:top w:w="40" w:type="dxa"/>
              <w:left w:w="20" w:type="dxa"/>
              <w:bottom w:w="40" w:type="dxa"/>
              <w:right w:w="20" w:type="dxa"/>
            </w:tcMar>
            <w:vAlign w:val="bottom"/>
          </w:tcPr>
          <w:p w14:paraId="54066890"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891" w14:textId="77777777" w:rsidR="00611BDD" w:rsidRDefault="002E18C7">
            <w:pPr>
              <w:jc w:val="center"/>
              <w:textAlignment w:val="bottom"/>
            </w:pPr>
            <w:r>
              <w:rPr>
                <w:rFonts w:ascii="sans-serif" w:eastAsia="sans-serif" w:hAnsi="sans-serif" w:cs="sans-serif"/>
                <w:b/>
                <w:bCs/>
                <w:color w:val="000000"/>
                <w:sz w:val="20"/>
                <w:szCs w:val="20"/>
              </w:rPr>
              <w:t>Three Months Ended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892"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893" w14:textId="77777777" w:rsidR="00611BDD" w:rsidRDefault="002E18C7">
            <w:pPr>
              <w:jc w:val="center"/>
              <w:textAlignment w:val="bottom"/>
            </w:pPr>
            <w:r>
              <w:rPr>
                <w:rFonts w:ascii="sans-serif" w:eastAsia="sans-serif" w:hAnsi="sans-serif" w:cs="sans-serif"/>
                <w:b/>
                <w:bCs/>
                <w:color w:val="000000"/>
                <w:sz w:val="20"/>
                <w:szCs w:val="20"/>
              </w:rPr>
              <w:t>Six Months Ended</w:t>
            </w:r>
          </w:p>
        </w:tc>
      </w:tr>
      <w:tr w:rsidR="00611BDD" w14:paraId="54066899" w14:textId="77777777">
        <w:tc>
          <w:tcPr>
            <w:tcW w:w="0" w:type="auto"/>
            <w:gridSpan w:val="3"/>
            <w:shd w:val="clear" w:color="auto" w:fill="FFFFFF"/>
            <w:tcMar>
              <w:top w:w="40" w:type="dxa"/>
              <w:left w:w="20" w:type="dxa"/>
              <w:bottom w:w="40" w:type="dxa"/>
              <w:right w:w="20" w:type="dxa"/>
            </w:tcMar>
            <w:vAlign w:val="bottom"/>
          </w:tcPr>
          <w:p w14:paraId="54066895"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4066896" w14:textId="77777777" w:rsidR="00611BDD" w:rsidRDefault="002E18C7">
            <w:pPr>
              <w:jc w:val="center"/>
              <w:textAlignment w:val="bottom"/>
            </w:pPr>
            <w:r>
              <w:rPr>
                <w:rFonts w:ascii="sans-serif" w:eastAsia="sans-serif" w:hAnsi="sans-serif" w:cs="sans-serif"/>
                <w:b/>
                <w:bCs/>
                <w:color w:val="000000"/>
                <w:sz w:val="20"/>
                <w:szCs w:val="20"/>
              </w:rPr>
              <w:t>July 26, 2020</w:t>
            </w:r>
          </w:p>
        </w:tc>
        <w:tc>
          <w:tcPr>
            <w:tcW w:w="0" w:type="auto"/>
            <w:gridSpan w:val="3"/>
            <w:shd w:val="clear" w:color="auto" w:fill="FFFFFF"/>
            <w:tcMar>
              <w:top w:w="0" w:type="dxa"/>
              <w:left w:w="20" w:type="dxa"/>
              <w:bottom w:w="0" w:type="dxa"/>
              <w:right w:w="20" w:type="dxa"/>
            </w:tcMar>
            <w:vAlign w:val="bottom"/>
          </w:tcPr>
          <w:p w14:paraId="54066897" w14:textId="77777777" w:rsidR="00611BDD" w:rsidRDefault="00611BDD">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4066898" w14:textId="77777777" w:rsidR="00611BDD" w:rsidRDefault="002E18C7">
            <w:pPr>
              <w:jc w:val="center"/>
              <w:textAlignment w:val="bottom"/>
            </w:pPr>
            <w:r>
              <w:rPr>
                <w:rFonts w:ascii="sans-serif" w:eastAsia="sans-serif" w:hAnsi="sans-serif" w:cs="sans-serif"/>
                <w:b/>
                <w:bCs/>
                <w:color w:val="000000"/>
                <w:sz w:val="20"/>
                <w:szCs w:val="20"/>
              </w:rPr>
              <w:t>July 26, 2020</w:t>
            </w:r>
          </w:p>
        </w:tc>
      </w:tr>
      <w:tr w:rsidR="00611BDD" w14:paraId="5406689E" w14:textId="77777777">
        <w:trPr>
          <w:trHeight w:val="60"/>
        </w:trPr>
        <w:tc>
          <w:tcPr>
            <w:tcW w:w="0" w:type="auto"/>
            <w:gridSpan w:val="3"/>
            <w:shd w:val="clear" w:color="auto" w:fill="FFFFFF"/>
            <w:tcMar>
              <w:top w:w="0" w:type="dxa"/>
              <w:left w:w="20" w:type="dxa"/>
              <w:bottom w:w="0" w:type="dxa"/>
              <w:right w:w="20" w:type="dxa"/>
            </w:tcMar>
            <w:vAlign w:val="bottom"/>
          </w:tcPr>
          <w:p w14:paraId="5406689A"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89B"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89C"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89D" w14:textId="77777777" w:rsidR="00611BDD" w:rsidRDefault="00611BDD">
            <w:pPr>
              <w:rPr>
                <w:rFonts w:ascii="宋体"/>
              </w:rPr>
            </w:pPr>
          </w:p>
        </w:tc>
      </w:tr>
      <w:tr w:rsidR="00611BDD" w14:paraId="540668A1" w14:textId="77777777">
        <w:tc>
          <w:tcPr>
            <w:tcW w:w="0" w:type="auto"/>
            <w:gridSpan w:val="3"/>
            <w:shd w:val="clear" w:color="auto" w:fill="FFFFFF"/>
            <w:tcMar>
              <w:top w:w="0" w:type="dxa"/>
              <w:left w:w="20" w:type="dxa"/>
              <w:bottom w:w="0" w:type="dxa"/>
              <w:right w:w="20" w:type="dxa"/>
            </w:tcMar>
            <w:vAlign w:val="bottom"/>
          </w:tcPr>
          <w:p w14:paraId="5406689F" w14:textId="77777777" w:rsidR="00611BDD" w:rsidRDefault="00611BDD">
            <w:pPr>
              <w:rPr>
                <w:rFonts w:ascii="宋体"/>
              </w:rPr>
            </w:pPr>
          </w:p>
        </w:tc>
        <w:tc>
          <w:tcPr>
            <w:tcW w:w="0" w:type="auto"/>
            <w:gridSpan w:val="9"/>
            <w:shd w:val="clear" w:color="auto" w:fill="FFFFFF"/>
            <w:tcMar>
              <w:top w:w="40" w:type="dxa"/>
              <w:left w:w="20" w:type="dxa"/>
              <w:bottom w:w="40" w:type="dxa"/>
              <w:right w:w="20" w:type="dxa"/>
            </w:tcMar>
            <w:vAlign w:val="bottom"/>
          </w:tcPr>
          <w:p w14:paraId="540668A0" w14:textId="77777777" w:rsidR="00611BDD" w:rsidRDefault="002E18C7">
            <w:pPr>
              <w:jc w:val="center"/>
              <w:textAlignment w:val="bottom"/>
            </w:pPr>
            <w:r>
              <w:rPr>
                <w:rFonts w:ascii="sans-serif" w:eastAsia="sans-serif" w:hAnsi="sans-serif" w:cs="sans-serif"/>
                <w:i/>
                <w:iCs/>
                <w:color w:val="000000"/>
                <w:sz w:val="20"/>
                <w:szCs w:val="20"/>
              </w:rPr>
              <w:t>(In millions)</w:t>
            </w:r>
          </w:p>
        </w:tc>
      </w:tr>
      <w:tr w:rsidR="00611BDD" w14:paraId="540668AA" w14:textId="77777777">
        <w:tc>
          <w:tcPr>
            <w:tcW w:w="0" w:type="auto"/>
            <w:gridSpan w:val="3"/>
            <w:shd w:val="clear" w:color="auto" w:fill="E2EFD9"/>
            <w:tcMar>
              <w:top w:w="40" w:type="dxa"/>
              <w:left w:w="20" w:type="dxa"/>
              <w:bottom w:w="40" w:type="dxa"/>
              <w:right w:w="20" w:type="dxa"/>
            </w:tcMar>
            <w:vAlign w:val="bottom"/>
          </w:tcPr>
          <w:p w14:paraId="540668A2" w14:textId="77777777" w:rsidR="00611BDD" w:rsidRDefault="002E18C7">
            <w:pPr>
              <w:textAlignment w:val="bottom"/>
            </w:pPr>
            <w:r>
              <w:rPr>
                <w:rFonts w:ascii="sans-serif" w:eastAsia="sans-serif" w:hAnsi="sans-serif" w:cs="sans-serif"/>
                <w:color w:val="000000"/>
                <w:sz w:val="20"/>
                <w:szCs w:val="20"/>
              </w:rPr>
              <w:t>Revenue</w:t>
            </w:r>
          </w:p>
        </w:tc>
        <w:tc>
          <w:tcPr>
            <w:tcW w:w="0" w:type="auto"/>
            <w:shd w:val="clear" w:color="auto" w:fill="E2EFD9"/>
            <w:tcMar>
              <w:top w:w="40" w:type="dxa"/>
              <w:left w:w="20" w:type="dxa"/>
              <w:bottom w:w="40" w:type="dxa"/>
              <w:right w:w="0" w:type="dxa"/>
            </w:tcMar>
            <w:vAlign w:val="bottom"/>
          </w:tcPr>
          <w:p w14:paraId="540668A3"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8A4" w14:textId="77777777" w:rsidR="00611BDD" w:rsidRDefault="002E18C7">
            <w:pPr>
              <w:jc w:val="right"/>
              <w:textAlignment w:val="bottom"/>
            </w:pPr>
            <w:r>
              <w:rPr>
                <w:rFonts w:ascii="sans-serif" w:eastAsia="sans-serif" w:hAnsi="sans-serif" w:cs="sans-serif"/>
                <w:color w:val="000000"/>
                <w:sz w:val="20"/>
                <w:szCs w:val="20"/>
              </w:rPr>
              <w:t>3,866 </w:t>
            </w:r>
          </w:p>
        </w:tc>
        <w:tc>
          <w:tcPr>
            <w:tcW w:w="0" w:type="auto"/>
            <w:shd w:val="clear" w:color="auto" w:fill="E2EFD9"/>
            <w:tcMar>
              <w:top w:w="40" w:type="dxa"/>
              <w:left w:w="0" w:type="dxa"/>
              <w:bottom w:w="40" w:type="dxa"/>
              <w:right w:w="20" w:type="dxa"/>
            </w:tcMar>
            <w:vAlign w:val="bottom"/>
          </w:tcPr>
          <w:p w14:paraId="540668A5"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8A6"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8A7"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8A8" w14:textId="77777777" w:rsidR="00611BDD" w:rsidRDefault="002E18C7">
            <w:pPr>
              <w:jc w:val="right"/>
              <w:textAlignment w:val="bottom"/>
            </w:pPr>
            <w:r>
              <w:rPr>
                <w:rFonts w:ascii="sans-serif" w:eastAsia="sans-serif" w:hAnsi="sans-serif" w:cs="sans-serif"/>
                <w:color w:val="000000"/>
                <w:sz w:val="20"/>
                <w:szCs w:val="20"/>
              </w:rPr>
              <w:t>7,375 </w:t>
            </w:r>
          </w:p>
        </w:tc>
        <w:tc>
          <w:tcPr>
            <w:tcW w:w="0" w:type="auto"/>
            <w:shd w:val="clear" w:color="auto" w:fill="E2EFD9"/>
            <w:tcMar>
              <w:top w:w="40" w:type="dxa"/>
              <w:left w:w="0" w:type="dxa"/>
              <w:bottom w:w="40" w:type="dxa"/>
              <w:right w:w="20" w:type="dxa"/>
            </w:tcMar>
            <w:vAlign w:val="bottom"/>
          </w:tcPr>
          <w:p w14:paraId="540668A9" w14:textId="77777777" w:rsidR="00611BDD" w:rsidRDefault="00611BDD">
            <w:pPr>
              <w:jc w:val="right"/>
              <w:rPr>
                <w:rFonts w:ascii="宋体"/>
              </w:rPr>
            </w:pPr>
          </w:p>
        </w:tc>
      </w:tr>
      <w:tr w:rsidR="00611BDD" w14:paraId="540668B3" w14:textId="77777777">
        <w:tc>
          <w:tcPr>
            <w:tcW w:w="0" w:type="auto"/>
            <w:gridSpan w:val="3"/>
            <w:shd w:val="clear" w:color="auto" w:fill="FFFFFF"/>
            <w:tcMar>
              <w:top w:w="40" w:type="dxa"/>
              <w:left w:w="20" w:type="dxa"/>
              <w:bottom w:w="40" w:type="dxa"/>
              <w:right w:w="20" w:type="dxa"/>
            </w:tcMar>
            <w:vAlign w:val="bottom"/>
          </w:tcPr>
          <w:p w14:paraId="540668AB" w14:textId="77777777" w:rsidR="00611BDD" w:rsidRDefault="002E18C7">
            <w:pPr>
              <w:textAlignment w:val="bottom"/>
            </w:pPr>
            <w:r>
              <w:rPr>
                <w:rFonts w:ascii="sans-serif" w:eastAsia="sans-serif" w:hAnsi="sans-serif" w:cs="sans-serif"/>
                <w:color w:val="000000"/>
                <w:sz w:val="20"/>
                <w:szCs w:val="20"/>
              </w:rPr>
              <w:t xml:space="preserve">Net </w:t>
            </w:r>
            <w:r>
              <w:rPr>
                <w:rFonts w:ascii="sans-serif" w:eastAsia="sans-serif" w:hAnsi="sans-serif" w:cs="sans-serif"/>
                <w:color w:val="000000"/>
                <w:sz w:val="20"/>
                <w:szCs w:val="20"/>
              </w:rPr>
              <w:t>income</w:t>
            </w:r>
          </w:p>
        </w:tc>
        <w:tc>
          <w:tcPr>
            <w:tcW w:w="0" w:type="auto"/>
            <w:shd w:val="clear" w:color="auto" w:fill="FFFFFF"/>
            <w:tcMar>
              <w:top w:w="40" w:type="dxa"/>
              <w:left w:w="20" w:type="dxa"/>
              <w:bottom w:w="40" w:type="dxa"/>
              <w:right w:w="0" w:type="dxa"/>
            </w:tcMar>
            <w:vAlign w:val="bottom"/>
          </w:tcPr>
          <w:p w14:paraId="540668AC"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8AD" w14:textId="77777777" w:rsidR="00611BDD" w:rsidRDefault="002E18C7">
            <w:pPr>
              <w:jc w:val="right"/>
              <w:textAlignment w:val="bottom"/>
            </w:pPr>
            <w:r>
              <w:rPr>
                <w:rFonts w:ascii="sans-serif" w:eastAsia="sans-serif" w:hAnsi="sans-serif" w:cs="sans-serif"/>
                <w:color w:val="000000"/>
                <w:sz w:val="20"/>
                <w:szCs w:val="20"/>
              </w:rPr>
              <w:t>964 </w:t>
            </w:r>
          </w:p>
        </w:tc>
        <w:tc>
          <w:tcPr>
            <w:tcW w:w="0" w:type="auto"/>
            <w:shd w:val="clear" w:color="auto" w:fill="FFFFFF"/>
            <w:tcMar>
              <w:top w:w="40" w:type="dxa"/>
              <w:left w:w="0" w:type="dxa"/>
              <w:bottom w:w="40" w:type="dxa"/>
              <w:right w:w="20" w:type="dxa"/>
            </w:tcMar>
            <w:vAlign w:val="bottom"/>
          </w:tcPr>
          <w:p w14:paraId="540668AE"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8AF"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8B0"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8B1" w14:textId="77777777" w:rsidR="00611BDD" w:rsidRDefault="002E18C7">
            <w:pPr>
              <w:jc w:val="right"/>
              <w:textAlignment w:val="bottom"/>
            </w:pPr>
            <w:r>
              <w:rPr>
                <w:rFonts w:ascii="sans-serif" w:eastAsia="sans-serif" w:hAnsi="sans-serif" w:cs="sans-serif"/>
                <w:color w:val="000000"/>
                <w:sz w:val="20"/>
                <w:szCs w:val="20"/>
              </w:rPr>
              <w:t>1,883 </w:t>
            </w:r>
          </w:p>
        </w:tc>
        <w:tc>
          <w:tcPr>
            <w:tcW w:w="0" w:type="auto"/>
            <w:shd w:val="clear" w:color="auto" w:fill="FFFFFF"/>
            <w:tcMar>
              <w:top w:w="40" w:type="dxa"/>
              <w:left w:w="0" w:type="dxa"/>
              <w:bottom w:w="40" w:type="dxa"/>
              <w:right w:w="20" w:type="dxa"/>
            </w:tcMar>
            <w:vAlign w:val="bottom"/>
          </w:tcPr>
          <w:p w14:paraId="540668B2" w14:textId="77777777" w:rsidR="00611BDD" w:rsidRDefault="00611BDD">
            <w:pPr>
              <w:jc w:val="right"/>
              <w:rPr>
                <w:rFonts w:ascii="宋体"/>
              </w:rPr>
            </w:pPr>
          </w:p>
        </w:tc>
      </w:tr>
    </w:tbl>
    <w:p w14:paraId="540668B4" w14:textId="77777777" w:rsidR="00611BDD" w:rsidRDefault="002E18C7">
      <w:pPr>
        <w:spacing w:after="180"/>
        <w:jc w:val="both"/>
      </w:pPr>
      <w:r>
        <w:rPr>
          <w:rFonts w:ascii="sans-serif" w:eastAsia="sans-serif" w:hAnsi="sans-serif" w:cs="sans-serif"/>
          <w:color w:val="000000"/>
          <w:sz w:val="20"/>
          <w:szCs w:val="20"/>
        </w:rPr>
        <w:t>The unaudited pro forma information includes adjustments related to amortization of acquired intangible assets, adjustments to stock-based compensation expense, fair value of acquired inventory, and transaction costs. The unaudited pro forma information pr</w:t>
      </w:r>
      <w:r>
        <w:rPr>
          <w:rFonts w:ascii="sans-serif" w:eastAsia="sans-serif" w:hAnsi="sans-serif" w:cs="sans-serif"/>
          <w:color w:val="000000"/>
          <w:sz w:val="20"/>
          <w:szCs w:val="20"/>
        </w:rPr>
        <w:t>esented above is for informational purposes only and is not necessarily indicative of our consolidated results of operations of the combined business had the acquisition occurred at the beginning of fiscal year 2020 or of the results of our future operatio</w:t>
      </w:r>
      <w:r>
        <w:rPr>
          <w:rFonts w:ascii="sans-serif" w:eastAsia="sans-serif" w:hAnsi="sans-serif" w:cs="sans-serif"/>
          <w:color w:val="000000"/>
          <w:sz w:val="20"/>
          <w:szCs w:val="20"/>
        </w:rPr>
        <w:t xml:space="preserve">ns of the combined businesses. </w:t>
      </w:r>
    </w:p>
    <w:p w14:paraId="540668B5" w14:textId="77777777" w:rsidR="00611BDD" w:rsidRDefault="002E18C7">
      <w:pPr>
        <w:spacing w:after="180"/>
        <w:jc w:val="both"/>
      </w:pPr>
      <w:r>
        <w:rPr>
          <w:rFonts w:ascii="sans-serif" w:eastAsia="sans-serif" w:hAnsi="sans-serif" w:cs="sans-serif"/>
          <w:color w:val="000000"/>
          <w:sz w:val="20"/>
          <w:szCs w:val="20"/>
        </w:rPr>
        <w:t>The pro forma results reflect the inventory step-up expense of $161 million in the first half of fiscal year 2020 and was excluded from the pro forma results for the second quarter and first half of fiscal year 2021. There w</w:t>
      </w:r>
      <w:r>
        <w:rPr>
          <w:rFonts w:ascii="sans-serif" w:eastAsia="sans-serif" w:hAnsi="sans-serif" w:cs="sans-serif"/>
          <w:color w:val="000000"/>
          <w:sz w:val="20"/>
          <w:szCs w:val="20"/>
        </w:rPr>
        <w:t>ere no other material nonrecurring adjustments.</w:t>
      </w:r>
    </w:p>
    <w:p w14:paraId="540668B6" w14:textId="77777777" w:rsidR="00611BDD" w:rsidRDefault="002E18C7">
      <w:pPr>
        <w:spacing w:after="180"/>
        <w:jc w:val="center"/>
      </w:pPr>
      <w:r>
        <w:rPr>
          <w:rFonts w:ascii="sans-serif" w:eastAsia="sans-serif" w:hAnsi="sans-serif" w:cs="sans-serif"/>
          <w:color w:val="000000"/>
          <w:sz w:val="20"/>
          <w:szCs w:val="20"/>
        </w:rPr>
        <w:t>10</w:t>
      </w:r>
    </w:p>
    <w:p w14:paraId="540668B7" w14:textId="77777777" w:rsidR="00611BDD" w:rsidRDefault="002E18C7">
      <w:r>
        <w:pict w14:anchorId="54067C2E">
          <v:rect id="_x0000_i1034" style="width:415.3pt;height:1.5pt" o:hralign="center" o:hrstd="t" o:hr="t" fillcolor="#a0a0a0" stroked="f"/>
        </w:pict>
      </w:r>
    </w:p>
    <w:p w14:paraId="540668B8" w14:textId="77777777" w:rsidR="00611BDD" w:rsidRDefault="002E18C7">
      <w:pPr>
        <w:jc w:val="center"/>
      </w:pPr>
      <w:r>
        <w:rPr>
          <w:rFonts w:ascii="sans-serif" w:eastAsia="sans-serif" w:hAnsi="sans-serif" w:cs="sans-serif"/>
          <w:b/>
          <w:bCs/>
          <w:color w:val="000000"/>
          <w:sz w:val="20"/>
          <w:szCs w:val="20"/>
        </w:rPr>
        <w:t>NVIDIA CORPORATION AND SUBSIDIARIES</w:t>
      </w:r>
    </w:p>
    <w:p w14:paraId="540668B9" w14:textId="77777777" w:rsidR="00611BDD" w:rsidRDefault="002E18C7">
      <w:pPr>
        <w:jc w:val="center"/>
      </w:pPr>
      <w:r>
        <w:rPr>
          <w:rFonts w:ascii="sans-serif" w:eastAsia="sans-serif" w:hAnsi="sans-serif" w:cs="sans-serif"/>
          <w:b/>
          <w:bCs/>
          <w:color w:val="000000"/>
          <w:sz w:val="20"/>
          <w:szCs w:val="20"/>
        </w:rPr>
        <w:t>NOTES TO CONDENSED CONSOLIDATED FINANCIAL STATEMENTS (Continued)</w:t>
      </w:r>
    </w:p>
    <w:p w14:paraId="540668BA" w14:textId="77777777" w:rsidR="00611BDD" w:rsidRDefault="002E18C7">
      <w:pPr>
        <w:jc w:val="center"/>
      </w:pPr>
      <w:r>
        <w:rPr>
          <w:rFonts w:ascii="sans-serif" w:eastAsia="sans-serif" w:hAnsi="sans-serif" w:cs="sans-serif"/>
          <w:b/>
          <w:bCs/>
          <w:color w:val="000000"/>
          <w:sz w:val="20"/>
          <w:szCs w:val="20"/>
        </w:rPr>
        <w:t>(Unaudited)</w:t>
      </w:r>
    </w:p>
    <w:p w14:paraId="540668BB" w14:textId="77777777" w:rsidR="00611BDD" w:rsidRDefault="00611BDD">
      <w:pPr>
        <w:spacing w:after="180"/>
        <w:jc w:val="both"/>
      </w:pPr>
    </w:p>
    <w:p w14:paraId="540668BC" w14:textId="77777777" w:rsidR="00611BDD" w:rsidRDefault="00611BDD">
      <w:pPr>
        <w:spacing w:after="180"/>
        <w:jc w:val="both"/>
      </w:pPr>
    </w:p>
    <w:p w14:paraId="540668BD" w14:textId="77777777" w:rsidR="00611BDD" w:rsidRDefault="002E18C7">
      <w:pPr>
        <w:spacing w:before="240" w:after="120"/>
        <w:jc w:val="both"/>
      </w:pPr>
      <w:r>
        <w:rPr>
          <w:rFonts w:ascii="sans-serif" w:eastAsia="sans-serif" w:hAnsi="sans-serif" w:cs="sans-serif"/>
          <w:b/>
          <w:bCs/>
          <w:color w:val="76B900"/>
          <w:sz w:val="22"/>
          <w:szCs w:val="22"/>
        </w:rPr>
        <w:t>Note 3 - Leases</w:t>
      </w:r>
    </w:p>
    <w:p w14:paraId="540668BE" w14:textId="77777777" w:rsidR="00611BDD" w:rsidRDefault="002E18C7">
      <w:pPr>
        <w:spacing w:before="240" w:after="60"/>
        <w:jc w:val="both"/>
      </w:pPr>
      <w:r>
        <w:rPr>
          <w:rFonts w:ascii="sans-serif" w:eastAsia="sans-serif" w:hAnsi="sans-serif" w:cs="sans-serif"/>
          <w:color w:val="000000"/>
          <w:sz w:val="20"/>
          <w:szCs w:val="20"/>
        </w:rPr>
        <w:t xml:space="preserve">Our lease obligations primarily consist of operating leases for our </w:t>
      </w:r>
      <w:r>
        <w:rPr>
          <w:rFonts w:ascii="sans-serif" w:eastAsia="sans-serif" w:hAnsi="sans-serif" w:cs="sans-serif"/>
          <w:color w:val="000000"/>
          <w:sz w:val="20"/>
          <w:szCs w:val="20"/>
        </w:rPr>
        <w:t>headquarters complex, domestic and international office facilities, and data center space, with lease periods expiring between fiscal years 2022 and 2035.</w:t>
      </w:r>
    </w:p>
    <w:p w14:paraId="540668BF" w14:textId="77777777" w:rsidR="00611BDD" w:rsidRDefault="002E18C7">
      <w:pPr>
        <w:spacing w:before="180" w:after="360"/>
        <w:jc w:val="both"/>
      </w:pPr>
      <w:r>
        <w:rPr>
          <w:rFonts w:ascii="sans-serif" w:eastAsia="sans-serif" w:hAnsi="sans-serif" w:cs="sans-serif"/>
          <w:color w:val="000000"/>
          <w:sz w:val="20"/>
          <w:szCs w:val="20"/>
        </w:rPr>
        <w:t xml:space="preserve">Future minimum lease payments under our non-cancelable operating leases as of August 1, 2021, are as </w:t>
      </w:r>
      <w:r>
        <w:rPr>
          <w:rFonts w:ascii="sans-serif" w:eastAsia="sans-serif" w:hAnsi="sans-serif" w:cs="sans-serif"/>
          <w:color w:val="000000"/>
          <w:sz w:val="20"/>
          <w:szCs w:val="20"/>
        </w:rPr>
        <w:t xml:space="preserve">follows: </w:t>
      </w:r>
    </w:p>
    <w:tbl>
      <w:tblPr>
        <w:tblW w:w="5000" w:type="pct"/>
        <w:tblCellMar>
          <w:top w:w="15" w:type="dxa"/>
          <w:left w:w="15" w:type="dxa"/>
          <w:bottom w:w="15" w:type="dxa"/>
          <w:right w:w="15" w:type="dxa"/>
        </w:tblCellMar>
        <w:tblLook w:val="04A0" w:firstRow="1" w:lastRow="0" w:firstColumn="1" w:lastColumn="0" w:noHBand="0" w:noVBand="1"/>
      </w:tblPr>
      <w:tblGrid>
        <w:gridCol w:w="51"/>
        <w:gridCol w:w="6653"/>
        <w:gridCol w:w="38"/>
        <w:gridCol w:w="123"/>
        <w:gridCol w:w="1435"/>
        <w:gridCol w:w="36"/>
      </w:tblGrid>
      <w:tr w:rsidR="00611BDD" w14:paraId="540668C6" w14:textId="77777777">
        <w:tc>
          <w:tcPr>
            <w:tcW w:w="50" w:type="pct"/>
            <w:shd w:val="clear" w:color="auto" w:fill="auto"/>
            <w:vAlign w:val="bottom"/>
          </w:tcPr>
          <w:p w14:paraId="540668C0" w14:textId="77777777" w:rsidR="00611BDD" w:rsidRDefault="00611BDD">
            <w:pPr>
              <w:rPr>
                <w:rFonts w:ascii="宋体"/>
              </w:rPr>
            </w:pPr>
          </w:p>
        </w:tc>
        <w:tc>
          <w:tcPr>
            <w:tcW w:w="4009" w:type="pct"/>
            <w:shd w:val="clear" w:color="auto" w:fill="auto"/>
            <w:vAlign w:val="bottom"/>
          </w:tcPr>
          <w:p w14:paraId="540668C1" w14:textId="77777777" w:rsidR="00611BDD" w:rsidRDefault="00611BDD">
            <w:pPr>
              <w:rPr>
                <w:rFonts w:ascii="宋体"/>
              </w:rPr>
            </w:pPr>
          </w:p>
        </w:tc>
        <w:tc>
          <w:tcPr>
            <w:tcW w:w="5" w:type="pct"/>
            <w:shd w:val="clear" w:color="auto" w:fill="auto"/>
            <w:vAlign w:val="bottom"/>
          </w:tcPr>
          <w:p w14:paraId="540668C2" w14:textId="77777777" w:rsidR="00611BDD" w:rsidRDefault="00611BDD">
            <w:pPr>
              <w:rPr>
                <w:rFonts w:ascii="宋体"/>
              </w:rPr>
            </w:pPr>
          </w:p>
        </w:tc>
        <w:tc>
          <w:tcPr>
            <w:tcW w:w="50" w:type="pct"/>
            <w:shd w:val="clear" w:color="auto" w:fill="auto"/>
            <w:vAlign w:val="bottom"/>
          </w:tcPr>
          <w:p w14:paraId="540668C3" w14:textId="77777777" w:rsidR="00611BDD" w:rsidRDefault="00611BDD">
            <w:pPr>
              <w:rPr>
                <w:rFonts w:ascii="宋体"/>
              </w:rPr>
            </w:pPr>
          </w:p>
        </w:tc>
        <w:tc>
          <w:tcPr>
            <w:tcW w:w="880" w:type="pct"/>
            <w:shd w:val="clear" w:color="auto" w:fill="auto"/>
            <w:vAlign w:val="bottom"/>
          </w:tcPr>
          <w:p w14:paraId="540668C4" w14:textId="77777777" w:rsidR="00611BDD" w:rsidRDefault="00611BDD">
            <w:pPr>
              <w:rPr>
                <w:rFonts w:ascii="宋体"/>
              </w:rPr>
            </w:pPr>
          </w:p>
        </w:tc>
        <w:tc>
          <w:tcPr>
            <w:tcW w:w="5" w:type="pct"/>
            <w:shd w:val="clear" w:color="auto" w:fill="auto"/>
            <w:vAlign w:val="bottom"/>
          </w:tcPr>
          <w:p w14:paraId="540668C5" w14:textId="77777777" w:rsidR="00611BDD" w:rsidRDefault="00611BDD">
            <w:pPr>
              <w:rPr>
                <w:rFonts w:ascii="宋体"/>
              </w:rPr>
            </w:pPr>
          </w:p>
        </w:tc>
      </w:tr>
      <w:tr w:rsidR="00611BDD" w14:paraId="540668C9" w14:textId="77777777">
        <w:tc>
          <w:tcPr>
            <w:tcW w:w="0" w:type="auto"/>
            <w:gridSpan w:val="3"/>
            <w:shd w:val="clear" w:color="auto" w:fill="auto"/>
            <w:tcMar>
              <w:top w:w="0" w:type="dxa"/>
              <w:left w:w="20" w:type="dxa"/>
              <w:bottom w:w="0" w:type="dxa"/>
              <w:right w:w="20" w:type="dxa"/>
            </w:tcMar>
            <w:vAlign w:val="bottom"/>
          </w:tcPr>
          <w:p w14:paraId="540668C7" w14:textId="77777777" w:rsidR="00611BDD" w:rsidRDefault="00611BDD">
            <w:pPr>
              <w:rPr>
                <w:rFonts w:ascii="宋体"/>
              </w:rPr>
            </w:pPr>
          </w:p>
        </w:tc>
        <w:tc>
          <w:tcPr>
            <w:tcW w:w="0" w:type="auto"/>
            <w:gridSpan w:val="3"/>
            <w:shd w:val="clear" w:color="auto" w:fill="FFFFFF"/>
            <w:tcMar>
              <w:top w:w="40" w:type="dxa"/>
              <w:left w:w="20" w:type="dxa"/>
              <w:bottom w:w="40" w:type="dxa"/>
              <w:right w:w="20" w:type="dxa"/>
            </w:tcMar>
            <w:vAlign w:val="bottom"/>
          </w:tcPr>
          <w:p w14:paraId="540668C8" w14:textId="77777777" w:rsidR="00611BDD" w:rsidRDefault="002E18C7">
            <w:pPr>
              <w:jc w:val="center"/>
              <w:textAlignment w:val="bottom"/>
            </w:pPr>
            <w:r>
              <w:rPr>
                <w:rFonts w:ascii="sans-serif" w:eastAsia="sans-serif" w:hAnsi="sans-serif" w:cs="sans-serif"/>
                <w:b/>
                <w:bCs/>
                <w:color w:val="000000"/>
                <w:sz w:val="20"/>
                <w:szCs w:val="20"/>
              </w:rPr>
              <w:t>Operating Lease Obligations</w:t>
            </w:r>
          </w:p>
        </w:tc>
      </w:tr>
      <w:tr w:rsidR="00611BDD" w14:paraId="540668CC" w14:textId="77777777">
        <w:tc>
          <w:tcPr>
            <w:tcW w:w="0" w:type="auto"/>
            <w:gridSpan w:val="3"/>
            <w:shd w:val="clear" w:color="auto" w:fill="auto"/>
            <w:tcMar>
              <w:top w:w="40" w:type="dxa"/>
              <w:left w:w="20" w:type="dxa"/>
              <w:bottom w:w="40" w:type="dxa"/>
              <w:right w:w="20" w:type="dxa"/>
            </w:tcMar>
            <w:vAlign w:val="bottom"/>
          </w:tcPr>
          <w:p w14:paraId="540668CA"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8CB" w14:textId="77777777" w:rsidR="00611BDD" w:rsidRDefault="002E18C7">
            <w:pPr>
              <w:jc w:val="center"/>
              <w:textAlignment w:val="bottom"/>
            </w:pPr>
            <w:r>
              <w:rPr>
                <w:rFonts w:ascii="sans-serif" w:eastAsia="sans-serif" w:hAnsi="sans-serif" w:cs="sans-serif"/>
                <w:i/>
                <w:iCs/>
                <w:color w:val="000000"/>
                <w:sz w:val="20"/>
                <w:szCs w:val="20"/>
              </w:rPr>
              <w:t>(In millions)</w:t>
            </w:r>
          </w:p>
        </w:tc>
      </w:tr>
      <w:tr w:rsidR="00611BDD" w14:paraId="540668CF" w14:textId="77777777">
        <w:tc>
          <w:tcPr>
            <w:tcW w:w="0" w:type="auto"/>
            <w:gridSpan w:val="3"/>
            <w:shd w:val="clear" w:color="auto" w:fill="E2EFD9"/>
            <w:tcMar>
              <w:top w:w="40" w:type="dxa"/>
              <w:left w:w="20" w:type="dxa"/>
              <w:bottom w:w="40" w:type="dxa"/>
              <w:right w:w="20" w:type="dxa"/>
            </w:tcMar>
            <w:vAlign w:val="bottom"/>
          </w:tcPr>
          <w:p w14:paraId="540668CD" w14:textId="77777777" w:rsidR="00611BDD" w:rsidRDefault="002E18C7">
            <w:pPr>
              <w:textAlignment w:val="bottom"/>
            </w:pPr>
            <w:r>
              <w:rPr>
                <w:rFonts w:ascii="sans-serif" w:eastAsia="sans-serif" w:hAnsi="sans-serif" w:cs="sans-serif"/>
                <w:b/>
                <w:bCs/>
                <w:color w:val="000000"/>
                <w:sz w:val="20"/>
                <w:szCs w:val="20"/>
              </w:rPr>
              <w:t>Fiscal Year:</w:t>
            </w:r>
          </w:p>
        </w:tc>
        <w:tc>
          <w:tcPr>
            <w:tcW w:w="0" w:type="auto"/>
            <w:gridSpan w:val="3"/>
            <w:shd w:val="clear" w:color="auto" w:fill="E2EFD9"/>
            <w:tcMar>
              <w:top w:w="40" w:type="dxa"/>
              <w:left w:w="20" w:type="dxa"/>
              <w:bottom w:w="40" w:type="dxa"/>
              <w:right w:w="20" w:type="dxa"/>
            </w:tcMar>
            <w:vAlign w:val="bottom"/>
          </w:tcPr>
          <w:p w14:paraId="540668CE" w14:textId="77777777" w:rsidR="00611BDD" w:rsidRDefault="002E18C7">
            <w:pPr>
              <w:textAlignment w:val="bottom"/>
            </w:pPr>
            <w:r>
              <w:rPr>
                <w:rFonts w:ascii="sans-serif" w:eastAsia="sans-serif" w:hAnsi="sans-serif" w:cs="sans-serif"/>
                <w:color w:val="000000"/>
                <w:sz w:val="20"/>
                <w:szCs w:val="20"/>
              </w:rPr>
              <w:t> </w:t>
            </w:r>
          </w:p>
        </w:tc>
      </w:tr>
      <w:tr w:rsidR="00611BDD" w14:paraId="540668D4" w14:textId="77777777">
        <w:tc>
          <w:tcPr>
            <w:tcW w:w="0" w:type="auto"/>
            <w:gridSpan w:val="3"/>
            <w:shd w:val="clear" w:color="auto" w:fill="FFFFFF"/>
            <w:tcMar>
              <w:top w:w="40" w:type="dxa"/>
              <w:left w:w="20" w:type="dxa"/>
              <w:bottom w:w="40" w:type="dxa"/>
              <w:right w:w="20" w:type="dxa"/>
            </w:tcMar>
            <w:vAlign w:val="bottom"/>
          </w:tcPr>
          <w:p w14:paraId="540668D0" w14:textId="77777777" w:rsidR="00611BDD" w:rsidRDefault="002E18C7">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2022 (excluding first half of fiscal year 2022)</w:t>
            </w:r>
          </w:p>
        </w:tc>
        <w:tc>
          <w:tcPr>
            <w:tcW w:w="0" w:type="auto"/>
            <w:shd w:val="clear" w:color="auto" w:fill="FFFFFF"/>
            <w:tcMar>
              <w:top w:w="40" w:type="dxa"/>
              <w:left w:w="20" w:type="dxa"/>
              <w:bottom w:w="40" w:type="dxa"/>
              <w:right w:w="0" w:type="dxa"/>
            </w:tcMar>
            <w:vAlign w:val="bottom"/>
          </w:tcPr>
          <w:p w14:paraId="540668D1"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8D2" w14:textId="77777777" w:rsidR="00611BDD" w:rsidRDefault="002E18C7">
            <w:pPr>
              <w:jc w:val="right"/>
              <w:textAlignment w:val="bottom"/>
            </w:pPr>
            <w:r>
              <w:rPr>
                <w:rFonts w:ascii="sans-serif" w:eastAsia="sans-serif" w:hAnsi="sans-serif" w:cs="sans-serif"/>
                <w:color w:val="000000"/>
                <w:sz w:val="20"/>
                <w:szCs w:val="20"/>
              </w:rPr>
              <w:t>81 </w:t>
            </w:r>
          </w:p>
        </w:tc>
        <w:tc>
          <w:tcPr>
            <w:tcW w:w="0" w:type="auto"/>
            <w:shd w:val="clear" w:color="auto" w:fill="FFFFFF"/>
            <w:tcMar>
              <w:top w:w="40" w:type="dxa"/>
              <w:left w:w="0" w:type="dxa"/>
              <w:bottom w:w="40" w:type="dxa"/>
              <w:right w:w="20" w:type="dxa"/>
            </w:tcMar>
            <w:vAlign w:val="bottom"/>
          </w:tcPr>
          <w:p w14:paraId="540668D3" w14:textId="77777777" w:rsidR="00611BDD" w:rsidRDefault="00611BDD">
            <w:pPr>
              <w:jc w:val="right"/>
              <w:rPr>
                <w:rFonts w:ascii="宋体"/>
              </w:rPr>
            </w:pPr>
          </w:p>
        </w:tc>
      </w:tr>
      <w:tr w:rsidR="00611BDD" w14:paraId="540668D8" w14:textId="77777777">
        <w:tc>
          <w:tcPr>
            <w:tcW w:w="0" w:type="auto"/>
            <w:gridSpan w:val="3"/>
            <w:shd w:val="clear" w:color="auto" w:fill="E2EFD9"/>
            <w:tcMar>
              <w:top w:w="40" w:type="dxa"/>
              <w:left w:w="20" w:type="dxa"/>
              <w:bottom w:w="40" w:type="dxa"/>
              <w:right w:w="20" w:type="dxa"/>
            </w:tcMar>
            <w:vAlign w:val="bottom"/>
          </w:tcPr>
          <w:p w14:paraId="540668D5" w14:textId="77777777" w:rsidR="00611BDD" w:rsidRDefault="002E18C7">
            <w:pPr>
              <w:textAlignment w:val="bottom"/>
            </w:pPr>
            <w:r>
              <w:rPr>
                <w:rFonts w:ascii="sans-serif" w:eastAsia="sans-serif" w:hAnsi="sans-serif" w:cs="sans-serif"/>
                <w:color w:val="000000"/>
                <w:sz w:val="20"/>
                <w:szCs w:val="20"/>
              </w:rPr>
              <w:t>2023</w:t>
            </w:r>
          </w:p>
        </w:tc>
        <w:tc>
          <w:tcPr>
            <w:tcW w:w="0" w:type="auto"/>
            <w:gridSpan w:val="2"/>
            <w:shd w:val="clear" w:color="auto" w:fill="E2EFD9"/>
            <w:tcMar>
              <w:top w:w="40" w:type="dxa"/>
              <w:left w:w="20" w:type="dxa"/>
              <w:bottom w:w="40" w:type="dxa"/>
              <w:right w:w="0" w:type="dxa"/>
            </w:tcMar>
            <w:vAlign w:val="bottom"/>
          </w:tcPr>
          <w:p w14:paraId="540668D6" w14:textId="77777777" w:rsidR="00611BDD" w:rsidRDefault="002E18C7">
            <w:pPr>
              <w:jc w:val="right"/>
              <w:textAlignment w:val="bottom"/>
            </w:pPr>
            <w:r>
              <w:rPr>
                <w:rFonts w:ascii="sans-serif" w:eastAsia="sans-serif" w:hAnsi="sans-serif" w:cs="sans-serif"/>
                <w:color w:val="000000"/>
                <w:sz w:val="20"/>
                <w:szCs w:val="20"/>
              </w:rPr>
              <w:t>156 </w:t>
            </w:r>
          </w:p>
        </w:tc>
        <w:tc>
          <w:tcPr>
            <w:tcW w:w="0" w:type="auto"/>
            <w:shd w:val="clear" w:color="auto" w:fill="E2EFD9"/>
            <w:tcMar>
              <w:top w:w="40" w:type="dxa"/>
              <w:left w:w="0" w:type="dxa"/>
              <w:bottom w:w="40" w:type="dxa"/>
              <w:right w:w="20" w:type="dxa"/>
            </w:tcMar>
            <w:vAlign w:val="bottom"/>
          </w:tcPr>
          <w:p w14:paraId="540668D7" w14:textId="77777777" w:rsidR="00611BDD" w:rsidRDefault="00611BDD">
            <w:pPr>
              <w:jc w:val="right"/>
              <w:rPr>
                <w:rFonts w:ascii="宋体"/>
              </w:rPr>
            </w:pPr>
          </w:p>
        </w:tc>
      </w:tr>
      <w:tr w:rsidR="00611BDD" w14:paraId="540668DC" w14:textId="77777777">
        <w:tc>
          <w:tcPr>
            <w:tcW w:w="0" w:type="auto"/>
            <w:gridSpan w:val="3"/>
            <w:shd w:val="clear" w:color="auto" w:fill="FFFFFF"/>
            <w:tcMar>
              <w:top w:w="40" w:type="dxa"/>
              <w:left w:w="20" w:type="dxa"/>
              <w:bottom w:w="40" w:type="dxa"/>
              <w:right w:w="20" w:type="dxa"/>
            </w:tcMar>
            <w:vAlign w:val="bottom"/>
          </w:tcPr>
          <w:p w14:paraId="540668D9" w14:textId="77777777" w:rsidR="00611BDD" w:rsidRDefault="002E18C7">
            <w:pPr>
              <w:textAlignment w:val="bottom"/>
            </w:pPr>
            <w:r>
              <w:rPr>
                <w:rFonts w:ascii="sans-serif" w:eastAsia="sans-serif" w:hAnsi="sans-serif" w:cs="sans-serif"/>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540668DA" w14:textId="77777777" w:rsidR="00611BDD" w:rsidRDefault="002E18C7">
            <w:pPr>
              <w:jc w:val="right"/>
              <w:textAlignment w:val="bottom"/>
            </w:pPr>
            <w:r>
              <w:rPr>
                <w:rFonts w:ascii="sans-serif" w:eastAsia="sans-serif" w:hAnsi="sans-serif" w:cs="sans-serif"/>
                <w:color w:val="000000"/>
                <w:sz w:val="20"/>
                <w:szCs w:val="20"/>
              </w:rPr>
              <w:t>139 </w:t>
            </w:r>
          </w:p>
        </w:tc>
        <w:tc>
          <w:tcPr>
            <w:tcW w:w="0" w:type="auto"/>
            <w:shd w:val="clear" w:color="auto" w:fill="FFFFFF"/>
            <w:tcMar>
              <w:top w:w="40" w:type="dxa"/>
              <w:left w:w="0" w:type="dxa"/>
              <w:bottom w:w="40" w:type="dxa"/>
              <w:right w:w="20" w:type="dxa"/>
            </w:tcMar>
            <w:vAlign w:val="bottom"/>
          </w:tcPr>
          <w:p w14:paraId="540668DB" w14:textId="77777777" w:rsidR="00611BDD" w:rsidRDefault="00611BDD">
            <w:pPr>
              <w:jc w:val="right"/>
              <w:rPr>
                <w:rFonts w:ascii="宋体"/>
              </w:rPr>
            </w:pPr>
          </w:p>
        </w:tc>
      </w:tr>
      <w:tr w:rsidR="00611BDD" w14:paraId="540668E0" w14:textId="77777777">
        <w:tc>
          <w:tcPr>
            <w:tcW w:w="0" w:type="auto"/>
            <w:gridSpan w:val="3"/>
            <w:shd w:val="clear" w:color="auto" w:fill="E2EFD9"/>
            <w:tcMar>
              <w:top w:w="40" w:type="dxa"/>
              <w:left w:w="20" w:type="dxa"/>
              <w:bottom w:w="40" w:type="dxa"/>
              <w:right w:w="20" w:type="dxa"/>
            </w:tcMar>
            <w:vAlign w:val="bottom"/>
          </w:tcPr>
          <w:p w14:paraId="540668DD" w14:textId="77777777" w:rsidR="00611BDD" w:rsidRDefault="002E18C7">
            <w:pPr>
              <w:textAlignment w:val="bottom"/>
            </w:pPr>
            <w:r>
              <w:rPr>
                <w:rFonts w:ascii="sans-serif" w:eastAsia="sans-serif" w:hAnsi="sans-serif" w:cs="sans-serif"/>
                <w:color w:val="000000"/>
                <w:sz w:val="20"/>
                <w:szCs w:val="20"/>
              </w:rPr>
              <w:t>2025</w:t>
            </w:r>
          </w:p>
        </w:tc>
        <w:tc>
          <w:tcPr>
            <w:tcW w:w="0" w:type="auto"/>
            <w:gridSpan w:val="2"/>
            <w:shd w:val="clear" w:color="auto" w:fill="E2EFD9"/>
            <w:tcMar>
              <w:top w:w="40" w:type="dxa"/>
              <w:left w:w="20" w:type="dxa"/>
              <w:bottom w:w="40" w:type="dxa"/>
              <w:right w:w="0" w:type="dxa"/>
            </w:tcMar>
            <w:vAlign w:val="bottom"/>
          </w:tcPr>
          <w:p w14:paraId="540668DE" w14:textId="77777777" w:rsidR="00611BDD" w:rsidRDefault="002E18C7">
            <w:pPr>
              <w:jc w:val="right"/>
              <w:textAlignment w:val="bottom"/>
            </w:pPr>
            <w:r>
              <w:rPr>
                <w:rFonts w:ascii="sans-serif" w:eastAsia="sans-serif" w:hAnsi="sans-serif" w:cs="sans-serif"/>
                <w:color w:val="000000"/>
                <w:sz w:val="20"/>
                <w:szCs w:val="20"/>
              </w:rPr>
              <w:t>119 </w:t>
            </w:r>
          </w:p>
        </w:tc>
        <w:tc>
          <w:tcPr>
            <w:tcW w:w="0" w:type="auto"/>
            <w:shd w:val="clear" w:color="auto" w:fill="E2EFD9"/>
            <w:tcMar>
              <w:top w:w="40" w:type="dxa"/>
              <w:left w:w="0" w:type="dxa"/>
              <w:bottom w:w="40" w:type="dxa"/>
              <w:right w:w="20" w:type="dxa"/>
            </w:tcMar>
            <w:vAlign w:val="bottom"/>
          </w:tcPr>
          <w:p w14:paraId="540668DF" w14:textId="77777777" w:rsidR="00611BDD" w:rsidRDefault="00611BDD">
            <w:pPr>
              <w:jc w:val="right"/>
              <w:rPr>
                <w:rFonts w:ascii="宋体"/>
              </w:rPr>
            </w:pPr>
          </w:p>
        </w:tc>
      </w:tr>
      <w:tr w:rsidR="00611BDD" w14:paraId="540668E4" w14:textId="77777777">
        <w:tc>
          <w:tcPr>
            <w:tcW w:w="0" w:type="auto"/>
            <w:gridSpan w:val="3"/>
            <w:shd w:val="clear" w:color="auto" w:fill="FFFFFF"/>
            <w:tcMar>
              <w:top w:w="40" w:type="dxa"/>
              <w:left w:w="20" w:type="dxa"/>
              <w:bottom w:w="40" w:type="dxa"/>
              <w:right w:w="20" w:type="dxa"/>
            </w:tcMar>
            <w:vAlign w:val="bottom"/>
          </w:tcPr>
          <w:p w14:paraId="540668E1" w14:textId="77777777" w:rsidR="00611BDD" w:rsidRDefault="002E18C7">
            <w:pPr>
              <w:textAlignment w:val="bottom"/>
            </w:pPr>
            <w:r>
              <w:rPr>
                <w:rFonts w:ascii="sans-serif" w:eastAsia="sans-serif" w:hAnsi="sans-serif" w:cs="sans-serif"/>
                <w:color w:val="000000"/>
                <w:sz w:val="20"/>
                <w:szCs w:val="20"/>
              </w:rPr>
              <w:t>2026</w:t>
            </w:r>
          </w:p>
        </w:tc>
        <w:tc>
          <w:tcPr>
            <w:tcW w:w="0" w:type="auto"/>
            <w:gridSpan w:val="2"/>
            <w:shd w:val="clear" w:color="auto" w:fill="FFFFFF"/>
            <w:tcMar>
              <w:top w:w="40" w:type="dxa"/>
              <w:left w:w="20" w:type="dxa"/>
              <w:bottom w:w="40" w:type="dxa"/>
              <w:right w:w="0" w:type="dxa"/>
            </w:tcMar>
            <w:vAlign w:val="bottom"/>
          </w:tcPr>
          <w:p w14:paraId="540668E2" w14:textId="77777777" w:rsidR="00611BDD" w:rsidRDefault="002E18C7">
            <w:pPr>
              <w:jc w:val="right"/>
              <w:textAlignment w:val="bottom"/>
            </w:pPr>
            <w:r>
              <w:rPr>
                <w:rFonts w:ascii="sans-serif" w:eastAsia="sans-serif" w:hAnsi="sans-serif" w:cs="sans-serif"/>
                <w:color w:val="000000"/>
                <w:sz w:val="20"/>
                <w:szCs w:val="20"/>
              </w:rPr>
              <w:t>111 </w:t>
            </w:r>
          </w:p>
        </w:tc>
        <w:tc>
          <w:tcPr>
            <w:tcW w:w="0" w:type="auto"/>
            <w:shd w:val="clear" w:color="auto" w:fill="FFFFFF"/>
            <w:tcMar>
              <w:top w:w="40" w:type="dxa"/>
              <w:left w:w="0" w:type="dxa"/>
              <w:bottom w:w="40" w:type="dxa"/>
              <w:right w:w="20" w:type="dxa"/>
            </w:tcMar>
            <w:vAlign w:val="bottom"/>
          </w:tcPr>
          <w:p w14:paraId="540668E3" w14:textId="77777777" w:rsidR="00611BDD" w:rsidRDefault="00611BDD">
            <w:pPr>
              <w:jc w:val="right"/>
              <w:rPr>
                <w:rFonts w:ascii="宋体"/>
              </w:rPr>
            </w:pPr>
          </w:p>
        </w:tc>
      </w:tr>
      <w:tr w:rsidR="00611BDD" w14:paraId="540668E8" w14:textId="77777777">
        <w:tc>
          <w:tcPr>
            <w:tcW w:w="0" w:type="auto"/>
            <w:gridSpan w:val="3"/>
            <w:shd w:val="clear" w:color="auto" w:fill="E2EFD9"/>
            <w:tcMar>
              <w:top w:w="40" w:type="dxa"/>
              <w:left w:w="20" w:type="dxa"/>
              <w:bottom w:w="40" w:type="dxa"/>
              <w:right w:w="20" w:type="dxa"/>
            </w:tcMar>
            <w:vAlign w:val="bottom"/>
          </w:tcPr>
          <w:p w14:paraId="540668E5" w14:textId="77777777" w:rsidR="00611BDD" w:rsidRDefault="002E18C7">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2027 and thereafter</w:t>
            </w:r>
          </w:p>
        </w:tc>
        <w:tc>
          <w:tcPr>
            <w:tcW w:w="0" w:type="auto"/>
            <w:gridSpan w:val="2"/>
            <w:shd w:val="clear" w:color="auto" w:fill="E2EFD9"/>
            <w:tcMar>
              <w:top w:w="40" w:type="dxa"/>
              <w:left w:w="20" w:type="dxa"/>
              <w:bottom w:w="40" w:type="dxa"/>
              <w:right w:w="0" w:type="dxa"/>
            </w:tcMar>
            <w:vAlign w:val="bottom"/>
          </w:tcPr>
          <w:p w14:paraId="540668E6" w14:textId="77777777" w:rsidR="00611BDD" w:rsidRDefault="002E18C7">
            <w:pPr>
              <w:jc w:val="right"/>
              <w:textAlignment w:val="bottom"/>
            </w:pPr>
            <w:r>
              <w:rPr>
                <w:rFonts w:ascii="sans-serif" w:eastAsia="sans-serif" w:hAnsi="sans-serif" w:cs="sans-serif"/>
                <w:color w:val="000000"/>
                <w:sz w:val="20"/>
                <w:szCs w:val="20"/>
              </w:rPr>
              <w:t>355 </w:t>
            </w:r>
          </w:p>
        </w:tc>
        <w:tc>
          <w:tcPr>
            <w:tcW w:w="0" w:type="auto"/>
            <w:shd w:val="clear" w:color="auto" w:fill="E2EFD9"/>
            <w:tcMar>
              <w:top w:w="40" w:type="dxa"/>
              <w:left w:w="0" w:type="dxa"/>
              <w:bottom w:w="40" w:type="dxa"/>
              <w:right w:w="20" w:type="dxa"/>
            </w:tcMar>
            <w:vAlign w:val="bottom"/>
          </w:tcPr>
          <w:p w14:paraId="540668E7" w14:textId="77777777" w:rsidR="00611BDD" w:rsidRDefault="00611BDD">
            <w:pPr>
              <w:jc w:val="right"/>
              <w:rPr>
                <w:rFonts w:ascii="宋体"/>
              </w:rPr>
            </w:pPr>
          </w:p>
        </w:tc>
      </w:tr>
      <w:tr w:rsidR="00611BDD" w14:paraId="540668EC" w14:textId="77777777">
        <w:tc>
          <w:tcPr>
            <w:tcW w:w="0" w:type="auto"/>
            <w:gridSpan w:val="3"/>
            <w:shd w:val="clear" w:color="auto" w:fill="FFFFFF"/>
            <w:tcMar>
              <w:top w:w="40" w:type="dxa"/>
              <w:left w:w="245" w:type="dxa"/>
              <w:bottom w:w="40" w:type="dxa"/>
              <w:right w:w="20" w:type="dxa"/>
            </w:tcMar>
            <w:vAlign w:val="bottom"/>
          </w:tcPr>
          <w:p w14:paraId="540668E9" w14:textId="77777777" w:rsidR="00611BDD" w:rsidRDefault="002E18C7">
            <w:pPr>
              <w:textAlignment w:val="bottom"/>
            </w:pPr>
            <w:r>
              <w:rPr>
                <w:rFonts w:ascii="sans-serif" w:eastAsia="sans-serif" w:hAnsi="sans-serif" w:cs="sans-serif"/>
                <w:color w:val="000000"/>
                <w:sz w:val="20"/>
                <w:szCs w:val="20"/>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8EA" w14:textId="77777777" w:rsidR="00611BDD" w:rsidRDefault="002E18C7">
            <w:pPr>
              <w:jc w:val="right"/>
              <w:textAlignment w:val="bottom"/>
            </w:pPr>
            <w:r>
              <w:rPr>
                <w:rFonts w:ascii="sans-serif" w:eastAsia="sans-serif" w:hAnsi="sans-serif" w:cs="sans-serif"/>
                <w:color w:val="000000"/>
                <w:sz w:val="20"/>
                <w:szCs w:val="20"/>
              </w:rPr>
              <w:t>961 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8EB" w14:textId="77777777" w:rsidR="00611BDD" w:rsidRDefault="00611BDD">
            <w:pPr>
              <w:jc w:val="right"/>
              <w:rPr>
                <w:rFonts w:ascii="宋体"/>
              </w:rPr>
            </w:pPr>
          </w:p>
        </w:tc>
      </w:tr>
      <w:tr w:rsidR="00611BDD" w14:paraId="540668F0" w14:textId="77777777">
        <w:tc>
          <w:tcPr>
            <w:tcW w:w="0" w:type="auto"/>
            <w:gridSpan w:val="3"/>
            <w:shd w:val="clear" w:color="auto" w:fill="E2EFD9"/>
            <w:tcMar>
              <w:top w:w="40" w:type="dxa"/>
              <w:left w:w="20" w:type="dxa"/>
              <w:bottom w:w="40" w:type="dxa"/>
              <w:right w:w="20" w:type="dxa"/>
            </w:tcMar>
            <w:vAlign w:val="bottom"/>
          </w:tcPr>
          <w:p w14:paraId="540668ED" w14:textId="77777777" w:rsidR="00611BDD" w:rsidRDefault="002E18C7">
            <w:pPr>
              <w:textAlignment w:val="bottom"/>
            </w:pPr>
            <w:r>
              <w:rPr>
                <w:rFonts w:ascii="sans-serif" w:eastAsia="sans-serif" w:hAnsi="sans-serif" w:cs="sans-serif"/>
                <w:color w:val="000000"/>
                <w:sz w:val="20"/>
                <w:szCs w:val="20"/>
              </w:rPr>
              <w:t>Less imputed interest</w:t>
            </w:r>
          </w:p>
        </w:tc>
        <w:tc>
          <w:tcPr>
            <w:tcW w:w="0" w:type="auto"/>
            <w:gridSpan w:val="2"/>
            <w:shd w:val="clear" w:color="auto" w:fill="E2EFD9"/>
            <w:tcMar>
              <w:top w:w="40" w:type="dxa"/>
              <w:left w:w="20" w:type="dxa"/>
              <w:bottom w:w="40" w:type="dxa"/>
              <w:right w:w="0" w:type="dxa"/>
            </w:tcMar>
            <w:vAlign w:val="bottom"/>
          </w:tcPr>
          <w:p w14:paraId="540668EE" w14:textId="77777777" w:rsidR="00611BDD" w:rsidRDefault="002E18C7">
            <w:pPr>
              <w:jc w:val="right"/>
              <w:textAlignment w:val="bottom"/>
            </w:pPr>
            <w:r>
              <w:rPr>
                <w:rFonts w:ascii="sans-serif" w:eastAsia="sans-serif" w:hAnsi="sans-serif" w:cs="sans-serif"/>
                <w:color w:val="000000"/>
                <w:sz w:val="20"/>
                <w:szCs w:val="20"/>
              </w:rPr>
              <w:t>113 </w:t>
            </w:r>
          </w:p>
        </w:tc>
        <w:tc>
          <w:tcPr>
            <w:tcW w:w="0" w:type="auto"/>
            <w:shd w:val="clear" w:color="auto" w:fill="E2EFD9"/>
            <w:tcMar>
              <w:top w:w="40" w:type="dxa"/>
              <w:left w:w="0" w:type="dxa"/>
              <w:bottom w:w="40" w:type="dxa"/>
              <w:right w:w="20" w:type="dxa"/>
            </w:tcMar>
            <w:vAlign w:val="bottom"/>
          </w:tcPr>
          <w:p w14:paraId="540668EF" w14:textId="77777777" w:rsidR="00611BDD" w:rsidRDefault="00611BDD">
            <w:pPr>
              <w:jc w:val="right"/>
              <w:rPr>
                <w:rFonts w:ascii="宋体"/>
              </w:rPr>
            </w:pPr>
          </w:p>
        </w:tc>
      </w:tr>
      <w:tr w:rsidR="00611BDD" w14:paraId="540668F4" w14:textId="77777777">
        <w:tc>
          <w:tcPr>
            <w:tcW w:w="0" w:type="auto"/>
            <w:gridSpan w:val="3"/>
            <w:shd w:val="clear" w:color="auto" w:fill="FFFFFF"/>
            <w:tcMar>
              <w:top w:w="40" w:type="dxa"/>
              <w:left w:w="20" w:type="dxa"/>
              <w:bottom w:w="40" w:type="dxa"/>
              <w:right w:w="20" w:type="dxa"/>
            </w:tcMar>
            <w:vAlign w:val="bottom"/>
          </w:tcPr>
          <w:p w14:paraId="540668F1" w14:textId="77777777" w:rsidR="00611BDD" w:rsidRDefault="002E18C7">
            <w:pPr>
              <w:textAlignment w:val="bottom"/>
            </w:pPr>
            <w:r>
              <w:rPr>
                <w:rFonts w:ascii="sans-serif" w:eastAsia="sans-serif" w:hAnsi="sans-serif" w:cs="sans-serif"/>
                <w:color w:val="000000"/>
                <w:sz w:val="20"/>
                <w:szCs w:val="20"/>
              </w:rPr>
              <w:t>Present value of net future minimum lease payments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8F2" w14:textId="77777777" w:rsidR="00611BDD" w:rsidRDefault="002E18C7">
            <w:pPr>
              <w:jc w:val="right"/>
              <w:textAlignment w:val="bottom"/>
            </w:pPr>
            <w:r>
              <w:rPr>
                <w:rFonts w:ascii="sans-serif" w:eastAsia="sans-serif" w:hAnsi="sans-serif" w:cs="sans-serif"/>
                <w:color w:val="000000"/>
                <w:sz w:val="20"/>
                <w:szCs w:val="20"/>
              </w:rPr>
              <w:t>848 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8F3" w14:textId="77777777" w:rsidR="00611BDD" w:rsidRDefault="00611BDD">
            <w:pPr>
              <w:jc w:val="right"/>
              <w:rPr>
                <w:rFonts w:ascii="宋体"/>
              </w:rPr>
            </w:pPr>
          </w:p>
        </w:tc>
      </w:tr>
      <w:tr w:rsidR="00611BDD" w14:paraId="540668F8" w14:textId="77777777">
        <w:tc>
          <w:tcPr>
            <w:tcW w:w="0" w:type="auto"/>
            <w:gridSpan w:val="3"/>
            <w:shd w:val="clear" w:color="auto" w:fill="E2EFD9"/>
            <w:tcMar>
              <w:top w:w="40" w:type="dxa"/>
              <w:left w:w="20" w:type="dxa"/>
              <w:bottom w:w="40" w:type="dxa"/>
              <w:right w:w="20" w:type="dxa"/>
            </w:tcMar>
            <w:vAlign w:val="bottom"/>
          </w:tcPr>
          <w:p w14:paraId="540668F5" w14:textId="77777777" w:rsidR="00611BDD" w:rsidRDefault="002E18C7">
            <w:pPr>
              <w:textAlignment w:val="bottom"/>
            </w:pPr>
            <w:r>
              <w:rPr>
                <w:rFonts w:ascii="sans-serif" w:eastAsia="sans-serif" w:hAnsi="sans-serif" w:cs="sans-serif"/>
                <w:color w:val="000000"/>
                <w:sz w:val="20"/>
                <w:szCs w:val="20"/>
              </w:rPr>
              <w:t>Less short-term operating lease liabilities</w:t>
            </w:r>
          </w:p>
        </w:tc>
        <w:tc>
          <w:tcPr>
            <w:tcW w:w="0" w:type="auto"/>
            <w:gridSpan w:val="2"/>
            <w:shd w:val="clear" w:color="auto" w:fill="E2EFD9"/>
            <w:tcMar>
              <w:top w:w="40" w:type="dxa"/>
              <w:left w:w="20" w:type="dxa"/>
              <w:bottom w:w="40" w:type="dxa"/>
              <w:right w:w="0" w:type="dxa"/>
            </w:tcMar>
            <w:vAlign w:val="bottom"/>
          </w:tcPr>
          <w:p w14:paraId="540668F6" w14:textId="77777777" w:rsidR="00611BDD" w:rsidRDefault="002E18C7">
            <w:pPr>
              <w:jc w:val="right"/>
              <w:textAlignment w:val="bottom"/>
            </w:pPr>
            <w:r>
              <w:rPr>
                <w:rFonts w:ascii="sans-serif" w:eastAsia="sans-serif" w:hAnsi="sans-serif" w:cs="sans-serif"/>
                <w:color w:val="000000"/>
                <w:sz w:val="20"/>
                <w:szCs w:val="20"/>
              </w:rPr>
              <w:t>132 </w:t>
            </w:r>
          </w:p>
        </w:tc>
        <w:tc>
          <w:tcPr>
            <w:tcW w:w="0" w:type="auto"/>
            <w:shd w:val="clear" w:color="auto" w:fill="E2EFD9"/>
            <w:tcMar>
              <w:top w:w="40" w:type="dxa"/>
              <w:left w:w="0" w:type="dxa"/>
              <w:bottom w:w="40" w:type="dxa"/>
              <w:right w:w="20" w:type="dxa"/>
            </w:tcMar>
            <w:vAlign w:val="bottom"/>
          </w:tcPr>
          <w:p w14:paraId="540668F7" w14:textId="77777777" w:rsidR="00611BDD" w:rsidRDefault="00611BDD">
            <w:pPr>
              <w:jc w:val="right"/>
              <w:rPr>
                <w:rFonts w:ascii="宋体"/>
              </w:rPr>
            </w:pPr>
          </w:p>
        </w:tc>
      </w:tr>
      <w:tr w:rsidR="00611BDD" w14:paraId="540668FD" w14:textId="77777777">
        <w:tc>
          <w:tcPr>
            <w:tcW w:w="0" w:type="auto"/>
            <w:gridSpan w:val="3"/>
            <w:shd w:val="clear" w:color="auto" w:fill="FFFFFF"/>
            <w:tcMar>
              <w:top w:w="40" w:type="dxa"/>
              <w:left w:w="245" w:type="dxa"/>
              <w:bottom w:w="40" w:type="dxa"/>
              <w:right w:w="20" w:type="dxa"/>
            </w:tcMar>
            <w:vAlign w:val="bottom"/>
          </w:tcPr>
          <w:p w14:paraId="540668F9" w14:textId="77777777" w:rsidR="00611BDD" w:rsidRDefault="002E18C7">
            <w:pPr>
              <w:textAlignment w:val="bottom"/>
            </w:pPr>
            <w:r>
              <w:rPr>
                <w:rFonts w:ascii="sans-serif" w:eastAsia="sans-serif" w:hAnsi="sans-serif" w:cs="sans-serif"/>
                <w:color w:val="000000"/>
                <w:sz w:val="20"/>
                <w:szCs w:val="20"/>
              </w:rPr>
              <w:t>Long-term operating lease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40668FA"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40668FB" w14:textId="77777777" w:rsidR="00611BDD" w:rsidRDefault="002E18C7">
            <w:pPr>
              <w:jc w:val="right"/>
              <w:textAlignment w:val="bottom"/>
            </w:pPr>
            <w:r>
              <w:rPr>
                <w:rFonts w:ascii="sans-serif" w:eastAsia="sans-serif" w:hAnsi="sans-serif" w:cs="sans-serif"/>
                <w:color w:val="000000"/>
                <w:sz w:val="20"/>
                <w:szCs w:val="20"/>
              </w:rPr>
              <w:t>716 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40668FC" w14:textId="77777777" w:rsidR="00611BDD" w:rsidRDefault="00611BDD">
            <w:pPr>
              <w:jc w:val="right"/>
              <w:rPr>
                <w:rFonts w:ascii="宋体"/>
              </w:rPr>
            </w:pPr>
          </w:p>
        </w:tc>
      </w:tr>
    </w:tbl>
    <w:p w14:paraId="540668FE" w14:textId="77777777" w:rsidR="00611BDD" w:rsidRDefault="002E18C7">
      <w:pPr>
        <w:spacing w:before="360" w:after="180"/>
        <w:jc w:val="both"/>
      </w:pPr>
      <w:r>
        <w:rPr>
          <w:rFonts w:ascii="sans-serif" w:eastAsia="sans-serif" w:hAnsi="sans-serif" w:cs="sans-serif"/>
          <w:color w:val="000000"/>
          <w:sz w:val="20"/>
          <w:szCs w:val="20"/>
        </w:rPr>
        <w:t>Operating lease expenses were $42 million and $35 million for the second quarter of fiscal years 2022 and 2021, respectively, and $81 million and $67 million for the first half of fiscal years 2022 and 2021, respectively. Short-term and variable lease expe</w:t>
      </w:r>
      <w:r>
        <w:rPr>
          <w:rFonts w:ascii="sans-serif" w:eastAsia="sans-serif" w:hAnsi="sans-serif" w:cs="sans-serif"/>
          <w:color w:val="000000"/>
          <w:sz w:val="20"/>
          <w:szCs w:val="20"/>
        </w:rPr>
        <w:t xml:space="preserve">nses for the second quarter and first half of fiscal years 2022 and 2021 were not significant. </w:t>
      </w:r>
    </w:p>
    <w:p w14:paraId="540668FF" w14:textId="77777777" w:rsidR="00611BDD" w:rsidRDefault="002E18C7">
      <w:pPr>
        <w:spacing w:after="180"/>
        <w:jc w:val="both"/>
      </w:pPr>
      <w:r>
        <w:rPr>
          <w:rFonts w:ascii="sans-serif" w:eastAsia="sans-serif" w:hAnsi="sans-serif" w:cs="sans-serif"/>
          <w:color w:val="000000"/>
          <w:sz w:val="20"/>
          <w:szCs w:val="20"/>
        </w:rPr>
        <w:t>Other information related to leases was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449"/>
        <w:gridCol w:w="36"/>
        <w:gridCol w:w="123"/>
        <w:gridCol w:w="1192"/>
        <w:gridCol w:w="37"/>
        <w:gridCol w:w="36"/>
        <w:gridCol w:w="37"/>
        <w:gridCol w:w="36"/>
        <w:gridCol w:w="122"/>
        <w:gridCol w:w="1192"/>
        <w:gridCol w:w="36"/>
      </w:tblGrid>
      <w:tr w:rsidR="00611BDD" w14:paraId="5406690C" w14:textId="77777777">
        <w:tc>
          <w:tcPr>
            <w:tcW w:w="50" w:type="pct"/>
            <w:shd w:val="clear" w:color="auto" w:fill="auto"/>
            <w:vAlign w:val="bottom"/>
          </w:tcPr>
          <w:p w14:paraId="54066900" w14:textId="77777777" w:rsidR="00611BDD" w:rsidRDefault="00611BDD">
            <w:pPr>
              <w:rPr>
                <w:rFonts w:ascii="宋体"/>
              </w:rPr>
            </w:pPr>
          </w:p>
        </w:tc>
        <w:tc>
          <w:tcPr>
            <w:tcW w:w="3292" w:type="pct"/>
            <w:shd w:val="clear" w:color="auto" w:fill="auto"/>
            <w:vAlign w:val="bottom"/>
          </w:tcPr>
          <w:p w14:paraId="54066901" w14:textId="77777777" w:rsidR="00611BDD" w:rsidRDefault="00611BDD">
            <w:pPr>
              <w:rPr>
                <w:rFonts w:ascii="宋体"/>
              </w:rPr>
            </w:pPr>
          </w:p>
        </w:tc>
        <w:tc>
          <w:tcPr>
            <w:tcW w:w="5" w:type="pct"/>
            <w:shd w:val="clear" w:color="auto" w:fill="auto"/>
            <w:vAlign w:val="bottom"/>
          </w:tcPr>
          <w:p w14:paraId="54066902" w14:textId="77777777" w:rsidR="00611BDD" w:rsidRDefault="00611BDD">
            <w:pPr>
              <w:rPr>
                <w:rFonts w:ascii="宋体"/>
              </w:rPr>
            </w:pPr>
          </w:p>
        </w:tc>
        <w:tc>
          <w:tcPr>
            <w:tcW w:w="50" w:type="pct"/>
            <w:shd w:val="clear" w:color="auto" w:fill="auto"/>
            <w:vAlign w:val="bottom"/>
          </w:tcPr>
          <w:p w14:paraId="54066903" w14:textId="77777777" w:rsidR="00611BDD" w:rsidRDefault="00611BDD">
            <w:pPr>
              <w:rPr>
                <w:rFonts w:ascii="宋体"/>
              </w:rPr>
            </w:pPr>
          </w:p>
        </w:tc>
        <w:tc>
          <w:tcPr>
            <w:tcW w:w="741" w:type="pct"/>
            <w:shd w:val="clear" w:color="auto" w:fill="auto"/>
            <w:vAlign w:val="bottom"/>
          </w:tcPr>
          <w:p w14:paraId="54066904" w14:textId="77777777" w:rsidR="00611BDD" w:rsidRDefault="00611BDD">
            <w:pPr>
              <w:rPr>
                <w:rFonts w:ascii="宋体"/>
              </w:rPr>
            </w:pPr>
          </w:p>
        </w:tc>
        <w:tc>
          <w:tcPr>
            <w:tcW w:w="5" w:type="pct"/>
            <w:shd w:val="clear" w:color="auto" w:fill="auto"/>
            <w:vAlign w:val="bottom"/>
          </w:tcPr>
          <w:p w14:paraId="54066905" w14:textId="77777777" w:rsidR="00611BDD" w:rsidRDefault="00611BDD">
            <w:pPr>
              <w:rPr>
                <w:rFonts w:ascii="宋体"/>
              </w:rPr>
            </w:pPr>
          </w:p>
        </w:tc>
        <w:tc>
          <w:tcPr>
            <w:tcW w:w="5" w:type="pct"/>
            <w:shd w:val="clear" w:color="auto" w:fill="auto"/>
            <w:vAlign w:val="bottom"/>
          </w:tcPr>
          <w:p w14:paraId="54066906" w14:textId="77777777" w:rsidR="00611BDD" w:rsidRDefault="00611BDD">
            <w:pPr>
              <w:rPr>
                <w:rFonts w:ascii="宋体"/>
              </w:rPr>
            </w:pPr>
          </w:p>
        </w:tc>
        <w:tc>
          <w:tcPr>
            <w:tcW w:w="48" w:type="pct"/>
            <w:shd w:val="clear" w:color="auto" w:fill="auto"/>
            <w:vAlign w:val="bottom"/>
          </w:tcPr>
          <w:p w14:paraId="54066907" w14:textId="77777777" w:rsidR="00611BDD" w:rsidRDefault="00611BDD">
            <w:pPr>
              <w:rPr>
                <w:rFonts w:ascii="宋体"/>
              </w:rPr>
            </w:pPr>
          </w:p>
        </w:tc>
        <w:tc>
          <w:tcPr>
            <w:tcW w:w="5" w:type="pct"/>
            <w:shd w:val="clear" w:color="auto" w:fill="auto"/>
            <w:vAlign w:val="bottom"/>
          </w:tcPr>
          <w:p w14:paraId="54066908" w14:textId="77777777" w:rsidR="00611BDD" w:rsidRDefault="00611BDD">
            <w:pPr>
              <w:rPr>
                <w:rFonts w:ascii="宋体"/>
              </w:rPr>
            </w:pPr>
          </w:p>
        </w:tc>
        <w:tc>
          <w:tcPr>
            <w:tcW w:w="50" w:type="pct"/>
            <w:shd w:val="clear" w:color="auto" w:fill="auto"/>
            <w:vAlign w:val="bottom"/>
          </w:tcPr>
          <w:p w14:paraId="54066909" w14:textId="77777777" w:rsidR="00611BDD" w:rsidRDefault="00611BDD">
            <w:pPr>
              <w:rPr>
                <w:rFonts w:ascii="宋体"/>
              </w:rPr>
            </w:pPr>
          </w:p>
        </w:tc>
        <w:tc>
          <w:tcPr>
            <w:tcW w:w="741" w:type="pct"/>
            <w:shd w:val="clear" w:color="auto" w:fill="auto"/>
            <w:vAlign w:val="bottom"/>
          </w:tcPr>
          <w:p w14:paraId="5406690A" w14:textId="77777777" w:rsidR="00611BDD" w:rsidRDefault="00611BDD">
            <w:pPr>
              <w:rPr>
                <w:rFonts w:ascii="宋体"/>
              </w:rPr>
            </w:pPr>
          </w:p>
        </w:tc>
        <w:tc>
          <w:tcPr>
            <w:tcW w:w="5" w:type="pct"/>
            <w:shd w:val="clear" w:color="auto" w:fill="auto"/>
            <w:vAlign w:val="bottom"/>
          </w:tcPr>
          <w:p w14:paraId="5406690B" w14:textId="77777777" w:rsidR="00611BDD" w:rsidRDefault="00611BDD">
            <w:pPr>
              <w:rPr>
                <w:rFonts w:ascii="宋体"/>
              </w:rPr>
            </w:pPr>
          </w:p>
        </w:tc>
      </w:tr>
      <w:tr w:rsidR="00611BDD" w14:paraId="5406690F" w14:textId="77777777">
        <w:tc>
          <w:tcPr>
            <w:tcW w:w="0" w:type="auto"/>
            <w:gridSpan w:val="3"/>
            <w:shd w:val="clear" w:color="auto" w:fill="auto"/>
            <w:tcMar>
              <w:top w:w="0" w:type="dxa"/>
              <w:left w:w="20" w:type="dxa"/>
              <w:bottom w:w="0" w:type="dxa"/>
              <w:right w:w="20" w:type="dxa"/>
            </w:tcMar>
            <w:vAlign w:val="bottom"/>
          </w:tcPr>
          <w:p w14:paraId="5406690D" w14:textId="77777777" w:rsidR="00611BDD" w:rsidRDefault="00611BDD">
            <w:pPr>
              <w:rPr>
                <w:rFonts w:ascii="宋体"/>
              </w:rPr>
            </w:pPr>
          </w:p>
        </w:tc>
        <w:tc>
          <w:tcPr>
            <w:tcW w:w="0" w:type="auto"/>
            <w:gridSpan w:val="9"/>
            <w:shd w:val="clear" w:color="auto" w:fill="auto"/>
            <w:tcMar>
              <w:top w:w="40" w:type="dxa"/>
              <w:left w:w="20" w:type="dxa"/>
              <w:bottom w:w="40" w:type="dxa"/>
              <w:right w:w="20" w:type="dxa"/>
            </w:tcMar>
            <w:vAlign w:val="bottom"/>
          </w:tcPr>
          <w:p w14:paraId="5406690E" w14:textId="77777777" w:rsidR="00611BDD" w:rsidRDefault="002E18C7">
            <w:pPr>
              <w:jc w:val="center"/>
              <w:textAlignment w:val="bottom"/>
            </w:pPr>
            <w:r>
              <w:rPr>
                <w:rFonts w:ascii="sans-serif" w:eastAsia="sans-serif" w:hAnsi="sans-serif" w:cs="sans-serif"/>
                <w:b/>
                <w:bCs/>
                <w:color w:val="000000"/>
                <w:sz w:val="20"/>
                <w:szCs w:val="20"/>
              </w:rPr>
              <w:t>Six Months Ended</w:t>
            </w:r>
          </w:p>
        </w:tc>
      </w:tr>
      <w:tr w:rsidR="00611BDD" w14:paraId="54066914" w14:textId="77777777">
        <w:tc>
          <w:tcPr>
            <w:tcW w:w="0" w:type="auto"/>
            <w:gridSpan w:val="3"/>
            <w:shd w:val="clear" w:color="auto" w:fill="auto"/>
            <w:tcMar>
              <w:top w:w="0" w:type="dxa"/>
              <w:left w:w="20" w:type="dxa"/>
              <w:bottom w:w="0" w:type="dxa"/>
              <w:right w:w="20" w:type="dxa"/>
            </w:tcMar>
            <w:vAlign w:val="bottom"/>
          </w:tcPr>
          <w:p w14:paraId="54066910"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911" w14:textId="77777777" w:rsidR="00611BDD" w:rsidRDefault="002E18C7">
            <w:pPr>
              <w:jc w:val="center"/>
              <w:textAlignment w:val="bottom"/>
            </w:pPr>
            <w:r>
              <w:rPr>
                <w:rFonts w:ascii="sans-serif" w:eastAsia="sans-serif" w:hAnsi="sans-serif" w:cs="sans-serif"/>
                <w:b/>
                <w:bCs/>
                <w:color w:val="000000"/>
                <w:sz w:val="20"/>
                <w:szCs w:val="20"/>
              </w:rPr>
              <w:t>August 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912"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913" w14:textId="77777777" w:rsidR="00611BDD" w:rsidRDefault="002E18C7">
            <w:pPr>
              <w:jc w:val="center"/>
              <w:textAlignment w:val="bottom"/>
            </w:pPr>
            <w:r>
              <w:rPr>
                <w:rFonts w:ascii="sans-serif" w:eastAsia="sans-serif" w:hAnsi="sans-serif" w:cs="sans-serif"/>
                <w:b/>
                <w:bCs/>
                <w:color w:val="000000"/>
                <w:sz w:val="20"/>
                <w:szCs w:val="20"/>
              </w:rPr>
              <w:t>July 26, 2020</w:t>
            </w:r>
          </w:p>
        </w:tc>
      </w:tr>
      <w:tr w:rsidR="00611BDD" w14:paraId="54066919" w14:textId="77777777">
        <w:trPr>
          <w:trHeight w:val="60"/>
        </w:trPr>
        <w:tc>
          <w:tcPr>
            <w:tcW w:w="0" w:type="auto"/>
            <w:gridSpan w:val="3"/>
            <w:shd w:val="clear" w:color="auto" w:fill="auto"/>
            <w:tcMar>
              <w:top w:w="0" w:type="dxa"/>
              <w:left w:w="20" w:type="dxa"/>
              <w:bottom w:w="0" w:type="dxa"/>
              <w:right w:w="20" w:type="dxa"/>
            </w:tcMar>
            <w:vAlign w:val="bottom"/>
          </w:tcPr>
          <w:p w14:paraId="54066915"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916"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917"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918" w14:textId="77777777" w:rsidR="00611BDD" w:rsidRDefault="00611BDD">
            <w:pPr>
              <w:rPr>
                <w:rFonts w:ascii="宋体"/>
              </w:rPr>
            </w:pPr>
          </w:p>
        </w:tc>
      </w:tr>
      <w:tr w:rsidR="00611BDD" w14:paraId="5406691C" w14:textId="77777777">
        <w:tc>
          <w:tcPr>
            <w:tcW w:w="0" w:type="auto"/>
            <w:gridSpan w:val="3"/>
            <w:shd w:val="clear" w:color="auto" w:fill="auto"/>
            <w:tcMar>
              <w:top w:w="40" w:type="dxa"/>
              <w:left w:w="20" w:type="dxa"/>
              <w:bottom w:w="40" w:type="dxa"/>
              <w:right w:w="20" w:type="dxa"/>
            </w:tcMar>
            <w:vAlign w:val="bottom"/>
          </w:tcPr>
          <w:p w14:paraId="5406691A" w14:textId="77777777" w:rsidR="00611BDD" w:rsidRDefault="002E18C7">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5406691B" w14:textId="77777777" w:rsidR="00611BDD" w:rsidRDefault="002E18C7">
            <w:pPr>
              <w:jc w:val="center"/>
              <w:textAlignment w:val="bottom"/>
            </w:pPr>
            <w:r>
              <w:rPr>
                <w:rFonts w:ascii="sans-serif" w:eastAsia="sans-serif" w:hAnsi="sans-serif" w:cs="sans-serif"/>
                <w:i/>
                <w:iCs/>
                <w:color w:val="000000"/>
                <w:sz w:val="20"/>
                <w:szCs w:val="20"/>
              </w:rPr>
              <w:t>(In millions)</w:t>
            </w:r>
          </w:p>
        </w:tc>
      </w:tr>
      <w:tr w:rsidR="00611BDD" w14:paraId="54066921" w14:textId="77777777">
        <w:tc>
          <w:tcPr>
            <w:tcW w:w="0" w:type="auto"/>
            <w:gridSpan w:val="3"/>
            <w:shd w:val="clear" w:color="auto" w:fill="E2EFD9"/>
            <w:tcMar>
              <w:top w:w="40" w:type="dxa"/>
              <w:left w:w="20" w:type="dxa"/>
              <w:bottom w:w="40" w:type="dxa"/>
              <w:right w:w="20" w:type="dxa"/>
            </w:tcMar>
            <w:vAlign w:val="bottom"/>
          </w:tcPr>
          <w:p w14:paraId="5406691D" w14:textId="77777777" w:rsidR="00611BDD" w:rsidRDefault="002E18C7">
            <w:pPr>
              <w:textAlignment w:val="bottom"/>
            </w:pPr>
            <w:r>
              <w:rPr>
                <w:rFonts w:ascii="sans-serif" w:eastAsia="sans-serif" w:hAnsi="sans-serif" w:cs="sans-serif"/>
                <w:b/>
                <w:bCs/>
                <w:color w:val="000000"/>
                <w:sz w:val="20"/>
                <w:szCs w:val="20"/>
              </w:rPr>
              <w:t>Supplemental cash flows information</w:t>
            </w:r>
          </w:p>
        </w:tc>
        <w:tc>
          <w:tcPr>
            <w:tcW w:w="0" w:type="auto"/>
            <w:gridSpan w:val="3"/>
            <w:shd w:val="clear" w:color="auto" w:fill="E2EFD9"/>
            <w:tcMar>
              <w:top w:w="0" w:type="dxa"/>
              <w:left w:w="20" w:type="dxa"/>
              <w:bottom w:w="0" w:type="dxa"/>
              <w:right w:w="20" w:type="dxa"/>
            </w:tcMar>
            <w:vAlign w:val="bottom"/>
          </w:tcPr>
          <w:p w14:paraId="5406691E"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91F" w14:textId="77777777" w:rsidR="00611BDD" w:rsidRDefault="00611BDD">
            <w:pPr>
              <w:rPr>
                <w:rFonts w:ascii="宋体"/>
              </w:rPr>
            </w:pPr>
          </w:p>
        </w:tc>
        <w:tc>
          <w:tcPr>
            <w:tcW w:w="0" w:type="auto"/>
            <w:gridSpan w:val="3"/>
            <w:shd w:val="clear" w:color="auto" w:fill="E2EFD9"/>
            <w:tcMar>
              <w:top w:w="40" w:type="dxa"/>
              <w:left w:w="20" w:type="dxa"/>
              <w:bottom w:w="40" w:type="dxa"/>
              <w:right w:w="20" w:type="dxa"/>
            </w:tcMar>
            <w:vAlign w:val="bottom"/>
          </w:tcPr>
          <w:p w14:paraId="54066920" w14:textId="77777777" w:rsidR="00611BDD" w:rsidRDefault="002E18C7">
            <w:pPr>
              <w:textAlignment w:val="bottom"/>
            </w:pPr>
            <w:r>
              <w:rPr>
                <w:rFonts w:ascii="sans-serif" w:eastAsia="sans-serif" w:hAnsi="sans-serif" w:cs="sans-serif"/>
                <w:color w:val="000000"/>
                <w:sz w:val="20"/>
                <w:szCs w:val="20"/>
              </w:rPr>
              <w:t> </w:t>
            </w:r>
          </w:p>
        </w:tc>
      </w:tr>
      <w:tr w:rsidR="00611BDD" w14:paraId="5406692A" w14:textId="77777777">
        <w:tc>
          <w:tcPr>
            <w:tcW w:w="0" w:type="auto"/>
            <w:gridSpan w:val="3"/>
            <w:shd w:val="clear" w:color="auto" w:fill="FFFFFF"/>
            <w:tcMar>
              <w:top w:w="40" w:type="dxa"/>
              <w:left w:w="20" w:type="dxa"/>
              <w:bottom w:w="40" w:type="dxa"/>
              <w:right w:w="20" w:type="dxa"/>
            </w:tcMar>
            <w:vAlign w:val="bottom"/>
          </w:tcPr>
          <w:p w14:paraId="54066922" w14:textId="77777777" w:rsidR="00611BDD" w:rsidRDefault="002E18C7">
            <w:pPr>
              <w:textAlignment w:val="bottom"/>
            </w:pPr>
            <w:r>
              <w:rPr>
                <w:rFonts w:ascii="sans-serif" w:eastAsia="sans-serif" w:hAnsi="sans-serif" w:cs="sans-serif"/>
                <w:color w:val="000000"/>
                <w:sz w:val="20"/>
                <w:szCs w:val="20"/>
              </w:rPr>
              <w:t>Operating cash flows used for operating leases</w:t>
            </w:r>
          </w:p>
        </w:tc>
        <w:tc>
          <w:tcPr>
            <w:tcW w:w="0" w:type="auto"/>
            <w:shd w:val="clear" w:color="auto" w:fill="FFFFFF"/>
            <w:tcMar>
              <w:top w:w="40" w:type="dxa"/>
              <w:left w:w="20" w:type="dxa"/>
              <w:bottom w:w="40" w:type="dxa"/>
              <w:right w:w="0" w:type="dxa"/>
            </w:tcMar>
            <w:vAlign w:val="bottom"/>
          </w:tcPr>
          <w:p w14:paraId="54066923"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924" w14:textId="77777777" w:rsidR="00611BDD" w:rsidRDefault="002E18C7">
            <w:pPr>
              <w:jc w:val="right"/>
              <w:textAlignment w:val="bottom"/>
            </w:pPr>
            <w:r>
              <w:rPr>
                <w:rFonts w:ascii="sans-serif" w:eastAsia="sans-serif" w:hAnsi="sans-serif" w:cs="sans-serif"/>
                <w:color w:val="000000"/>
                <w:sz w:val="20"/>
                <w:szCs w:val="20"/>
              </w:rPr>
              <w:t>75 </w:t>
            </w:r>
          </w:p>
        </w:tc>
        <w:tc>
          <w:tcPr>
            <w:tcW w:w="0" w:type="auto"/>
            <w:shd w:val="clear" w:color="auto" w:fill="FFFFFF"/>
            <w:tcMar>
              <w:top w:w="40" w:type="dxa"/>
              <w:left w:w="0" w:type="dxa"/>
              <w:bottom w:w="40" w:type="dxa"/>
              <w:right w:w="20" w:type="dxa"/>
            </w:tcMar>
            <w:vAlign w:val="bottom"/>
          </w:tcPr>
          <w:p w14:paraId="54066925"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926"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927"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928" w14:textId="77777777" w:rsidR="00611BDD" w:rsidRDefault="002E18C7">
            <w:pPr>
              <w:jc w:val="right"/>
              <w:textAlignment w:val="bottom"/>
            </w:pPr>
            <w:r>
              <w:rPr>
                <w:rFonts w:ascii="sans-serif" w:eastAsia="sans-serif" w:hAnsi="sans-serif" w:cs="sans-serif"/>
                <w:color w:val="000000"/>
                <w:sz w:val="20"/>
                <w:szCs w:val="20"/>
              </w:rPr>
              <w:t>66 </w:t>
            </w:r>
          </w:p>
        </w:tc>
        <w:tc>
          <w:tcPr>
            <w:tcW w:w="0" w:type="auto"/>
            <w:shd w:val="clear" w:color="auto" w:fill="FFFFFF"/>
            <w:tcMar>
              <w:top w:w="40" w:type="dxa"/>
              <w:left w:w="0" w:type="dxa"/>
              <w:bottom w:w="40" w:type="dxa"/>
              <w:right w:w="20" w:type="dxa"/>
            </w:tcMar>
            <w:vAlign w:val="bottom"/>
          </w:tcPr>
          <w:p w14:paraId="54066929" w14:textId="77777777" w:rsidR="00611BDD" w:rsidRDefault="00611BDD">
            <w:pPr>
              <w:jc w:val="right"/>
              <w:rPr>
                <w:rFonts w:ascii="宋体"/>
              </w:rPr>
            </w:pPr>
          </w:p>
        </w:tc>
      </w:tr>
      <w:tr w:rsidR="00611BDD" w14:paraId="54066933" w14:textId="77777777">
        <w:tc>
          <w:tcPr>
            <w:tcW w:w="0" w:type="auto"/>
            <w:gridSpan w:val="3"/>
            <w:shd w:val="clear" w:color="auto" w:fill="E2EFD9"/>
            <w:tcMar>
              <w:top w:w="40" w:type="dxa"/>
              <w:left w:w="20" w:type="dxa"/>
              <w:bottom w:w="40" w:type="dxa"/>
              <w:right w:w="20" w:type="dxa"/>
            </w:tcMar>
            <w:vAlign w:val="bottom"/>
          </w:tcPr>
          <w:p w14:paraId="5406692B" w14:textId="77777777" w:rsidR="00611BDD" w:rsidRDefault="002E18C7">
            <w:pPr>
              <w:textAlignment w:val="bottom"/>
            </w:pPr>
            <w:r>
              <w:rPr>
                <w:rFonts w:ascii="sans-serif" w:eastAsia="sans-serif" w:hAnsi="sans-serif" w:cs="sans-serif"/>
                <w:color w:val="000000"/>
                <w:sz w:val="20"/>
                <w:szCs w:val="20"/>
              </w:rPr>
              <w:t>Operating lease assets obtained in exchange for lease obligations</w:t>
            </w:r>
          </w:p>
        </w:tc>
        <w:tc>
          <w:tcPr>
            <w:tcW w:w="0" w:type="auto"/>
            <w:shd w:val="clear" w:color="auto" w:fill="E2EFD9"/>
            <w:tcMar>
              <w:top w:w="40" w:type="dxa"/>
              <w:left w:w="20" w:type="dxa"/>
              <w:bottom w:w="40" w:type="dxa"/>
              <w:right w:w="0" w:type="dxa"/>
            </w:tcMar>
            <w:vAlign w:val="bottom"/>
          </w:tcPr>
          <w:p w14:paraId="5406692C"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92D" w14:textId="77777777" w:rsidR="00611BDD" w:rsidRDefault="002E18C7">
            <w:pPr>
              <w:jc w:val="right"/>
              <w:textAlignment w:val="bottom"/>
            </w:pPr>
            <w:r>
              <w:rPr>
                <w:rFonts w:ascii="sans-serif" w:eastAsia="sans-serif" w:hAnsi="sans-serif" w:cs="sans-serif"/>
                <w:color w:val="000000"/>
                <w:sz w:val="20"/>
                <w:szCs w:val="20"/>
              </w:rPr>
              <w:t>164 </w:t>
            </w:r>
          </w:p>
        </w:tc>
        <w:tc>
          <w:tcPr>
            <w:tcW w:w="0" w:type="auto"/>
            <w:shd w:val="clear" w:color="auto" w:fill="E2EFD9"/>
            <w:tcMar>
              <w:top w:w="40" w:type="dxa"/>
              <w:left w:w="0" w:type="dxa"/>
              <w:bottom w:w="40" w:type="dxa"/>
              <w:right w:w="20" w:type="dxa"/>
            </w:tcMar>
            <w:vAlign w:val="bottom"/>
          </w:tcPr>
          <w:p w14:paraId="5406692E"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92F"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930"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931" w14:textId="77777777" w:rsidR="00611BDD" w:rsidRDefault="002E18C7">
            <w:pPr>
              <w:jc w:val="right"/>
              <w:textAlignment w:val="bottom"/>
            </w:pPr>
            <w:r>
              <w:rPr>
                <w:rFonts w:ascii="sans-serif" w:eastAsia="sans-serif" w:hAnsi="sans-serif" w:cs="sans-serif"/>
                <w:color w:val="000000"/>
                <w:sz w:val="20"/>
                <w:szCs w:val="20"/>
              </w:rPr>
              <w:t>138 </w:t>
            </w:r>
          </w:p>
        </w:tc>
        <w:tc>
          <w:tcPr>
            <w:tcW w:w="0" w:type="auto"/>
            <w:shd w:val="clear" w:color="auto" w:fill="E2EFD9"/>
            <w:tcMar>
              <w:top w:w="40" w:type="dxa"/>
              <w:left w:w="0" w:type="dxa"/>
              <w:bottom w:w="40" w:type="dxa"/>
              <w:right w:w="20" w:type="dxa"/>
            </w:tcMar>
            <w:vAlign w:val="bottom"/>
          </w:tcPr>
          <w:p w14:paraId="54066932" w14:textId="77777777" w:rsidR="00611BDD" w:rsidRDefault="00611BDD">
            <w:pPr>
              <w:jc w:val="right"/>
              <w:rPr>
                <w:rFonts w:ascii="宋体"/>
              </w:rPr>
            </w:pPr>
          </w:p>
        </w:tc>
      </w:tr>
    </w:tbl>
    <w:p w14:paraId="54066934" w14:textId="77777777" w:rsidR="00611BDD" w:rsidRDefault="002E18C7">
      <w:pPr>
        <w:jc w:val="both"/>
      </w:pPr>
      <w:r>
        <w:rPr>
          <w:rFonts w:ascii="sans-serif" w:eastAsia="sans-serif" w:hAnsi="sans-serif" w:cs="sans-serif"/>
          <w:color w:val="000000"/>
          <w:sz w:val="20"/>
          <w:szCs w:val="20"/>
        </w:rPr>
        <w:t xml:space="preserve">As of August 1, 2021, our operating leases had a weighted </w:t>
      </w:r>
      <w:r>
        <w:rPr>
          <w:rFonts w:ascii="sans-serif" w:eastAsia="sans-serif" w:hAnsi="sans-serif" w:cs="sans-serif"/>
          <w:color w:val="000000"/>
          <w:sz w:val="20"/>
          <w:szCs w:val="20"/>
        </w:rPr>
        <w:t>average remaining lease term of 7.6 years and a weighted average discount rate of 2.84%. As of January 31, 2021, our operating leases had a weighted average remaining lease term of 7.6 years and a weighted average discount rate of 2.87%.</w:t>
      </w:r>
    </w:p>
    <w:p w14:paraId="54066935" w14:textId="77777777" w:rsidR="00611BDD" w:rsidRDefault="00611BDD">
      <w:pPr>
        <w:spacing w:before="240" w:after="120"/>
        <w:jc w:val="both"/>
      </w:pPr>
    </w:p>
    <w:p w14:paraId="54066936" w14:textId="77777777" w:rsidR="00611BDD" w:rsidRDefault="002E18C7">
      <w:pPr>
        <w:spacing w:after="180"/>
        <w:jc w:val="center"/>
      </w:pPr>
      <w:r>
        <w:rPr>
          <w:rFonts w:ascii="sans-serif" w:eastAsia="sans-serif" w:hAnsi="sans-serif" w:cs="sans-serif"/>
          <w:color w:val="000000"/>
          <w:sz w:val="20"/>
          <w:szCs w:val="20"/>
        </w:rPr>
        <w:t>11</w:t>
      </w:r>
    </w:p>
    <w:p w14:paraId="54066937" w14:textId="77777777" w:rsidR="00611BDD" w:rsidRDefault="002E18C7">
      <w:r>
        <w:pict w14:anchorId="54067C2F">
          <v:rect id="_x0000_i1035" style="width:415.3pt;height:1.5pt" o:hralign="center" o:hrstd="t" o:hr="t" fillcolor="#a0a0a0" stroked="f"/>
        </w:pict>
      </w:r>
    </w:p>
    <w:p w14:paraId="54066938" w14:textId="77777777" w:rsidR="00611BDD" w:rsidRDefault="002E18C7">
      <w:pPr>
        <w:jc w:val="center"/>
      </w:pPr>
      <w:r>
        <w:rPr>
          <w:rFonts w:ascii="sans-serif" w:eastAsia="sans-serif" w:hAnsi="sans-serif" w:cs="sans-serif"/>
          <w:b/>
          <w:bCs/>
          <w:color w:val="000000"/>
          <w:sz w:val="20"/>
          <w:szCs w:val="20"/>
        </w:rPr>
        <w:t xml:space="preserve">NVIDIA </w:t>
      </w:r>
      <w:r>
        <w:rPr>
          <w:rFonts w:ascii="sans-serif" w:eastAsia="sans-serif" w:hAnsi="sans-serif" w:cs="sans-serif"/>
          <w:b/>
          <w:bCs/>
          <w:color w:val="000000"/>
          <w:sz w:val="20"/>
          <w:szCs w:val="20"/>
        </w:rPr>
        <w:t>CORPORATION AND SUBSIDIARIES</w:t>
      </w:r>
    </w:p>
    <w:p w14:paraId="54066939" w14:textId="77777777" w:rsidR="00611BDD" w:rsidRDefault="002E18C7">
      <w:pPr>
        <w:jc w:val="center"/>
      </w:pPr>
      <w:r>
        <w:rPr>
          <w:rFonts w:ascii="sans-serif" w:eastAsia="sans-serif" w:hAnsi="sans-serif" w:cs="sans-serif"/>
          <w:b/>
          <w:bCs/>
          <w:color w:val="000000"/>
          <w:sz w:val="20"/>
          <w:szCs w:val="20"/>
        </w:rPr>
        <w:t>NOTES TO CONDENSED CONSOLIDATED FINANCIAL STATEMENTS (Continued)</w:t>
      </w:r>
    </w:p>
    <w:p w14:paraId="5406693A" w14:textId="77777777" w:rsidR="00611BDD" w:rsidRDefault="002E18C7">
      <w:pPr>
        <w:jc w:val="center"/>
      </w:pPr>
      <w:r>
        <w:rPr>
          <w:rFonts w:ascii="sans-serif" w:eastAsia="sans-serif" w:hAnsi="sans-serif" w:cs="sans-serif"/>
          <w:b/>
          <w:bCs/>
          <w:color w:val="000000"/>
          <w:sz w:val="20"/>
          <w:szCs w:val="20"/>
        </w:rPr>
        <w:t>(Unaudited)</w:t>
      </w:r>
    </w:p>
    <w:p w14:paraId="5406693B" w14:textId="77777777" w:rsidR="00611BDD" w:rsidRDefault="00611BDD">
      <w:pPr>
        <w:spacing w:after="180"/>
        <w:jc w:val="both"/>
      </w:pPr>
    </w:p>
    <w:p w14:paraId="5406693C" w14:textId="77777777" w:rsidR="00611BDD" w:rsidRDefault="00611BDD">
      <w:pPr>
        <w:spacing w:after="180"/>
        <w:jc w:val="both"/>
      </w:pPr>
    </w:p>
    <w:p w14:paraId="5406693D" w14:textId="77777777" w:rsidR="00611BDD" w:rsidRDefault="002E18C7">
      <w:pPr>
        <w:spacing w:before="240" w:after="120"/>
        <w:jc w:val="both"/>
      </w:pPr>
      <w:r>
        <w:rPr>
          <w:rFonts w:ascii="sans-serif" w:eastAsia="sans-serif" w:hAnsi="sans-serif" w:cs="sans-serif"/>
          <w:b/>
          <w:bCs/>
          <w:color w:val="76B900"/>
          <w:sz w:val="22"/>
          <w:szCs w:val="22"/>
        </w:rPr>
        <w:t>Note 4 - Stock-Based Compensation</w:t>
      </w:r>
    </w:p>
    <w:p w14:paraId="5406693E" w14:textId="77777777" w:rsidR="00611BDD" w:rsidRDefault="002E18C7">
      <w:pPr>
        <w:spacing w:after="180"/>
        <w:jc w:val="both"/>
      </w:pPr>
      <w:r>
        <w:rPr>
          <w:rFonts w:ascii="sans-serif" w:eastAsia="sans-serif" w:hAnsi="sans-serif" w:cs="sans-serif"/>
          <w:color w:val="000000"/>
          <w:sz w:val="20"/>
          <w:szCs w:val="20"/>
        </w:rPr>
        <w:t xml:space="preserve">Our stock-based compensation expense is associated with restricted stock units, or RSUs, performance stock </w:t>
      </w:r>
      <w:r>
        <w:rPr>
          <w:rFonts w:ascii="sans-serif" w:eastAsia="sans-serif" w:hAnsi="sans-serif" w:cs="sans-serif"/>
          <w:color w:val="000000"/>
          <w:sz w:val="20"/>
          <w:szCs w:val="20"/>
        </w:rPr>
        <w:t>units that are based on our corporate financial performance targets, or PSUs, performance stock units that are based on market conditions, or market-based PSUs, and our employee stock purchase plan, or ESPP.</w:t>
      </w:r>
    </w:p>
    <w:p w14:paraId="5406693F" w14:textId="77777777" w:rsidR="00611BDD" w:rsidRDefault="002E18C7">
      <w:pPr>
        <w:spacing w:after="180"/>
        <w:jc w:val="both"/>
      </w:pPr>
      <w:r>
        <w:rPr>
          <w:rFonts w:ascii="sans-serif" w:eastAsia="sans-serif" w:hAnsi="sans-serif" w:cs="sans-serif"/>
          <w:color w:val="000000"/>
          <w:sz w:val="20"/>
          <w:szCs w:val="20"/>
        </w:rPr>
        <w:t xml:space="preserve">Our Condensed Consolidated Statements of Income </w:t>
      </w:r>
      <w:r>
        <w:rPr>
          <w:rFonts w:ascii="sans-serif" w:eastAsia="sans-serif" w:hAnsi="sans-serif" w:cs="sans-serif"/>
          <w:color w:val="000000"/>
          <w:sz w:val="20"/>
          <w:szCs w:val="20"/>
        </w:rPr>
        <w:t>include stock-based compensation expense, net of amounts allocated to inventory,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2495"/>
        <w:gridCol w:w="38"/>
        <w:gridCol w:w="123"/>
        <w:gridCol w:w="1234"/>
        <w:gridCol w:w="37"/>
        <w:gridCol w:w="36"/>
        <w:gridCol w:w="36"/>
        <w:gridCol w:w="36"/>
        <w:gridCol w:w="122"/>
        <w:gridCol w:w="1190"/>
        <w:gridCol w:w="36"/>
        <w:gridCol w:w="36"/>
        <w:gridCol w:w="36"/>
        <w:gridCol w:w="36"/>
        <w:gridCol w:w="123"/>
        <w:gridCol w:w="1190"/>
        <w:gridCol w:w="37"/>
        <w:gridCol w:w="36"/>
        <w:gridCol w:w="36"/>
        <w:gridCol w:w="36"/>
        <w:gridCol w:w="122"/>
        <w:gridCol w:w="1190"/>
        <w:gridCol w:w="36"/>
      </w:tblGrid>
      <w:tr w:rsidR="00611BDD" w14:paraId="54066958" w14:textId="77777777">
        <w:tc>
          <w:tcPr>
            <w:tcW w:w="50" w:type="pct"/>
            <w:shd w:val="clear" w:color="auto" w:fill="auto"/>
            <w:vAlign w:val="bottom"/>
          </w:tcPr>
          <w:p w14:paraId="54066940" w14:textId="77777777" w:rsidR="00611BDD" w:rsidRDefault="00611BDD">
            <w:pPr>
              <w:rPr>
                <w:rFonts w:ascii="宋体"/>
              </w:rPr>
            </w:pPr>
          </w:p>
        </w:tc>
        <w:tc>
          <w:tcPr>
            <w:tcW w:w="1531" w:type="pct"/>
            <w:shd w:val="clear" w:color="auto" w:fill="auto"/>
            <w:vAlign w:val="bottom"/>
          </w:tcPr>
          <w:p w14:paraId="54066941" w14:textId="77777777" w:rsidR="00611BDD" w:rsidRDefault="00611BDD">
            <w:pPr>
              <w:rPr>
                <w:rFonts w:ascii="宋体"/>
              </w:rPr>
            </w:pPr>
          </w:p>
        </w:tc>
        <w:tc>
          <w:tcPr>
            <w:tcW w:w="5" w:type="pct"/>
            <w:shd w:val="clear" w:color="auto" w:fill="auto"/>
            <w:vAlign w:val="bottom"/>
          </w:tcPr>
          <w:p w14:paraId="54066942" w14:textId="77777777" w:rsidR="00611BDD" w:rsidRDefault="00611BDD">
            <w:pPr>
              <w:rPr>
                <w:rFonts w:ascii="宋体"/>
              </w:rPr>
            </w:pPr>
          </w:p>
        </w:tc>
        <w:tc>
          <w:tcPr>
            <w:tcW w:w="50" w:type="pct"/>
            <w:shd w:val="clear" w:color="auto" w:fill="auto"/>
            <w:vAlign w:val="bottom"/>
          </w:tcPr>
          <w:p w14:paraId="54066943" w14:textId="77777777" w:rsidR="00611BDD" w:rsidRDefault="00611BDD">
            <w:pPr>
              <w:rPr>
                <w:rFonts w:ascii="宋体"/>
              </w:rPr>
            </w:pPr>
          </w:p>
        </w:tc>
        <w:tc>
          <w:tcPr>
            <w:tcW w:w="771" w:type="pct"/>
            <w:shd w:val="clear" w:color="auto" w:fill="auto"/>
            <w:vAlign w:val="bottom"/>
          </w:tcPr>
          <w:p w14:paraId="54066944" w14:textId="77777777" w:rsidR="00611BDD" w:rsidRDefault="00611BDD">
            <w:pPr>
              <w:rPr>
                <w:rFonts w:ascii="宋体"/>
              </w:rPr>
            </w:pPr>
          </w:p>
        </w:tc>
        <w:tc>
          <w:tcPr>
            <w:tcW w:w="5" w:type="pct"/>
            <w:shd w:val="clear" w:color="auto" w:fill="auto"/>
            <w:vAlign w:val="bottom"/>
          </w:tcPr>
          <w:p w14:paraId="54066945" w14:textId="77777777" w:rsidR="00611BDD" w:rsidRDefault="00611BDD">
            <w:pPr>
              <w:rPr>
                <w:rFonts w:ascii="宋体"/>
              </w:rPr>
            </w:pPr>
          </w:p>
        </w:tc>
        <w:tc>
          <w:tcPr>
            <w:tcW w:w="5" w:type="pct"/>
            <w:shd w:val="clear" w:color="auto" w:fill="auto"/>
            <w:vAlign w:val="bottom"/>
          </w:tcPr>
          <w:p w14:paraId="54066946" w14:textId="77777777" w:rsidR="00611BDD" w:rsidRDefault="00611BDD">
            <w:pPr>
              <w:rPr>
                <w:rFonts w:ascii="宋体"/>
              </w:rPr>
            </w:pPr>
          </w:p>
        </w:tc>
        <w:tc>
          <w:tcPr>
            <w:tcW w:w="26" w:type="pct"/>
            <w:shd w:val="clear" w:color="auto" w:fill="auto"/>
            <w:vAlign w:val="bottom"/>
          </w:tcPr>
          <w:p w14:paraId="54066947" w14:textId="77777777" w:rsidR="00611BDD" w:rsidRDefault="00611BDD">
            <w:pPr>
              <w:rPr>
                <w:rFonts w:ascii="宋体"/>
              </w:rPr>
            </w:pPr>
          </w:p>
        </w:tc>
        <w:tc>
          <w:tcPr>
            <w:tcW w:w="5" w:type="pct"/>
            <w:shd w:val="clear" w:color="auto" w:fill="auto"/>
            <w:vAlign w:val="bottom"/>
          </w:tcPr>
          <w:p w14:paraId="54066948" w14:textId="77777777" w:rsidR="00611BDD" w:rsidRDefault="00611BDD">
            <w:pPr>
              <w:rPr>
                <w:rFonts w:ascii="宋体"/>
              </w:rPr>
            </w:pPr>
          </w:p>
        </w:tc>
        <w:tc>
          <w:tcPr>
            <w:tcW w:w="50" w:type="pct"/>
            <w:shd w:val="clear" w:color="auto" w:fill="auto"/>
            <w:vAlign w:val="bottom"/>
          </w:tcPr>
          <w:p w14:paraId="54066949" w14:textId="77777777" w:rsidR="00611BDD" w:rsidRDefault="00611BDD">
            <w:pPr>
              <w:rPr>
                <w:rFonts w:ascii="宋体"/>
              </w:rPr>
            </w:pPr>
          </w:p>
        </w:tc>
        <w:tc>
          <w:tcPr>
            <w:tcW w:w="771" w:type="pct"/>
            <w:shd w:val="clear" w:color="auto" w:fill="auto"/>
            <w:vAlign w:val="bottom"/>
          </w:tcPr>
          <w:p w14:paraId="5406694A" w14:textId="77777777" w:rsidR="00611BDD" w:rsidRDefault="00611BDD">
            <w:pPr>
              <w:rPr>
                <w:rFonts w:ascii="宋体"/>
              </w:rPr>
            </w:pPr>
          </w:p>
        </w:tc>
        <w:tc>
          <w:tcPr>
            <w:tcW w:w="5" w:type="pct"/>
            <w:shd w:val="clear" w:color="auto" w:fill="auto"/>
            <w:vAlign w:val="bottom"/>
          </w:tcPr>
          <w:p w14:paraId="5406694B" w14:textId="77777777" w:rsidR="00611BDD" w:rsidRDefault="00611BDD">
            <w:pPr>
              <w:rPr>
                <w:rFonts w:ascii="宋体"/>
              </w:rPr>
            </w:pPr>
          </w:p>
        </w:tc>
        <w:tc>
          <w:tcPr>
            <w:tcW w:w="5" w:type="pct"/>
            <w:shd w:val="clear" w:color="auto" w:fill="auto"/>
            <w:vAlign w:val="bottom"/>
          </w:tcPr>
          <w:p w14:paraId="5406694C" w14:textId="77777777" w:rsidR="00611BDD" w:rsidRDefault="00611BDD">
            <w:pPr>
              <w:rPr>
                <w:rFonts w:ascii="宋体"/>
              </w:rPr>
            </w:pPr>
          </w:p>
        </w:tc>
        <w:tc>
          <w:tcPr>
            <w:tcW w:w="26" w:type="pct"/>
            <w:shd w:val="clear" w:color="auto" w:fill="auto"/>
            <w:vAlign w:val="bottom"/>
          </w:tcPr>
          <w:p w14:paraId="5406694D" w14:textId="77777777" w:rsidR="00611BDD" w:rsidRDefault="00611BDD">
            <w:pPr>
              <w:rPr>
                <w:rFonts w:ascii="宋体"/>
              </w:rPr>
            </w:pPr>
          </w:p>
        </w:tc>
        <w:tc>
          <w:tcPr>
            <w:tcW w:w="5" w:type="pct"/>
            <w:shd w:val="clear" w:color="auto" w:fill="auto"/>
            <w:vAlign w:val="bottom"/>
          </w:tcPr>
          <w:p w14:paraId="5406694E" w14:textId="77777777" w:rsidR="00611BDD" w:rsidRDefault="00611BDD">
            <w:pPr>
              <w:rPr>
                <w:rFonts w:ascii="宋体"/>
              </w:rPr>
            </w:pPr>
          </w:p>
        </w:tc>
        <w:tc>
          <w:tcPr>
            <w:tcW w:w="50" w:type="pct"/>
            <w:shd w:val="clear" w:color="auto" w:fill="auto"/>
            <w:vAlign w:val="bottom"/>
          </w:tcPr>
          <w:p w14:paraId="5406694F" w14:textId="77777777" w:rsidR="00611BDD" w:rsidRDefault="00611BDD">
            <w:pPr>
              <w:rPr>
                <w:rFonts w:ascii="宋体"/>
              </w:rPr>
            </w:pPr>
          </w:p>
        </w:tc>
        <w:tc>
          <w:tcPr>
            <w:tcW w:w="771" w:type="pct"/>
            <w:shd w:val="clear" w:color="auto" w:fill="auto"/>
            <w:vAlign w:val="bottom"/>
          </w:tcPr>
          <w:p w14:paraId="54066950" w14:textId="77777777" w:rsidR="00611BDD" w:rsidRDefault="00611BDD">
            <w:pPr>
              <w:rPr>
                <w:rFonts w:ascii="宋体"/>
              </w:rPr>
            </w:pPr>
          </w:p>
        </w:tc>
        <w:tc>
          <w:tcPr>
            <w:tcW w:w="5" w:type="pct"/>
            <w:shd w:val="clear" w:color="auto" w:fill="auto"/>
            <w:vAlign w:val="bottom"/>
          </w:tcPr>
          <w:p w14:paraId="54066951" w14:textId="77777777" w:rsidR="00611BDD" w:rsidRDefault="00611BDD">
            <w:pPr>
              <w:rPr>
                <w:rFonts w:ascii="宋体"/>
              </w:rPr>
            </w:pPr>
          </w:p>
        </w:tc>
        <w:tc>
          <w:tcPr>
            <w:tcW w:w="5" w:type="pct"/>
            <w:shd w:val="clear" w:color="auto" w:fill="auto"/>
            <w:vAlign w:val="bottom"/>
          </w:tcPr>
          <w:p w14:paraId="54066952" w14:textId="77777777" w:rsidR="00611BDD" w:rsidRDefault="00611BDD">
            <w:pPr>
              <w:rPr>
                <w:rFonts w:ascii="宋体"/>
              </w:rPr>
            </w:pPr>
          </w:p>
        </w:tc>
        <w:tc>
          <w:tcPr>
            <w:tcW w:w="26" w:type="pct"/>
            <w:shd w:val="clear" w:color="auto" w:fill="auto"/>
            <w:vAlign w:val="bottom"/>
          </w:tcPr>
          <w:p w14:paraId="54066953" w14:textId="77777777" w:rsidR="00611BDD" w:rsidRDefault="00611BDD">
            <w:pPr>
              <w:rPr>
                <w:rFonts w:ascii="宋体"/>
              </w:rPr>
            </w:pPr>
          </w:p>
        </w:tc>
        <w:tc>
          <w:tcPr>
            <w:tcW w:w="5" w:type="pct"/>
            <w:shd w:val="clear" w:color="auto" w:fill="auto"/>
            <w:vAlign w:val="bottom"/>
          </w:tcPr>
          <w:p w14:paraId="54066954" w14:textId="77777777" w:rsidR="00611BDD" w:rsidRDefault="00611BDD">
            <w:pPr>
              <w:rPr>
                <w:rFonts w:ascii="宋体"/>
              </w:rPr>
            </w:pPr>
          </w:p>
        </w:tc>
        <w:tc>
          <w:tcPr>
            <w:tcW w:w="50" w:type="pct"/>
            <w:shd w:val="clear" w:color="auto" w:fill="auto"/>
            <w:vAlign w:val="bottom"/>
          </w:tcPr>
          <w:p w14:paraId="54066955" w14:textId="77777777" w:rsidR="00611BDD" w:rsidRDefault="00611BDD">
            <w:pPr>
              <w:rPr>
                <w:rFonts w:ascii="宋体"/>
              </w:rPr>
            </w:pPr>
          </w:p>
        </w:tc>
        <w:tc>
          <w:tcPr>
            <w:tcW w:w="771" w:type="pct"/>
            <w:shd w:val="clear" w:color="auto" w:fill="auto"/>
            <w:vAlign w:val="bottom"/>
          </w:tcPr>
          <w:p w14:paraId="54066956" w14:textId="77777777" w:rsidR="00611BDD" w:rsidRDefault="00611BDD">
            <w:pPr>
              <w:rPr>
                <w:rFonts w:ascii="宋体"/>
              </w:rPr>
            </w:pPr>
          </w:p>
        </w:tc>
        <w:tc>
          <w:tcPr>
            <w:tcW w:w="5" w:type="pct"/>
            <w:shd w:val="clear" w:color="auto" w:fill="auto"/>
            <w:vAlign w:val="bottom"/>
          </w:tcPr>
          <w:p w14:paraId="54066957" w14:textId="77777777" w:rsidR="00611BDD" w:rsidRDefault="00611BDD">
            <w:pPr>
              <w:rPr>
                <w:rFonts w:ascii="宋体"/>
              </w:rPr>
            </w:pPr>
          </w:p>
        </w:tc>
      </w:tr>
      <w:tr w:rsidR="00611BDD" w14:paraId="5406695D" w14:textId="77777777">
        <w:tc>
          <w:tcPr>
            <w:tcW w:w="0" w:type="auto"/>
            <w:gridSpan w:val="3"/>
            <w:shd w:val="clear" w:color="auto" w:fill="auto"/>
            <w:tcMar>
              <w:top w:w="40" w:type="dxa"/>
              <w:left w:w="20" w:type="dxa"/>
              <w:bottom w:w="40" w:type="dxa"/>
              <w:right w:w="20" w:type="dxa"/>
            </w:tcMar>
            <w:vAlign w:val="bottom"/>
          </w:tcPr>
          <w:p w14:paraId="54066959" w14:textId="77777777" w:rsidR="00611BDD" w:rsidRDefault="002E18C7">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5406695A" w14:textId="77777777" w:rsidR="00611BDD" w:rsidRDefault="002E18C7">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5406695B" w14:textId="77777777" w:rsidR="00611BDD" w:rsidRDefault="00611BDD">
            <w:pPr>
              <w:rPr>
                <w:rFonts w:ascii="宋体"/>
              </w:rPr>
            </w:pPr>
          </w:p>
        </w:tc>
        <w:tc>
          <w:tcPr>
            <w:tcW w:w="0" w:type="auto"/>
            <w:gridSpan w:val="9"/>
            <w:shd w:val="clear" w:color="auto" w:fill="auto"/>
            <w:tcMar>
              <w:top w:w="40" w:type="dxa"/>
              <w:left w:w="20" w:type="dxa"/>
              <w:bottom w:w="40" w:type="dxa"/>
              <w:right w:w="20" w:type="dxa"/>
            </w:tcMar>
            <w:vAlign w:val="bottom"/>
          </w:tcPr>
          <w:p w14:paraId="5406695C" w14:textId="77777777" w:rsidR="00611BDD" w:rsidRDefault="002E18C7">
            <w:pPr>
              <w:jc w:val="center"/>
              <w:textAlignment w:val="bottom"/>
            </w:pPr>
            <w:r>
              <w:rPr>
                <w:rFonts w:ascii="sans-serif" w:eastAsia="sans-serif" w:hAnsi="sans-serif" w:cs="sans-serif"/>
                <w:b/>
                <w:bCs/>
                <w:color w:val="000000"/>
                <w:sz w:val="20"/>
                <w:szCs w:val="20"/>
              </w:rPr>
              <w:t>Six Months Ended</w:t>
            </w:r>
          </w:p>
        </w:tc>
      </w:tr>
      <w:tr w:rsidR="00611BDD" w14:paraId="54066966" w14:textId="77777777">
        <w:tc>
          <w:tcPr>
            <w:tcW w:w="0" w:type="auto"/>
            <w:gridSpan w:val="3"/>
            <w:shd w:val="clear" w:color="auto" w:fill="auto"/>
            <w:tcMar>
              <w:top w:w="40" w:type="dxa"/>
              <w:left w:w="20" w:type="dxa"/>
              <w:bottom w:w="40" w:type="dxa"/>
              <w:right w:w="20" w:type="dxa"/>
            </w:tcMar>
            <w:vAlign w:val="bottom"/>
          </w:tcPr>
          <w:p w14:paraId="5406695E"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95F" w14:textId="77777777" w:rsidR="00611BDD" w:rsidRDefault="002E18C7">
            <w:pPr>
              <w:jc w:val="center"/>
              <w:textAlignment w:val="bottom"/>
            </w:pPr>
            <w:r>
              <w:rPr>
                <w:rFonts w:ascii="sans-serif" w:eastAsia="sans-serif" w:hAnsi="sans-serif" w:cs="sans-serif"/>
                <w:b/>
                <w:bCs/>
                <w:color w:val="000000"/>
                <w:sz w:val="20"/>
                <w:szCs w:val="20"/>
              </w:rPr>
              <w:t>August 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960"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961" w14:textId="77777777" w:rsidR="00611BDD" w:rsidRDefault="002E18C7">
            <w:pPr>
              <w:jc w:val="center"/>
              <w:textAlignment w:val="bottom"/>
            </w:pPr>
            <w:r>
              <w:rPr>
                <w:rFonts w:ascii="sans-serif" w:eastAsia="sans-serif" w:hAnsi="sans-serif" w:cs="sans-serif"/>
                <w:b/>
                <w:bCs/>
                <w:color w:val="000000"/>
                <w:sz w:val="20"/>
                <w:szCs w:val="20"/>
              </w:rPr>
              <w:t>July 26,</w:t>
            </w:r>
            <w:r>
              <w:rPr>
                <w:rFonts w:ascii="sans-serif" w:eastAsia="sans-serif" w:hAnsi="sans-serif" w:cs="sans-serif"/>
                <w:b/>
                <w:bCs/>
                <w:color w:val="000000"/>
                <w:sz w:val="20"/>
                <w:szCs w:val="20"/>
              </w:rPr>
              <w:br/>
              <w:t>2020</w:t>
            </w:r>
          </w:p>
        </w:tc>
        <w:tc>
          <w:tcPr>
            <w:tcW w:w="0" w:type="auto"/>
            <w:gridSpan w:val="3"/>
            <w:shd w:val="clear" w:color="auto" w:fill="auto"/>
            <w:tcMar>
              <w:top w:w="0" w:type="dxa"/>
              <w:left w:w="20" w:type="dxa"/>
              <w:bottom w:w="0" w:type="dxa"/>
              <w:right w:w="20" w:type="dxa"/>
            </w:tcMar>
            <w:vAlign w:val="bottom"/>
          </w:tcPr>
          <w:p w14:paraId="54066962"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963" w14:textId="77777777" w:rsidR="00611BDD" w:rsidRDefault="002E18C7">
            <w:pPr>
              <w:jc w:val="center"/>
              <w:textAlignment w:val="bottom"/>
            </w:pPr>
            <w:r>
              <w:rPr>
                <w:rFonts w:ascii="sans-serif" w:eastAsia="sans-serif" w:hAnsi="sans-serif" w:cs="sans-serif"/>
                <w:b/>
                <w:bCs/>
                <w:color w:val="000000"/>
                <w:sz w:val="20"/>
                <w:szCs w:val="20"/>
              </w:rPr>
              <w:t>August 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964"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965" w14:textId="77777777" w:rsidR="00611BDD" w:rsidRDefault="002E18C7">
            <w:pPr>
              <w:jc w:val="center"/>
              <w:textAlignment w:val="bottom"/>
            </w:pPr>
            <w:r>
              <w:rPr>
                <w:rFonts w:ascii="sans-serif" w:eastAsia="sans-serif" w:hAnsi="sans-serif" w:cs="sans-serif"/>
                <w:b/>
                <w:bCs/>
                <w:color w:val="000000"/>
                <w:sz w:val="20"/>
                <w:szCs w:val="20"/>
              </w:rPr>
              <w:t>July 26,</w:t>
            </w:r>
            <w:r>
              <w:rPr>
                <w:rFonts w:ascii="sans-serif" w:eastAsia="sans-serif" w:hAnsi="sans-serif" w:cs="sans-serif"/>
                <w:b/>
                <w:bCs/>
                <w:color w:val="000000"/>
                <w:sz w:val="20"/>
                <w:szCs w:val="20"/>
              </w:rPr>
              <w:br/>
              <w:t>2020</w:t>
            </w:r>
          </w:p>
        </w:tc>
      </w:tr>
      <w:tr w:rsidR="00611BDD" w14:paraId="5406696F" w14:textId="77777777">
        <w:trPr>
          <w:trHeight w:val="60"/>
        </w:trPr>
        <w:tc>
          <w:tcPr>
            <w:tcW w:w="0" w:type="auto"/>
            <w:gridSpan w:val="3"/>
            <w:shd w:val="clear" w:color="auto" w:fill="auto"/>
            <w:tcMar>
              <w:top w:w="0" w:type="dxa"/>
              <w:left w:w="20" w:type="dxa"/>
              <w:bottom w:w="0" w:type="dxa"/>
              <w:right w:w="20" w:type="dxa"/>
            </w:tcMar>
            <w:vAlign w:val="bottom"/>
          </w:tcPr>
          <w:p w14:paraId="54066967"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968"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969"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96A"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96B"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96C"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96D"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96E" w14:textId="77777777" w:rsidR="00611BDD" w:rsidRDefault="00611BDD">
            <w:pPr>
              <w:rPr>
                <w:rFonts w:ascii="宋体"/>
              </w:rPr>
            </w:pPr>
          </w:p>
        </w:tc>
      </w:tr>
      <w:tr w:rsidR="00611BDD" w14:paraId="54066972" w14:textId="77777777">
        <w:tc>
          <w:tcPr>
            <w:tcW w:w="0" w:type="auto"/>
            <w:gridSpan w:val="3"/>
            <w:shd w:val="clear" w:color="auto" w:fill="auto"/>
            <w:tcMar>
              <w:top w:w="0" w:type="dxa"/>
              <w:left w:w="20" w:type="dxa"/>
              <w:bottom w:w="0" w:type="dxa"/>
              <w:right w:w="20" w:type="dxa"/>
            </w:tcMar>
            <w:vAlign w:val="bottom"/>
          </w:tcPr>
          <w:p w14:paraId="54066970" w14:textId="77777777" w:rsidR="00611BDD" w:rsidRDefault="00611BDD">
            <w:pPr>
              <w:rPr>
                <w:rFonts w:ascii="宋体"/>
              </w:rPr>
            </w:pPr>
          </w:p>
        </w:tc>
        <w:tc>
          <w:tcPr>
            <w:tcW w:w="0" w:type="auto"/>
            <w:gridSpan w:val="21"/>
            <w:shd w:val="clear" w:color="auto" w:fill="FFFFFF"/>
            <w:tcMar>
              <w:top w:w="40" w:type="dxa"/>
              <w:left w:w="20" w:type="dxa"/>
              <w:bottom w:w="40" w:type="dxa"/>
              <w:right w:w="20" w:type="dxa"/>
            </w:tcMar>
            <w:vAlign w:val="bottom"/>
          </w:tcPr>
          <w:p w14:paraId="54066971" w14:textId="77777777" w:rsidR="00611BDD" w:rsidRDefault="002E18C7">
            <w:pPr>
              <w:jc w:val="center"/>
              <w:textAlignment w:val="bottom"/>
            </w:pPr>
            <w:r>
              <w:rPr>
                <w:rFonts w:ascii="sans-serif" w:eastAsia="sans-serif" w:hAnsi="sans-serif" w:cs="sans-serif"/>
                <w:i/>
                <w:iCs/>
                <w:color w:val="000000"/>
                <w:sz w:val="20"/>
                <w:szCs w:val="20"/>
              </w:rPr>
              <w:t>(In millions)</w:t>
            </w:r>
          </w:p>
        </w:tc>
      </w:tr>
      <w:tr w:rsidR="00611BDD" w14:paraId="54066983" w14:textId="77777777">
        <w:tc>
          <w:tcPr>
            <w:tcW w:w="0" w:type="auto"/>
            <w:gridSpan w:val="3"/>
            <w:shd w:val="clear" w:color="auto" w:fill="E2EFD9"/>
            <w:tcMar>
              <w:top w:w="40" w:type="dxa"/>
              <w:left w:w="20" w:type="dxa"/>
              <w:bottom w:w="40" w:type="dxa"/>
              <w:right w:w="20" w:type="dxa"/>
            </w:tcMar>
            <w:vAlign w:val="bottom"/>
          </w:tcPr>
          <w:p w14:paraId="54066973" w14:textId="77777777" w:rsidR="00611BDD" w:rsidRDefault="002E18C7">
            <w:pPr>
              <w:textAlignment w:val="bottom"/>
            </w:pPr>
            <w:r>
              <w:rPr>
                <w:rFonts w:ascii="sans-serif" w:eastAsia="sans-serif" w:hAnsi="sans-serif" w:cs="sans-serif"/>
                <w:color w:val="000000"/>
                <w:sz w:val="20"/>
                <w:szCs w:val="20"/>
              </w:rPr>
              <w:t>Cost of revenue</w:t>
            </w:r>
          </w:p>
        </w:tc>
        <w:tc>
          <w:tcPr>
            <w:tcW w:w="0" w:type="auto"/>
            <w:shd w:val="clear" w:color="auto" w:fill="E2EFD9"/>
            <w:tcMar>
              <w:top w:w="40" w:type="dxa"/>
              <w:left w:w="20" w:type="dxa"/>
              <w:bottom w:w="40" w:type="dxa"/>
              <w:right w:w="0" w:type="dxa"/>
            </w:tcMar>
            <w:vAlign w:val="bottom"/>
          </w:tcPr>
          <w:p w14:paraId="54066974"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975" w14:textId="77777777" w:rsidR="00611BDD" w:rsidRDefault="002E18C7">
            <w:pPr>
              <w:jc w:val="right"/>
              <w:textAlignment w:val="bottom"/>
            </w:pPr>
            <w:r>
              <w:rPr>
                <w:rFonts w:ascii="sans-serif" w:eastAsia="sans-serif" w:hAnsi="sans-serif" w:cs="sans-serif"/>
                <w:color w:val="000000"/>
                <w:sz w:val="20"/>
                <w:szCs w:val="20"/>
              </w:rPr>
              <w:t>32 </w:t>
            </w:r>
          </w:p>
        </w:tc>
        <w:tc>
          <w:tcPr>
            <w:tcW w:w="0" w:type="auto"/>
            <w:shd w:val="clear" w:color="auto" w:fill="E2EFD9"/>
            <w:tcMar>
              <w:top w:w="40" w:type="dxa"/>
              <w:left w:w="0" w:type="dxa"/>
              <w:bottom w:w="40" w:type="dxa"/>
              <w:right w:w="20" w:type="dxa"/>
            </w:tcMar>
            <w:vAlign w:val="bottom"/>
          </w:tcPr>
          <w:p w14:paraId="5406697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977"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978"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979" w14:textId="77777777" w:rsidR="00611BDD" w:rsidRDefault="002E18C7">
            <w:pPr>
              <w:jc w:val="right"/>
              <w:textAlignment w:val="bottom"/>
            </w:pPr>
            <w:r>
              <w:rPr>
                <w:rFonts w:ascii="sans-serif" w:eastAsia="sans-serif" w:hAnsi="sans-serif" w:cs="sans-serif"/>
                <w:color w:val="000000"/>
                <w:sz w:val="20"/>
                <w:szCs w:val="20"/>
              </w:rPr>
              <w:t>14 </w:t>
            </w:r>
          </w:p>
        </w:tc>
        <w:tc>
          <w:tcPr>
            <w:tcW w:w="0" w:type="auto"/>
            <w:shd w:val="clear" w:color="auto" w:fill="E2EFD9"/>
            <w:tcMar>
              <w:top w:w="40" w:type="dxa"/>
              <w:left w:w="0" w:type="dxa"/>
              <w:bottom w:w="40" w:type="dxa"/>
              <w:right w:w="20" w:type="dxa"/>
            </w:tcMar>
            <w:vAlign w:val="bottom"/>
          </w:tcPr>
          <w:p w14:paraId="5406697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97B"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97C"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97D" w14:textId="77777777" w:rsidR="00611BDD" w:rsidRDefault="002E18C7">
            <w:pPr>
              <w:jc w:val="right"/>
              <w:textAlignment w:val="bottom"/>
            </w:pPr>
            <w:r>
              <w:rPr>
                <w:rFonts w:ascii="sans-serif" w:eastAsia="sans-serif" w:hAnsi="sans-serif" w:cs="sans-serif"/>
                <w:color w:val="000000"/>
                <w:sz w:val="20"/>
                <w:szCs w:val="20"/>
              </w:rPr>
              <w:t>57 </w:t>
            </w:r>
          </w:p>
        </w:tc>
        <w:tc>
          <w:tcPr>
            <w:tcW w:w="0" w:type="auto"/>
            <w:shd w:val="clear" w:color="auto" w:fill="E2EFD9"/>
            <w:tcMar>
              <w:top w:w="40" w:type="dxa"/>
              <w:left w:w="0" w:type="dxa"/>
              <w:bottom w:w="40" w:type="dxa"/>
              <w:right w:w="20" w:type="dxa"/>
            </w:tcMar>
            <w:vAlign w:val="bottom"/>
          </w:tcPr>
          <w:p w14:paraId="5406697E"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97F"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980"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981" w14:textId="77777777" w:rsidR="00611BDD" w:rsidRDefault="002E18C7">
            <w:pPr>
              <w:jc w:val="right"/>
              <w:textAlignment w:val="bottom"/>
            </w:pPr>
            <w:r>
              <w:rPr>
                <w:rFonts w:ascii="sans-serif" w:eastAsia="sans-serif" w:hAnsi="sans-serif" w:cs="sans-serif"/>
                <w:color w:val="000000"/>
                <w:sz w:val="20"/>
                <w:szCs w:val="20"/>
              </w:rPr>
              <w:t>35 </w:t>
            </w:r>
          </w:p>
        </w:tc>
        <w:tc>
          <w:tcPr>
            <w:tcW w:w="0" w:type="auto"/>
            <w:shd w:val="clear" w:color="auto" w:fill="E2EFD9"/>
            <w:tcMar>
              <w:top w:w="40" w:type="dxa"/>
              <w:left w:w="0" w:type="dxa"/>
              <w:bottom w:w="40" w:type="dxa"/>
              <w:right w:w="20" w:type="dxa"/>
            </w:tcMar>
            <w:vAlign w:val="bottom"/>
          </w:tcPr>
          <w:p w14:paraId="54066982" w14:textId="77777777" w:rsidR="00611BDD" w:rsidRDefault="00611BDD">
            <w:pPr>
              <w:jc w:val="right"/>
              <w:rPr>
                <w:rFonts w:ascii="宋体"/>
              </w:rPr>
            </w:pPr>
          </w:p>
        </w:tc>
      </w:tr>
      <w:tr w:rsidR="00611BDD" w14:paraId="54066990" w14:textId="77777777">
        <w:tc>
          <w:tcPr>
            <w:tcW w:w="0" w:type="auto"/>
            <w:gridSpan w:val="3"/>
            <w:shd w:val="clear" w:color="auto" w:fill="FFFFFF"/>
            <w:tcMar>
              <w:top w:w="40" w:type="dxa"/>
              <w:left w:w="20" w:type="dxa"/>
              <w:bottom w:w="40" w:type="dxa"/>
              <w:right w:w="20" w:type="dxa"/>
            </w:tcMar>
            <w:vAlign w:val="bottom"/>
          </w:tcPr>
          <w:p w14:paraId="54066984" w14:textId="77777777" w:rsidR="00611BDD" w:rsidRDefault="002E18C7">
            <w:pPr>
              <w:textAlignment w:val="bottom"/>
            </w:pPr>
            <w:r>
              <w:rPr>
                <w:rFonts w:ascii="sans-serif" w:eastAsia="sans-serif" w:hAnsi="sans-serif" w:cs="sans-serif"/>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54066985" w14:textId="77777777" w:rsidR="00611BDD" w:rsidRDefault="002E18C7">
            <w:pPr>
              <w:jc w:val="right"/>
              <w:textAlignment w:val="bottom"/>
            </w:pPr>
            <w:r>
              <w:rPr>
                <w:rFonts w:ascii="sans-serif" w:eastAsia="sans-serif" w:hAnsi="sans-serif" w:cs="sans-serif"/>
                <w:color w:val="000000"/>
                <w:sz w:val="20"/>
                <w:szCs w:val="20"/>
              </w:rPr>
              <w:t>297 </w:t>
            </w:r>
          </w:p>
        </w:tc>
        <w:tc>
          <w:tcPr>
            <w:tcW w:w="0" w:type="auto"/>
            <w:shd w:val="clear" w:color="auto" w:fill="FFFFFF"/>
            <w:tcMar>
              <w:top w:w="40" w:type="dxa"/>
              <w:left w:w="0" w:type="dxa"/>
              <w:bottom w:w="40" w:type="dxa"/>
              <w:right w:w="20" w:type="dxa"/>
            </w:tcMar>
            <w:vAlign w:val="bottom"/>
          </w:tcPr>
          <w:p w14:paraId="5406698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987"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988" w14:textId="77777777" w:rsidR="00611BDD" w:rsidRDefault="002E18C7">
            <w:pPr>
              <w:jc w:val="right"/>
              <w:textAlignment w:val="bottom"/>
            </w:pPr>
            <w:r>
              <w:rPr>
                <w:rFonts w:ascii="sans-serif" w:eastAsia="sans-serif" w:hAnsi="sans-serif" w:cs="sans-serif"/>
                <w:color w:val="000000"/>
                <w:sz w:val="20"/>
                <w:szCs w:val="20"/>
              </w:rPr>
              <w:t>228 </w:t>
            </w:r>
          </w:p>
        </w:tc>
        <w:tc>
          <w:tcPr>
            <w:tcW w:w="0" w:type="auto"/>
            <w:shd w:val="clear" w:color="auto" w:fill="FFFFFF"/>
            <w:tcMar>
              <w:top w:w="40" w:type="dxa"/>
              <w:left w:w="0" w:type="dxa"/>
              <w:bottom w:w="40" w:type="dxa"/>
              <w:right w:w="20" w:type="dxa"/>
            </w:tcMar>
            <w:vAlign w:val="bottom"/>
          </w:tcPr>
          <w:p w14:paraId="5406698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98A"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98B" w14:textId="77777777" w:rsidR="00611BDD" w:rsidRDefault="002E18C7">
            <w:pPr>
              <w:jc w:val="right"/>
              <w:textAlignment w:val="bottom"/>
            </w:pPr>
            <w:r>
              <w:rPr>
                <w:rFonts w:ascii="sans-serif" w:eastAsia="sans-serif" w:hAnsi="sans-serif" w:cs="sans-serif"/>
                <w:color w:val="000000"/>
                <w:sz w:val="20"/>
                <w:szCs w:val="20"/>
              </w:rPr>
              <w:t>573 </w:t>
            </w:r>
          </w:p>
        </w:tc>
        <w:tc>
          <w:tcPr>
            <w:tcW w:w="0" w:type="auto"/>
            <w:shd w:val="clear" w:color="auto" w:fill="FFFFFF"/>
            <w:tcMar>
              <w:top w:w="40" w:type="dxa"/>
              <w:left w:w="0" w:type="dxa"/>
              <w:bottom w:w="40" w:type="dxa"/>
              <w:right w:w="20" w:type="dxa"/>
            </w:tcMar>
            <w:vAlign w:val="bottom"/>
          </w:tcPr>
          <w:p w14:paraId="5406698C"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98D"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98E" w14:textId="77777777" w:rsidR="00611BDD" w:rsidRDefault="002E18C7">
            <w:pPr>
              <w:jc w:val="right"/>
              <w:textAlignment w:val="bottom"/>
            </w:pPr>
            <w:r>
              <w:rPr>
                <w:rFonts w:ascii="sans-serif" w:eastAsia="sans-serif" w:hAnsi="sans-serif" w:cs="sans-serif"/>
                <w:color w:val="000000"/>
                <w:sz w:val="20"/>
                <w:szCs w:val="20"/>
              </w:rPr>
              <w:t>362 </w:t>
            </w:r>
          </w:p>
        </w:tc>
        <w:tc>
          <w:tcPr>
            <w:tcW w:w="0" w:type="auto"/>
            <w:shd w:val="clear" w:color="auto" w:fill="FFFFFF"/>
            <w:tcMar>
              <w:top w:w="40" w:type="dxa"/>
              <w:left w:w="0" w:type="dxa"/>
              <w:bottom w:w="40" w:type="dxa"/>
              <w:right w:w="20" w:type="dxa"/>
            </w:tcMar>
            <w:vAlign w:val="bottom"/>
          </w:tcPr>
          <w:p w14:paraId="5406698F" w14:textId="77777777" w:rsidR="00611BDD" w:rsidRDefault="00611BDD">
            <w:pPr>
              <w:jc w:val="right"/>
              <w:rPr>
                <w:rFonts w:ascii="宋体"/>
              </w:rPr>
            </w:pPr>
          </w:p>
        </w:tc>
      </w:tr>
      <w:tr w:rsidR="00611BDD" w14:paraId="5406699D" w14:textId="77777777">
        <w:tc>
          <w:tcPr>
            <w:tcW w:w="0" w:type="auto"/>
            <w:gridSpan w:val="3"/>
            <w:shd w:val="clear" w:color="auto" w:fill="E2EFD9"/>
            <w:tcMar>
              <w:top w:w="40" w:type="dxa"/>
              <w:left w:w="20" w:type="dxa"/>
              <w:bottom w:w="40" w:type="dxa"/>
              <w:right w:w="20" w:type="dxa"/>
            </w:tcMar>
            <w:vAlign w:val="bottom"/>
          </w:tcPr>
          <w:p w14:paraId="54066991" w14:textId="77777777" w:rsidR="00611BDD" w:rsidRDefault="002E18C7">
            <w:pPr>
              <w:textAlignment w:val="bottom"/>
            </w:pPr>
            <w:r>
              <w:rPr>
                <w:rFonts w:ascii="sans-serif" w:eastAsia="sans-serif" w:hAnsi="sans-serif" w:cs="sans-serif"/>
                <w:color w:val="000000"/>
                <w:sz w:val="20"/>
                <w:szCs w:val="20"/>
              </w:rPr>
              <w:t>Sales, general and administrative</w:t>
            </w:r>
          </w:p>
        </w:tc>
        <w:tc>
          <w:tcPr>
            <w:tcW w:w="0" w:type="auto"/>
            <w:gridSpan w:val="2"/>
            <w:shd w:val="clear" w:color="auto" w:fill="E2EFD9"/>
            <w:tcMar>
              <w:top w:w="40" w:type="dxa"/>
              <w:left w:w="20" w:type="dxa"/>
              <w:bottom w:w="40" w:type="dxa"/>
              <w:right w:w="0" w:type="dxa"/>
            </w:tcMar>
            <w:vAlign w:val="bottom"/>
          </w:tcPr>
          <w:p w14:paraId="54066992" w14:textId="77777777" w:rsidR="00611BDD" w:rsidRDefault="002E18C7">
            <w:pPr>
              <w:jc w:val="right"/>
              <w:textAlignment w:val="bottom"/>
            </w:pPr>
            <w:r>
              <w:rPr>
                <w:rFonts w:ascii="sans-serif" w:eastAsia="sans-serif" w:hAnsi="sans-serif" w:cs="sans-serif"/>
                <w:color w:val="000000"/>
                <w:sz w:val="20"/>
                <w:szCs w:val="20"/>
              </w:rPr>
              <w:t>136 </w:t>
            </w:r>
          </w:p>
        </w:tc>
        <w:tc>
          <w:tcPr>
            <w:tcW w:w="0" w:type="auto"/>
            <w:shd w:val="clear" w:color="auto" w:fill="E2EFD9"/>
            <w:tcMar>
              <w:top w:w="40" w:type="dxa"/>
              <w:left w:w="0" w:type="dxa"/>
              <w:bottom w:w="40" w:type="dxa"/>
              <w:right w:w="20" w:type="dxa"/>
            </w:tcMar>
            <w:vAlign w:val="bottom"/>
          </w:tcPr>
          <w:p w14:paraId="5406699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994"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995" w14:textId="77777777" w:rsidR="00611BDD" w:rsidRDefault="002E18C7">
            <w:pPr>
              <w:jc w:val="right"/>
              <w:textAlignment w:val="bottom"/>
            </w:pPr>
            <w:r>
              <w:rPr>
                <w:rFonts w:ascii="sans-serif" w:eastAsia="sans-serif" w:hAnsi="sans-serif" w:cs="sans-serif"/>
                <w:color w:val="000000"/>
                <w:sz w:val="20"/>
                <w:szCs w:val="20"/>
              </w:rPr>
              <w:t>132 </w:t>
            </w:r>
          </w:p>
        </w:tc>
        <w:tc>
          <w:tcPr>
            <w:tcW w:w="0" w:type="auto"/>
            <w:shd w:val="clear" w:color="auto" w:fill="E2EFD9"/>
            <w:tcMar>
              <w:top w:w="40" w:type="dxa"/>
              <w:left w:w="0" w:type="dxa"/>
              <w:bottom w:w="40" w:type="dxa"/>
              <w:right w:w="20" w:type="dxa"/>
            </w:tcMar>
            <w:vAlign w:val="bottom"/>
          </w:tcPr>
          <w:p w14:paraId="5406699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997"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998" w14:textId="77777777" w:rsidR="00611BDD" w:rsidRDefault="002E18C7">
            <w:pPr>
              <w:jc w:val="right"/>
              <w:textAlignment w:val="bottom"/>
            </w:pPr>
            <w:r>
              <w:rPr>
                <w:rFonts w:ascii="sans-serif" w:eastAsia="sans-serif" w:hAnsi="sans-serif" w:cs="sans-serif"/>
                <w:color w:val="000000"/>
                <w:sz w:val="20"/>
                <w:szCs w:val="20"/>
              </w:rPr>
              <w:t>264 </w:t>
            </w:r>
          </w:p>
        </w:tc>
        <w:tc>
          <w:tcPr>
            <w:tcW w:w="0" w:type="auto"/>
            <w:shd w:val="clear" w:color="auto" w:fill="E2EFD9"/>
            <w:tcMar>
              <w:top w:w="40" w:type="dxa"/>
              <w:left w:w="0" w:type="dxa"/>
              <w:bottom w:w="40" w:type="dxa"/>
              <w:right w:w="20" w:type="dxa"/>
            </w:tcMar>
            <w:vAlign w:val="bottom"/>
          </w:tcPr>
          <w:p w14:paraId="5406699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99A"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99B" w14:textId="77777777" w:rsidR="00611BDD" w:rsidRDefault="002E18C7">
            <w:pPr>
              <w:jc w:val="right"/>
              <w:textAlignment w:val="bottom"/>
            </w:pPr>
            <w:r>
              <w:rPr>
                <w:rFonts w:ascii="sans-serif" w:eastAsia="sans-serif" w:hAnsi="sans-serif" w:cs="sans-serif"/>
                <w:color w:val="000000"/>
                <w:sz w:val="20"/>
                <w:szCs w:val="20"/>
              </w:rPr>
              <w:t>201 </w:t>
            </w:r>
          </w:p>
        </w:tc>
        <w:tc>
          <w:tcPr>
            <w:tcW w:w="0" w:type="auto"/>
            <w:shd w:val="clear" w:color="auto" w:fill="E2EFD9"/>
            <w:tcMar>
              <w:top w:w="40" w:type="dxa"/>
              <w:left w:w="0" w:type="dxa"/>
              <w:bottom w:w="40" w:type="dxa"/>
              <w:right w:w="20" w:type="dxa"/>
            </w:tcMar>
            <w:vAlign w:val="bottom"/>
          </w:tcPr>
          <w:p w14:paraId="5406699C" w14:textId="77777777" w:rsidR="00611BDD" w:rsidRDefault="00611BDD">
            <w:pPr>
              <w:jc w:val="right"/>
              <w:rPr>
                <w:rFonts w:ascii="宋体"/>
              </w:rPr>
            </w:pPr>
          </w:p>
        </w:tc>
      </w:tr>
      <w:tr w:rsidR="00611BDD" w14:paraId="540669AE" w14:textId="77777777">
        <w:tc>
          <w:tcPr>
            <w:tcW w:w="0" w:type="auto"/>
            <w:gridSpan w:val="3"/>
            <w:shd w:val="clear" w:color="auto" w:fill="FFFFFF"/>
            <w:tcMar>
              <w:top w:w="40" w:type="dxa"/>
              <w:left w:w="20" w:type="dxa"/>
              <w:bottom w:w="40" w:type="dxa"/>
              <w:right w:w="20" w:type="dxa"/>
            </w:tcMar>
            <w:vAlign w:val="bottom"/>
          </w:tcPr>
          <w:p w14:paraId="5406699E" w14:textId="77777777" w:rsidR="00611BDD" w:rsidRDefault="002E18C7">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406699F"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40669A0" w14:textId="77777777" w:rsidR="00611BDD" w:rsidRDefault="002E18C7">
            <w:pPr>
              <w:jc w:val="right"/>
              <w:textAlignment w:val="bottom"/>
            </w:pPr>
            <w:r>
              <w:rPr>
                <w:rFonts w:ascii="sans-serif" w:eastAsia="sans-serif" w:hAnsi="sans-serif" w:cs="sans-serif"/>
                <w:color w:val="000000"/>
                <w:sz w:val="20"/>
                <w:szCs w:val="20"/>
              </w:rPr>
              <w:t>465 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40669A1"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9A2" w14:textId="77777777" w:rsidR="00611BDD" w:rsidRDefault="00611BD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40669A3"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40669A4" w14:textId="77777777" w:rsidR="00611BDD" w:rsidRDefault="002E18C7">
            <w:pPr>
              <w:jc w:val="right"/>
              <w:textAlignment w:val="bottom"/>
            </w:pPr>
            <w:r>
              <w:rPr>
                <w:rFonts w:ascii="sans-serif" w:eastAsia="sans-serif" w:hAnsi="sans-serif" w:cs="sans-serif"/>
                <w:color w:val="000000"/>
                <w:sz w:val="20"/>
                <w:szCs w:val="20"/>
              </w:rPr>
              <w:t>374 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40669A5"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9A6" w14:textId="77777777" w:rsidR="00611BDD" w:rsidRDefault="00611BD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40669A7"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40669A8" w14:textId="77777777" w:rsidR="00611BDD" w:rsidRDefault="002E18C7">
            <w:pPr>
              <w:jc w:val="right"/>
              <w:textAlignment w:val="bottom"/>
            </w:pPr>
            <w:r>
              <w:rPr>
                <w:rFonts w:ascii="sans-serif" w:eastAsia="sans-serif" w:hAnsi="sans-serif" w:cs="sans-serif"/>
                <w:color w:val="000000"/>
                <w:sz w:val="20"/>
                <w:szCs w:val="20"/>
              </w:rPr>
              <w:t>894 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40669A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9AA" w14:textId="77777777" w:rsidR="00611BDD" w:rsidRDefault="00611BD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40669AB"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40669AC" w14:textId="77777777" w:rsidR="00611BDD" w:rsidRDefault="002E18C7">
            <w:pPr>
              <w:jc w:val="right"/>
              <w:textAlignment w:val="bottom"/>
            </w:pPr>
            <w:r>
              <w:rPr>
                <w:rFonts w:ascii="sans-serif" w:eastAsia="sans-serif" w:hAnsi="sans-serif" w:cs="sans-serif"/>
                <w:color w:val="000000"/>
                <w:sz w:val="20"/>
                <w:szCs w:val="20"/>
              </w:rPr>
              <w:t>598 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40669AD" w14:textId="77777777" w:rsidR="00611BDD" w:rsidRDefault="00611BDD">
            <w:pPr>
              <w:jc w:val="right"/>
              <w:rPr>
                <w:rFonts w:ascii="宋体"/>
              </w:rPr>
            </w:pPr>
          </w:p>
        </w:tc>
      </w:tr>
    </w:tbl>
    <w:p w14:paraId="540669AF" w14:textId="77777777" w:rsidR="00611BDD" w:rsidRDefault="002E18C7">
      <w:pPr>
        <w:spacing w:before="240" w:after="60"/>
        <w:jc w:val="both"/>
      </w:pPr>
      <w:r>
        <w:rPr>
          <w:rFonts w:ascii="sans-serif" w:eastAsia="sans-serif" w:hAnsi="sans-serif" w:cs="sans-serif"/>
          <w:b/>
          <w:bCs/>
          <w:color w:val="76B900"/>
          <w:sz w:val="20"/>
          <w:szCs w:val="20"/>
        </w:rPr>
        <w:t>Equity Award Activity</w:t>
      </w:r>
    </w:p>
    <w:p w14:paraId="540669B0" w14:textId="77777777" w:rsidR="00611BDD" w:rsidRDefault="002E18C7">
      <w:pPr>
        <w:spacing w:after="180"/>
        <w:jc w:val="both"/>
      </w:pPr>
      <w:r>
        <w:rPr>
          <w:rFonts w:ascii="sans-serif" w:eastAsia="sans-serif" w:hAnsi="sans-serif" w:cs="sans-serif"/>
          <w:color w:val="000000"/>
          <w:sz w:val="20"/>
          <w:szCs w:val="20"/>
        </w:rPr>
        <w:t>The following is a summary of equity award transactions under our equity incentive plans:</w:t>
      </w:r>
    </w:p>
    <w:tbl>
      <w:tblPr>
        <w:tblW w:w="5000" w:type="pct"/>
        <w:tblCellMar>
          <w:top w:w="15" w:type="dxa"/>
          <w:left w:w="15" w:type="dxa"/>
          <w:bottom w:w="15" w:type="dxa"/>
          <w:right w:w="15" w:type="dxa"/>
        </w:tblCellMar>
        <w:tblLook w:val="04A0" w:firstRow="1" w:lastRow="0" w:firstColumn="1" w:lastColumn="0" w:noHBand="0" w:noVBand="1"/>
      </w:tblPr>
      <w:tblGrid>
        <w:gridCol w:w="46"/>
        <w:gridCol w:w="4192"/>
        <w:gridCol w:w="38"/>
        <w:gridCol w:w="47"/>
        <w:gridCol w:w="1638"/>
        <w:gridCol w:w="38"/>
        <w:gridCol w:w="37"/>
        <w:gridCol w:w="37"/>
        <w:gridCol w:w="36"/>
        <w:gridCol w:w="123"/>
        <w:gridCol w:w="1635"/>
        <w:gridCol w:w="37"/>
        <w:gridCol w:w="36"/>
        <w:gridCol w:w="36"/>
        <w:gridCol w:w="36"/>
        <w:gridCol w:w="36"/>
        <w:gridCol w:w="36"/>
        <w:gridCol w:w="36"/>
        <w:gridCol w:w="36"/>
        <w:gridCol w:w="36"/>
        <w:gridCol w:w="36"/>
        <w:gridCol w:w="36"/>
        <w:gridCol w:w="36"/>
        <w:gridCol w:w="36"/>
      </w:tblGrid>
      <w:tr w:rsidR="00611BDD" w14:paraId="540669C1" w14:textId="77777777">
        <w:tc>
          <w:tcPr>
            <w:tcW w:w="50" w:type="pct"/>
            <w:shd w:val="clear" w:color="auto" w:fill="auto"/>
            <w:vAlign w:val="bottom"/>
          </w:tcPr>
          <w:p w14:paraId="540669B1" w14:textId="77777777" w:rsidR="00611BDD" w:rsidRDefault="00611BDD">
            <w:pPr>
              <w:rPr>
                <w:rFonts w:ascii="宋体"/>
              </w:rPr>
            </w:pPr>
          </w:p>
        </w:tc>
        <w:tc>
          <w:tcPr>
            <w:tcW w:w="2671" w:type="pct"/>
            <w:shd w:val="clear" w:color="auto" w:fill="auto"/>
            <w:vAlign w:val="bottom"/>
          </w:tcPr>
          <w:p w14:paraId="540669B2" w14:textId="77777777" w:rsidR="00611BDD" w:rsidRDefault="00611BDD">
            <w:pPr>
              <w:rPr>
                <w:rFonts w:ascii="宋体"/>
              </w:rPr>
            </w:pPr>
          </w:p>
        </w:tc>
        <w:tc>
          <w:tcPr>
            <w:tcW w:w="5" w:type="pct"/>
            <w:shd w:val="clear" w:color="auto" w:fill="auto"/>
            <w:vAlign w:val="bottom"/>
          </w:tcPr>
          <w:p w14:paraId="540669B3" w14:textId="77777777" w:rsidR="00611BDD" w:rsidRDefault="00611BDD">
            <w:pPr>
              <w:rPr>
                <w:rFonts w:ascii="宋体"/>
              </w:rPr>
            </w:pPr>
          </w:p>
        </w:tc>
        <w:tc>
          <w:tcPr>
            <w:tcW w:w="50" w:type="pct"/>
            <w:shd w:val="clear" w:color="auto" w:fill="auto"/>
            <w:vAlign w:val="bottom"/>
          </w:tcPr>
          <w:p w14:paraId="540669B4" w14:textId="77777777" w:rsidR="00611BDD" w:rsidRDefault="00611BDD">
            <w:pPr>
              <w:rPr>
                <w:rFonts w:ascii="宋体"/>
              </w:rPr>
            </w:pPr>
          </w:p>
        </w:tc>
        <w:tc>
          <w:tcPr>
            <w:tcW w:w="1056" w:type="pct"/>
            <w:shd w:val="clear" w:color="auto" w:fill="auto"/>
            <w:vAlign w:val="bottom"/>
          </w:tcPr>
          <w:p w14:paraId="540669B5" w14:textId="77777777" w:rsidR="00611BDD" w:rsidRDefault="00611BDD">
            <w:pPr>
              <w:rPr>
                <w:rFonts w:ascii="宋体"/>
              </w:rPr>
            </w:pPr>
          </w:p>
        </w:tc>
        <w:tc>
          <w:tcPr>
            <w:tcW w:w="5" w:type="pct"/>
            <w:shd w:val="clear" w:color="auto" w:fill="auto"/>
            <w:vAlign w:val="bottom"/>
          </w:tcPr>
          <w:p w14:paraId="540669B6" w14:textId="77777777" w:rsidR="00611BDD" w:rsidRDefault="00611BDD">
            <w:pPr>
              <w:rPr>
                <w:rFonts w:ascii="宋体"/>
              </w:rPr>
            </w:pPr>
          </w:p>
        </w:tc>
        <w:tc>
          <w:tcPr>
            <w:tcW w:w="5" w:type="pct"/>
            <w:shd w:val="clear" w:color="auto" w:fill="auto"/>
            <w:vAlign w:val="bottom"/>
          </w:tcPr>
          <w:p w14:paraId="540669B7" w14:textId="77777777" w:rsidR="00611BDD" w:rsidRDefault="00611BDD">
            <w:pPr>
              <w:rPr>
                <w:rFonts w:ascii="宋体"/>
              </w:rPr>
            </w:pPr>
          </w:p>
        </w:tc>
        <w:tc>
          <w:tcPr>
            <w:tcW w:w="41" w:type="pct"/>
            <w:shd w:val="clear" w:color="auto" w:fill="auto"/>
            <w:vAlign w:val="bottom"/>
          </w:tcPr>
          <w:p w14:paraId="540669B8" w14:textId="77777777" w:rsidR="00611BDD" w:rsidRDefault="00611BDD">
            <w:pPr>
              <w:rPr>
                <w:rFonts w:ascii="宋体"/>
              </w:rPr>
            </w:pPr>
          </w:p>
        </w:tc>
        <w:tc>
          <w:tcPr>
            <w:tcW w:w="5" w:type="pct"/>
            <w:shd w:val="clear" w:color="auto" w:fill="auto"/>
            <w:vAlign w:val="bottom"/>
          </w:tcPr>
          <w:p w14:paraId="540669B9" w14:textId="77777777" w:rsidR="00611BDD" w:rsidRDefault="00611BDD">
            <w:pPr>
              <w:rPr>
                <w:rFonts w:ascii="宋体"/>
              </w:rPr>
            </w:pPr>
          </w:p>
        </w:tc>
        <w:tc>
          <w:tcPr>
            <w:tcW w:w="50" w:type="pct"/>
            <w:shd w:val="clear" w:color="auto" w:fill="auto"/>
            <w:vAlign w:val="bottom"/>
          </w:tcPr>
          <w:p w14:paraId="540669BA" w14:textId="77777777" w:rsidR="00611BDD" w:rsidRDefault="00611BDD">
            <w:pPr>
              <w:rPr>
                <w:rFonts w:ascii="宋体"/>
              </w:rPr>
            </w:pPr>
          </w:p>
        </w:tc>
        <w:tc>
          <w:tcPr>
            <w:tcW w:w="1056" w:type="pct"/>
            <w:shd w:val="clear" w:color="auto" w:fill="auto"/>
            <w:vAlign w:val="bottom"/>
          </w:tcPr>
          <w:p w14:paraId="540669BB" w14:textId="77777777" w:rsidR="00611BDD" w:rsidRDefault="00611BDD">
            <w:pPr>
              <w:rPr>
                <w:rFonts w:ascii="宋体"/>
              </w:rPr>
            </w:pPr>
          </w:p>
        </w:tc>
        <w:tc>
          <w:tcPr>
            <w:tcW w:w="5" w:type="pct"/>
            <w:shd w:val="clear" w:color="auto" w:fill="auto"/>
            <w:vAlign w:val="bottom"/>
          </w:tcPr>
          <w:p w14:paraId="540669BC" w14:textId="77777777" w:rsidR="00611BDD" w:rsidRDefault="00611BDD">
            <w:pPr>
              <w:rPr>
                <w:rFonts w:ascii="宋体"/>
              </w:rPr>
            </w:pPr>
          </w:p>
        </w:tc>
        <w:tc>
          <w:tcPr>
            <w:tcW w:w="0" w:type="auto"/>
            <w:gridSpan w:val="3"/>
            <w:shd w:val="clear" w:color="auto" w:fill="auto"/>
            <w:vAlign w:val="bottom"/>
          </w:tcPr>
          <w:p w14:paraId="540669BD" w14:textId="77777777" w:rsidR="00611BDD" w:rsidRDefault="00611BDD">
            <w:pPr>
              <w:rPr>
                <w:rFonts w:ascii="宋体"/>
                <w:vanish/>
              </w:rPr>
            </w:pPr>
          </w:p>
        </w:tc>
        <w:tc>
          <w:tcPr>
            <w:tcW w:w="0" w:type="auto"/>
            <w:gridSpan w:val="3"/>
            <w:shd w:val="clear" w:color="auto" w:fill="auto"/>
            <w:vAlign w:val="bottom"/>
          </w:tcPr>
          <w:p w14:paraId="540669BE" w14:textId="77777777" w:rsidR="00611BDD" w:rsidRDefault="00611BDD">
            <w:pPr>
              <w:rPr>
                <w:rFonts w:ascii="宋体"/>
                <w:vanish/>
              </w:rPr>
            </w:pPr>
          </w:p>
        </w:tc>
        <w:tc>
          <w:tcPr>
            <w:tcW w:w="0" w:type="auto"/>
            <w:gridSpan w:val="3"/>
            <w:shd w:val="clear" w:color="auto" w:fill="auto"/>
            <w:vAlign w:val="bottom"/>
          </w:tcPr>
          <w:p w14:paraId="540669BF" w14:textId="77777777" w:rsidR="00611BDD" w:rsidRDefault="00611BDD">
            <w:pPr>
              <w:rPr>
                <w:rFonts w:ascii="宋体"/>
                <w:vanish/>
              </w:rPr>
            </w:pPr>
          </w:p>
        </w:tc>
        <w:tc>
          <w:tcPr>
            <w:tcW w:w="0" w:type="auto"/>
            <w:gridSpan w:val="3"/>
            <w:shd w:val="clear" w:color="auto" w:fill="auto"/>
            <w:vAlign w:val="bottom"/>
          </w:tcPr>
          <w:p w14:paraId="540669C0" w14:textId="77777777" w:rsidR="00611BDD" w:rsidRDefault="00611BDD">
            <w:pPr>
              <w:rPr>
                <w:rFonts w:ascii="宋体"/>
                <w:vanish/>
              </w:rPr>
            </w:pPr>
          </w:p>
        </w:tc>
      </w:tr>
      <w:tr w:rsidR="00611BDD" w14:paraId="540669CC" w14:textId="77777777">
        <w:tc>
          <w:tcPr>
            <w:tcW w:w="0" w:type="auto"/>
            <w:gridSpan w:val="3"/>
            <w:shd w:val="clear" w:color="auto" w:fill="auto"/>
            <w:tcMar>
              <w:top w:w="0" w:type="dxa"/>
              <w:left w:w="20" w:type="dxa"/>
              <w:bottom w:w="0" w:type="dxa"/>
              <w:right w:w="20" w:type="dxa"/>
            </w:tcMar>
            <w:vAlign w:val="bottom"/>
          </w:tcPr>
          <w:p w14:paraId="540669C2" w14:textId="77777777" w:rsidR="00611BDD" w:rsidRDefault="00611BDD">
            <w:pPr>
              <w:rPr>
                <w:rFonts w:ascii="宋体"/>
              </w:rPr>
            </w:pPr>
          </w:p>
        </w:tc>
        <w:tc>
          <w:tcPr>
            <w:tcW w:w="0" w:type="auto"/>
            <w:gridSpan w:val="9"/>
            <w:shd w:val="clear" w:color="auto" w:fill="auto"/>
            <w:tcMar>
              <w:top w:w="40" w:type="dxa"/>
              <w:left w:w="20" w:type="dxa"/>
              <w:bottom w:w="40" w:type="dxa"/>
              <w:right w:w="20" w:type="dxa"/>
            </w:tcMar>
            <w:vAlign w:val="bottom"/>
          </w:tcPr>
          <w:p w14:paraId="540669C3" w14:textId="77777777" w:rsidR="00611BDD" w:rsidRDefault="002E18C7">
            <w:pPr>
              <w:jc w:val="center"/>
              <w:textAlignment w:val="bottom"/>
            </w:pPr>
            <w:r>
              <w:rPr>
                <w:rFonts w:ascii="sans-serif" w:eastAsia="sans-serif" w:hAnsi="sans-serif" w:cs="sans-serif"/>
                <w:b/>
                <w:bCs/>
                <w:color w:val="000000"/>
                <w:sz w:val="20"/>
                <w:szCs w:val="20"/>
              </w:rPr>
              <w:t>RSUs, PSUs, and Market-based PSUs Outstanding</w:t>
            </w:r>
          </w:p>
        </w:tc>
        <w:tc>
          <w:tcPr>
            <w:tcW w:w="0" w:type="auto"/>
            <w:gridSpan w:val="3"/>
            <w:shd w:val="clear" w:color="auto" w:fill="auto"/>
            <w:vAlign w:val="bottom"/>
          </w:tcPr>
          <w:p w14:paraId="540669C4" w14:textId="77777777" w:rsidR="00611BDD" w:rsidRDefault="00611BDD">
            <w:pPr>
              <w:rPr>
                <w:rFonts w:ascii="宋体"/>
                <w:vanish/>
              </w:rPr>
            </w:pPr>
          </w:p>
        </w:tc>
        <w:tc>
          <w:tcPr>
            <w:tcW w:w="0" w:type="auto"/>
            <w:gridSpan w:val="3"/>
            <w:shd w:val="clear" w:color="auto" w:fill="auto"/>
            <w:vAlign w:val="bottom"/>
          </w:tcPr>
          <w:p w14:paraId="540669C5" w14:textId="77777777" w:rsidR="00611BDD" w:rsidRDefault="00611BDD">
            <w:pPr>
              <w:rPr>
                <w:rFonts w:ascii="宋体"/>
                <w:vanish/>
              </w:rPr>
            </w:pPr>
          </w:p>
        </w:tc>
        <w:tc>
          <w:tcPr>
            <w:tcW w:w="0" w:type="auto"/>
            <w:shd w:val="clear" w:color="auto" w:fill="auto"/>
            <w:vAlign w:val="bottom"/>
          </w:tcPr>
          <w:p w14:paraId="540669C6" w14:textId="77777777" w:rsidR="00611BDD" w:rsidRDefault="00611BDD">
            <w:pPr>
              <w:rPr>
                <w:rFonts w:ascii="宋体"/>
              </w:rPr>
            </w:pPr>
          </w:p>
        </w:tc>
        <w:tc>
          <w:tcPr>
            <w:tcW w:w="0" w:type="auto"/>
            <w:shd w:val="clear" w:color="auto" w:fill="auto"/>
            <w:vAlign w:val="bottom"/>
          </w:tcPr>
          <w:p w14:paraId="540669C7" w14:textId="77777777" w:rsidR="00611BDD" w:rsidRDefault="00611BDD">
            <w:pPr>
              <w:rPr>
                <w:rFonts w:ascii="宋体"/>
              </w:rPr>
            </w:pPr>
          </w:p>
        </w:tc>
        <w:tc>
          <w:tcPr>
            <w:tcW w:w="0" w:type="auto"/>
            <w:shd w:val="clear" w:color="auto" w:fill="auto"/>
            <w:vAlign w:val="bottom"/>
          </w:tcPr>
          <w:p w14:paraId="540669C8" w14:textId="77777777" w:rsidR="00611BDD" w:rsidRDefault="00611BDD">
            <w:pPr>
              <w:rPr>
                <w:rFonts w:ascii="宋体"/>
              </w:rPr>
            </w:pPr>
          </w:p>
        </w:tc>
        <w:tc>
          <w:tcPr>
            <w:tcW w:w="0" w:type="auto"/>
            <w:shd w:val="clear" w:color="auto" w:fill="auto"/>
            <w:vAlign w:val="bottom"/>
          </w:tcPr>
          <w:p w14:paraId="540669C9" w14:textId="77777777" w:rsidR="00611BDD" w:rsidRDefault="00611BDD">
            <w:pPr>
              <w:rPr>
                <w:rFonts w:ascii="宋体"/>
              </w:rPr>
            </w:pPr>
          </w:p>
        </w:tc>
        <w:tc>
          <w:tcPr>
            <w:tcW w:w="0" w:type="auto"/>
            <w:shd w:val="clear" w:color="auto" w:fill="auto"/>
            <w:vAlign w:val="bottom"/>
          </w:tcPr>
          <w:p w14:paraId="540669CA" w14:textId="77777777" w:rsidR="00611BDD" w:rsidRDefault="00611BDD">
            <w:pPr>
              <w:rPr>
                <w:rFonts w:ascii="宋体"/>
              </w:rPr>
            </w:pPr>
          </w:p>
        </w:tc>
        <w:tc>
          <w:tcPr>
            <w:tcW w:w="0" w:type="auto"/>
            <w:shd w:val="clear" w:color="auto" w:fill="auto"/>
            <w:vAlign w:val="bottom"/>
          </w:tcPr>
          <w:p w14:paraId="540669CB" w14:textId="77777777" w:rsidR="00611BDD" w:rsidRDefault="00611BDD">
            <w:pPr>
              <w:rPr>
                <w:rFonts w:ascii="宋体"/>
              </w:rPr>
            </w:pPr>
          </w:p>
        </w:tc>
      </w:tr>
      <w:tr w:rsidR="00611BDD" w14:paraId="540669D5" w14:textId="77777777">
        <w:tc>
          <w:tcPr>
            <w:tcW w:w="0" w:type="auto"/>
            <w:gridSpan w:val="3"/>
            <w:shd w:val="clear" w:color="auto" w:fill="auto"/>
            <w:tcMar>
              <w:top w:w="40" w:type="dxa"/>
              <w:left w:w="20" w:type="dxa"/>
              <w:bottom w:w="40" w:type="dxa"/>
              <w:right w:w="20" w:type="dxa"/>
            </w:tcMar>
            <w:vAlign w:val="bottom"/>
          </w:tcPr>
          <w:p w14:paraId="540669CD"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9CE" w14:textId="77777777" w:rsidR="00611BDD" w:rsidRDefault="002E18C7">
            <w:pPr>
              <w:jc w:val="center"/>
              <w:textAlignment w:val="bottom"/>
            </w:pPr>
            <w:r>
              <w:rPr>
                <w:rFonts w:ascii="sans-serif" w:eastAsia="sans-serif" w:hAnsi="sans-serif" w:cs="sans-serif"/>
                <w:b/>
                <w:bCs/>
                <w:color w:val="000000"/>
                <w:sz w:val="20"/>
                <w:szCs w:val="20"/>
              </w:rPr>
              <w:t>Number of 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9CF"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9D0" w14:textId="77777777" w:rsidR="00611BDD" w:rsidRDefault="002E18C7">
            <w:pPr>
              <w:jc w:val="center"/>
              <w:textAlignment w:val="bottom"/>
            </w:pPr>
            <w:r>
              <w:rPr>
                <w:rFonts w:ascii="sans-serif" w:eastAsia="sans-serif" w:hAnsi="sans-serif" w:cs="sans-serif"/>
                <w:b/>
                <w:bCs/>
                <w:color w:val="000000"/>
                <w:sz w:val="20"/>
                <w:szCs w:val="20"/>
              </w:rPr>
              <w:t>Weighted Average Grant-Date Fair Value Per Share</w:t>
            </w:r>
          </w:p>
        </w:tc>
        <w:tc>
          <w:tcPr>
            <w:tcW w:w="0" w:type="auto"/>
            <w:gridSpan w:val="3"/>
            <w:shd w:val="clear" w:color="auto" w:fill="auto"/>
            <w:vAlign w:val="bottom"/>
          </w:tcPr>
          <w:p w14:paraId="540669D1" w14:textId="77777777" w:rsidR="00611BDD" w:rsidRDefault="00611BDD">
            <w:pPr>
              <w:rPr>
                <w:rFonts w:ascii="宋体"/>
                <w:vanish/>
              </w:rPr>
            </w:pPr>
          </w:p>
        </w:tc>
        <w:tc>
          <w:tcPr>
            <w:tcW w:w="0" w:type="auto"/>
            <w:gridSpan w:val="3"/>
            <w:shd w:val="clear" w:color="auto" w:fill="auto"/>
            <w:vAlign w:val="bottom"/>
          </w:tcPr>
          <w:p w14:paraId="540669D2" w14:textId="77777777" w:rsidR="00611BDD" w:rsidRDefault="00611BDD">
            <w:pPr>
              <w:rPr>
                <w:rFonts w:ascii="宋体"/>
                <w:vanish/>
              </w:rPr>
            </w:pPr>
          </w:p>
        </w:tc>
        <w:tc>
          <w:tcPr>
            <w:tcW w:w="0" w:type="auto"/>
            <w:gridSpan w:val="3"/>
            <w:shd w:val="clear" w:color="auto" w:fill="auto"/>
            <w:vAlign w:val="bottom"/>
          </w:tcPr>
          <w:p w14:paraId="540669D3" w14:textId="77777777" w:rsidR="00611BDD" w:rsidRDefault="00611BDD">
            <w:pPr>
              <w:rPr>
                <w:rFonts w:ascii="宋体"/>
                <w:vanish/>
              </w:rPr>
            </w:pPr>
          </w:p>
        </w:tc>
        <w:tc>
          <w:tcPr>
            <w:tcW w:w="0" w:type="auto"/>
            <w:gridSpan w:val="3"/>
            <w:shd w:val="clear" w:color="auto" w:fill="auto"/>
            <w:vAlign w:val="bottom"/>
          </w:tcPr>
          <w:p w14:paraId="540669D4" w14:textId="77777777" w:rsidR="00611BDD" w:rsidRDefault="00611BDD">
            <w:pPr>
              <w:rPr>
                <w:rFonts w:ascii="宋体"/>
                <w:vanish/>
              </w:rPr>
            </w:pPr>
          </w:p>
        </w:tc>
      </w:tr>
      <w:tr w:rsidR="00611BDD" w14:paraId="540669DE" w14:textId="77777777">
        <w:trPr>
          <w:trHeight w:val="60"/>
        </w:trPr>
        <w:tc>
          <w:tcPr>
            <w:tcW w:w="0" w:type="auto"/>
            <w:gridSpan w:val="3"/>
            <w:shd w:val="clear" w:color="auto" w:fill="auto"/>
            <w:tcMar>
              <w:top w:w="0" w:type="dxa"/>
              <w:left w:w="20" w:type="dxa"/>
              <w:bottom w:w="0" w:type="dxa"/>
              <w:right w:w="20" w:type="dxa"/>
            </w:tcMar>
            <w:vAlign w:val="bottom"/>
          </w:tcPr>
          <w:p w14:paraId="540669D6"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9D7"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9D8"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9D9" w14:textId="77777777" w:rsidR="00611BDD" w:rsidRDefault="00611BDD">
            <w:pPr>
              <w:rPr>
                <w:rFonts w:ascii="宋体"/>
              </w:rPr>
            </w:pPr>
          </w:p>
        </w:tc>
        <w:tc>
          <w:tcPr>
            <w:tcW w:w="0" w:type="auto"/>
            <w:gridSpan w:val="3"/>
            <w:shd w:val="clear" w:color="auto" w:fill="auto"/>
            <w:vAlign w:val="bottom"/>
          </w:tcPr>
          <w:p w14:paraId="540669DA" w14:textId="77777777" w:rsidR="00611BDD" w:rsidRDefault="00611BDD">
            <w:pPr>
              <w:rPr>
                <w:rFonts w:ascii="宋体"/>
                <w:vanish/>
              </w:rPr>
            </w:pPr>
          </w:p>
        </w:tc>
        <w:tc>
          <w:tcPr>
            <w:tcW w:w="0" w:type="auto"/>
            <w:gridSpan w:val="3"/>
            <w:shd w:val="clear" w:color="auto" w:fill="auto"/>
            <w:vAlign w:val="bottom"/>
          </w:tcPr>
          <w:p w14:paraId="540669DB" w14:textId="77777777" w:rsidR="00611BDD" w:rsidRDefault="00611BDD">
            <w:pPr>
              <w:rPr>
                <w:rFonts w:ascii="宋体"/>
                <w:vanish/>
              </w:rPr>
            </w:pPr>
          </w:p>
        </w:tc>
        <w:tc>
          <w:tcPr>
            <w:tcW w:w="0" w:type="auto"/>
            <w:gridSpan w:val="3"/>
            <w:shd w:val="clear" w:color="auto" w:fill="auto"/>
            <w:vAlign w:val="bottom"/>
          </w:tcPr>
          <w:p w14:paraId="540669DC" w14:textId="77777777" w:rsidR="00611BDD" w:rsidRDefault="00611BDD">
            <w:pPr>
              <w:rPr>
                <w:rFonts w:ascii="宋体"/>
                <w:vanish/>
              </w:rPr>
            </w:pPr>
          </w:p>
        </w:tc>
        <w:tc>
          <w:tcPr>
            <w:tcW w:w="0" w:type="auto"/>
            <w:gridSpan w:val="3"/>
            <w:shd w:val="clear" w:color="auto" w:fill="auto"/>
            <w:vAlign w:val="bottom"/>
          </w:tcPr>
          <w:p w14:paraId="540669DD" w14:textId="77777777" w:rsidR="00611BDD" w:rsidRDefault="00611BDD">
            <w:pPr>
              <w:rPr>
                <w:rFonts w:ascii="宋体"/>
                <w:vanish/>
              </w:rPr>
            </w:pPr>
          </w:p>
        </w:tc>
      </w:tr>
      <w:tr w:rsidR="00611BDD" w14:paraId="540669ED" w14:textId="77777777">
        <w:tc>
          <w:tcPr>
            <w:tcW w:w="0" w:type="auto"/>
            <w:gridSpan w:val="3"/>
            <w:shd w:val="clear" w:color="auto" w:fill="auto"/>
            <w:tcMar>
              <w:top w:w="0" w:type="dxa"/>
              <w:left w:w="20" w:type="dxa"/>
              <w:bottom w:w="0" w:type="dxa"/>
              <w:right w:w="20" w:type="dxa"/>
            </w:tcMar>
            <w:vAlign w:val="bottom"/>
          </w:tcPr>
          <w:p w14:paraId="540669DF" w14:textId="77777777" w:rsidR="00611BDD" w:rsidRDefault="00611BDD">
            <w:pPr>
              <w:rPr>
                <w:rFonts w:ascii="宋体"/>
              </w:rPr>
            </w:pPr>
          </w:p>
        </w:tc>
        <w:tc>
          <w:tcPr>
            <w:tcW w:w="0" w:type="auto"/>
            <w:gridSpan w:val="9"/>
            <w:shd w:val="clear" w:color="auto" w:fill="auto"/>
            <w:tcMar>
              <w:top w:w="40" w:type="dxa"/>
              <w:left w:w="20" w:type="dxa"/>
              <w:bottom w:w="40" w:type="dxa"/>
              <w:right w:w="20" w:type="dxa"/>
            </w:tcMar>
            <w:vAlign w:val="bottom"/>
          </w:tcPr>
          <w:p w14:paraId="540669E0" w14:textId="77777777" w:rsidR="00611BDD" w:rsidRDefault="002E18C7">
            <w:pPr>
              <w:jc w:val="center"/>
              <w:textAlignment w:val="bottom"/>
            </w:pPr>
            <w:r>
              <w:rPr>
                <w:rFonts w:ascii="sans-serif" w:eastAsia="sans-serif" w:hAnsi="sans-serif" w:cs="sans-serif"/>
                <w:i/>
                <w:iCs/>
                <w:color w:val="000000"/>
                <w:sz w:val="20"/>
                <w:szCs w:val="20"/>
              </w:rPr>
              <w:t>(In millions, except per share data)</w:t>
            </w:r>
          </w:p>
        </w:tc>
        <w:tc>
          <w:tcPr>
            <w:tcW w:w="0" w:type="auto"/>
            <w:shd w:val="clear" w:color="auto" w:fill="auto"/>
            <w:vAlign w:val="bottom"/>
          </w:tcPr>
          <w:p w14:paraId="540669E1" w14:textId="77777777" w:rsidR="00611BDD" w:rsidRDefault="00611BDD">
            <w:pPr>
              <w:rPr>
                <w:rFonts w:ascii="宋体"/>
              </w:rPr>
            </w:pPr>
          </w:p>
        </w:tc>
        <w:tc>
          <w:tcPr>
            <w:tcW w:w="0" w:type="auto"/>
            <w:shd w:val="clear" w:color="auto" w:fill="auto"/>
            <w:vAlign w:val="bottom"/>
          </w:tcPr>
          <w:p w14:paraId="540669E2" w14:textId="77777777" w:rsidR="00611BDD" w:rsidRDefault="00611BDD">
            <w:pPr>
              <w:rPr>
                <w:rFonts w:ascii="宋体"/>
              </w:rPr>
            </w:pPr>
          </w:p>
        </w:tc>
        <w:tc>
          <w:tcPr>
            <w:tcW w:w="0" w:type="auto"/>
            <w:shd w:val="clear" w:color="auto" w:fill="auto"/>
            <w:vAlign w:val="bottom"/>
          </w:tcPr>
          <w:p w14:paraId="540669E3" w14:textId="77777777" w:rsidR="00611BDD" w:rsidRDefault="00611BDD">
            <w:pPr>
              <w:rPr>
                <w:rFonts w:ascii="宋体"/>
              </w:rPr>
            </w:pPr>
          </w:p>
        </w:tc>
        <w:tc>
          <w:tcPr>
            <w:tcW w:w="0" w:type="auto"/>
            <w:shd w:val="clear" w:color="auto" w:fill="auto"/>
            <w:vAlign w:val="bottom"/>
          </w:tcPr>
          <w:p w14:paraId="540669E4" w14:textId="77777777" w:rsidR="00611BDD" w:rsidRDefault="00611BDD">
            <w:pPr>
              <w:rPr>
                <w:rFonts w:ascii="宋体"/>
              </w:rPr>
            </w:pPr>
          </w:p>
        </w:tc>
        <w:tc>
          <w:tcPr>
            <w:tcW w:w="0" w:type="auto"/>
            <w:shd w:val="clear" w:color="auto" w:fill="auto"/>
            <w:vAlign w:val="bottom"/>
          </w:tcPr>
          <w:p w14:paraId="540669E5" w14:textId="77777777" w:rsidR="00611BDD" w:rsidRDefault="00611BDD">
            <w:pPr>
              <w:rPr>
                <w:rFonts w:ascii="宋体"/>
              </w:rPr>
            </w:pPr>
          </w:p>
        </w:tc>
        <w:tc>
          <w:tcPr>
            <w:tcW w:w="0" w:type="auto"/>
            <w:shd w:val="clear" w:color="auto" w:fill="auto"/>
            <w:vAlign w:val="bottom"/>
          </w:tcPr>
          <w:p w14:paraId="540669E6" w14:textId="77777777" w:rsidR="00611BDD" w:rsidRDefault="00611BDD">
            <w:pPr>
              <w:rPr>
                <w:rFonts w:ascii="宋体"/>
              </w:rPr>
            </w:pPr>
          </w:p>
        </w:tc>
        <w:tc>
          <w:tcPr>
            <w:tcW w:w="0" w:type="auto"/>
            <w:shd w:val="clear" w:color="auto" w:fill="auto"/>
            <w:vAlign w:val="bottom"/>
          </w:tcPr>
          <w:p w14:paraId="540669E7" w14:textId="77777777" w:rsidR="00611BDD" w:rsidRDefault="00611BDD">
            <w:pPr>
              <w:rPr>
                <w:rFonts w:ascii="宋体"/>
              </w:rPr>
            </w:pPr>
          </w:p>
        </w:tc>
        <w:tc>
          <w:tcPr>
            <w:tcW w:w="0" w:type="auto"/>
            <w:shd w:val="clear" w:color="auto" w:fill="auto"/>
            <w:vAlign w:val="bottom"/>
          </w:tcPr>
          <w:p w14:paraId="540669E8" w14:textId="77777777" w:rsidR="00611BDD" w:rsidRDefault="00611BDD">
            <w:pPr>
              <w:rPr>
                <w:rFonts w:ascii="宋体"/>
              </w:rPr>
            </w:pPr>
          </w:p>
        </w:tc>
        <w:tc>
          <w:tcPr>
            <w:tcW w:w="0" w:type="auto"/>
            <w:shd w:val="clear" w:color="auto" w:fill="auto"/>
            <w:vAlign w:val="bottom"/>
          </w:tcPr>
          <w:p w14:paraId="540669E9" w14:textId="77777777" w:rsidR="00611BDD" w:rsidRDefault="00611BDD">
            <w:pPr>
              <w:rPr>
                <w:rFonts w:ascii="宋体"/>
              </w:rPr>
            </w:pPr>
          </w:p>
        </w:tc>
        <w:tc>
          <w:tcPr>
            <w:tcW w:w="0" w:type="auto"/>
            <w:shd w:val="clear" w:color="auto" w:fill="auto"/>
            <w:vAlign w:val="bottom"/>
          </w:tcPr>
          <w:p w14:paraId="540669EA" w14:textId="77777777" w:rsidR="00611BDD" w:rsidRDefault="00611BDD">
            <w:pPr>
              <w:rPr>
                <w:rFonts w:ascii="宋体"/>
              </w:rPr>
            </w:pPr>
          </w:p>
        </w:tc>
        <w:tc>
          <w:tcPr>
            <w:tcW w:w="0" w:type="auto"/>
            <w:shd w:val="clear" w:color="auto" w:fill="auto"/>
            <w:vAlign w:val="bottom"/>
          </w:tcPr>
          <w:p w14:paraId="540669EB" w14:textId="77777777" w:rsidR="00611BDD" w:rsidRDefault="00611BDD">
            <w:pPr>
              <w:rPr>
                <w:rFonts w:ascii="宋体"/>
              </w:rPr>
            </w:pPr>
          </w:p>
        </w:tc>
        <w:tc>
          <w:tcPr>
            <w:tcW w:w="0" w:type="auto"/>
            <w:shd w:val="clear" w:color="auto" w:fill="auto"/>
            <w:vAlign w:val="bottom"/>
          </w:tcPr>
          <w:p w14:paraId="540669EC" w14:textId="77777777" w:rsidR="00611BDD" w:rsidRDefault="00611BDD">
            <w:pPr>
              <w:rPr>
                <w:rFonts w:ascii="宋体"/>
              </w:rPr>
            </w:pPr>
          </w:p>
        </w:tc>
      </w:tr>
      <w:tr w:rsidR="00611BDD" w14:paraId="540669F9" w14:textId="77777777">
        <w:tc>
          <w:tcPr>
            <w:tcW w:w="0" w:type="auto"/>
            <w:gridSpan w:val="3"/>
            <w:shd w:val="clear" w:color="auto" w:fill="E2EFD9"/>
            <w:tcMar>
              <w:top w:w="40" w:type="dxa"/>
              <w:left w:w="20" w:type="dxa"/>
              <w:bottom w:w="40" w:type="dxa"/>
              <w:right w:w="20" w:type="dxa"/>
            </w:tcMar>
            <w:vAlign w:val="bottom"/>
          </w:tcPr>
          <w:p w14:paraId="540669EE" w14:textId="77777777" w:rsidR="00611BDD" w:rsidRDefault="002E18C7">
            <w:pPr>
              <w:textAlignment w:val="bottom"/>
            </w:pPr>
            <w:r>
              <w:rPr>
                <w:rFonts w:ascii="sans-serif" w:eastAsia="sans-serif" w:hAnsi="sans-serif" w:cs="sans-serif"/>
                <w:color w:val="000000"/>
                <w:sz w:val="20"/>
                <w:szCs w:val="20"/>
              </w:rPr>
              <w:t>Balances, January 31, 2021</w:t>
            </w:r>
          </w:p>
        </w:tc>
        <w:tc>
          <w:tcPr>
            <w:tcW w:w="0" w:type="auto"/>
            <w:gridSpan w:val="2"/>
            <w:shd w:val="clear" w:color="auto" w:fill="E2EFD9"/>
            <w:tcMar>
              <w:top w:w="40" w:type="dxa"/>
              <w:left w:w="20" w:type="dxa"/>
              <w:bottom w:w="40" w:type="dxa"/>
              <w:right w:w="0" w:type="dxa"/>
            </w:tcMar>
            <w:vAlign w:val="bottom"/>
          </w:tcPr>
          <w:p w14:paraId="540669EF" w14:textId="77777777" w:rsidR="00611BDD" w:rsidRDefault="002E18C7">
            <w:pPr>
              <w:jc w:val="right"/>
              <w:textAlignment w:val="bottom"/>
            </w:pPr>
            <w:r>
              <w:rPr>
                <w:rFonts w:ascii="sans-serif" w:eastAsia="sans-serif" w:hAnsi="sans-serif" w:cs="sans-serif"/>
                <w:color w:val="000000"/>
                <w:sz w:val="20"/>
                <w:szCs w:val="20"/>
              </w:rPr>
              <w:t>59 </w:t>
            </w:r>
          </w:p>
        </w:tc>
        <w:tc>
          <w:tcPr>
            <w:tcW w:w="0" w:type="auto"/>
            <w:shd w:val="clear" w:color="auto" w:fill="E2EFD9"/>
            <w:tcMar>
              <w:top w:w="40" w:type="dxa"/>
              <w:left w:w="0" w:type="dxa"/>
              <w:bottom w:w="40" w:type="dxa"/>
              <w:right w:w="20" w:type="dxa"/>
            </w:tcMar>
            <w:vAlign w:val="bottom"/>
          </w:tcPr>
          <w:p w14:paraId="540669F0"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9F1"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9F2"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9F3" w14:textId="77777777" w:rsidR="00611BDD" w:rsidRDefault="002E18C7">
            <w:pPr>
              <w:jc w:val="right"/>
              <w:textAlignment w:val="bottom"/>
            </w:pPr>
            <w:r>
              <w:rPr>
                <w:rFonts w:ascii="sans-serif" w:eastAsia="sans-serif" w:hAnsi="sans-serif" w:cs="sans-serif"/>
                <w:color w:val="000000"/>
                <w:sz w:val="20"/>
                <w:szCs w:val="20"/>
              </w:rPr>
              <w:t>66.17 </w:t>
            </w:r>
          </w:p>
        </w:tc>
        <w:tc>
          <w:tcPr>
            <w:tcW w:w="0" w:type="auto"/>
            <w:shd w:val="clear" w:color="auto" w:fill="E2EFD9"/>
            <w:tcMar>
              <w:top w:w="40" w:type="dxa"/>
              <w:left w:w="0" w:type="dxa"/>
              <w:bottom w:w="40" w:type="dxa"/>
              <w:right w:w="20" w:type="dxa"/>
            </w:tcMar>
            <w:vAlign w:val="bottom"/>
          </w:tcPr>
          <w:p w14:paraId="540669F4" w14:textId="77777777" w:rsidR="00611BDD" w:rsidRDefault="00611BDD">
            <w:pPr>
              <w:jc w:val="right"/>
              <w:rPr>
                <w:rFonts w:ascii="宋体"/>
              </w:rPr>
            </w:pPr>
          </w:p>
        </w:tc>
        <w:tc>
          <w:tcPr>
            <w:tcW w:w="0" w:type="auto"/>
            <w:gridSpan w:val="3"/>
            <w:shd w:val="clear" w:color="auto" w:fill="auto"/>
            <w:vAlign w:val="bottom"/>
          </w:tcPr>
          <w:p w14:paraId="540669F5" w14:textId="77777777" w:rsidR="00611BDD" w:rsidRDefault="00611BDD">
            <w:pPr>
              <w:rPr>
                <w:rFonts w:ascii="宋体"/>
                <w:vanish/>
              </w:rPr>
            </w:pPr>
          </w:p>
        </w:tc>
        <w:tc>
          <w:tcPr>
            <w:tcW w:w="0" w:type="auto"/>
            <w:gridSpan w:val="3"/>
            <w:shd w:val="clear" w:color="auto" w:fill="auto"/>
            <w:vAlign w:val="bottom"/>
          </w:tcPr>
          <w:p w14:paraId="540669F6" w14:textId="77777777" w:rsidR="00611BDD" w:rsidRDefault="00611BDD">
            <w:pPr>
              <w:rPr>
                <w:rFonts w:ascii="宋体"/>
                <w:vanish/>
              </w:rPr>
            </w:pPr>
          </w:p>
        </w:tc>
        <w:tc>
          <w:tcPr>
            <w:tcW w:w="0" w:type="auto"/>
            <w:gridSpan w:val="3"/>
            <w:shd w:val="clear" w:color="auto" w:fill="auto"/>
            <w:vAlign w:val="bottom"/>
          </w:tcPr>
          <w:p w14:paraId="540669F7" w14:textId="77777777" w:rsidR="00611BDD" w:rsidRDefault="00611BDD">
            <w:pPr>
              <w:rPr>
                <w:rFonts w:ascii="宋体"/>
                <w:vanish/>
              </w:rPr>
            </w:pPr>
          </w:p>
        </w:tc>
        <w:tc>
          <w:tcPr>
            <w:tcW w:w="0" w:type="auto"/>
            <w:gridSpan w:val="3"/>
            <w:shd w:val="clear" w:color="auto" w:fill="auto"/>
            <w:vAlign w:val="bottom"/>
          </w:tcPr>
          <w:p w14:paraId="540669F8" w14:textId="77777777" w:rsidR="00611BDD" w:rsidRDefault="00611BDD">
            <w:pPr>
              <w:rPr>
                <w:rFonts w:ascii="宋体"/>
                <w:vanish/>
              </w:rPr>
            </w:pPr>
          </w:p>
        </w:tc>
      </w:tr>
      <w:tr w:rsidR="00611BDD" w14:paraId="54066A05" w14:textId="77777777">
        <w:tc>
          <w:tcPr>
            <w:tcW w:w="0" w:type="auto"/>
            <w:gridSpan w:val="3"/>
            <w:shd w:val="clear" w:color="auto" w:fill="FFFFFF"/>
            <w:tcMar>
              <w:top w:w="40" w:type="dxa"/>
              <w:left w:w="380" w:type="dxa"/>
              <w:bottom w:w="40" w:type="dxa"/>
              <w:right w:w="20" w:type="dxa"/>
            </w:tcMar>
            <w:vAlign w:val="bottom"/>
          </w:tcPr>
          <w:p w14:paraId="540669FA" w14:textId="77777777" w:rsidR="00611BDD" w:rsidRDefault="002E18C7">
            <w:pPr>
              <w:textAlignment w:val="bottom"/>
            </w:pPr>
            <w:r>
              <w:rPr>
                <w:rFonts w:ascii="sans-serif" w:eastAsia="sans-serif" w:hAnsi="sans-serif" w:cs="sans-serif"/>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540669FB" w14:textId="77777777" w:rsidR="00611BDD" w:rsidRDefault="002E18C7">
            <w:pPr>
              <w:jc w:val="right"/>
              <w:textAlignment w:val="bottom"/>
            </w:pPr>
            <w:r>
              <w:rPr>
                <w:rFonts w:ascii="sans-serif" w:eastAsia="sans-serif" w:hAnsi="sans-serif" w:cs="sans-serif"/>
                <w:color w:val="000000"/>
                <w:sz w:val="20"/>
                <w:szCs w:val="20"/>
              </w:rPr>
              <w:t>15 </w:t>
            </w:r>
          </w:p>
        </w:tc>
        <w:tc>
          <w:tcPr>
            <w:tcW w:w="0" w:type="auto"/>
            <w:shd w:val="clear" w:color="auto" w:fill="FFFFFF"/>
            <w:tcMar>
              <w:top w:w="40" w:type="dxa"/>
              <w:left w:w="0" w:type="dxa"/>
              <w:bottom w:w="40" w:type="dxa"/>
              <w:right w:w="20" w:type="dxa"/>
            </w:tcMar>
            <w:vAlign w:val="bottom"/>
          </w:tcPr>
          <w:p w14:paraId="540669FC"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9FD"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9FE"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9FF" w14:textId="77777777" w:rsidR="00611BDD" w:rsidRDefault="002E18C7">
            <w:pPr>
              <w:jc w:val="right"/>
              <w:textAlignment w:val="bottom"/>
            </w:pPr>
            <w:r>
              <w:rPr>
                <w:rFonts w:ascii="sans-serif" w:eastAsia="sans-serif" w:hAnsi="sans-serif" w:cs="sans-serif"/>
                <w:color w:val="000000"/>
                <w:sz w:val="20"/>
                <w:szCs w:val="20"/>
              </w:rPr>
              <w:t>181.65 </w:t>
            </w:r>
          </w:p>
        </w:tc>
        <w:tc>
          <w:tcPr>
            <w:tcW w:w="0" w:type="auto"/>
            <w:shd w:val="clear" w:color="auto" w:fill="FFFFFF"/>
            <w:tcMar>
              <w:top w:w="40" w:type="dxa"/>
              <w:left w:w="0" w:type="dxa"/>
              <w:bottom w:w="40" w:type="dxa"/>
              <w:right w:w="20" w:type="dxa"/>
            </w:tcMar>
            <w:vAlign w:val="bottom"/>
          </w:tcPr>
          <w:p w14:paraId="54066A00" w14:textId="77777777" w:rsidR="00611BDD" w:rsidRDefault="00611BDD">
            <w:pPr>
              <w:jc w:val="right"/>
              <w:rPr>
                <w:rFonts w:ascii="宋体"/>
              </w:rPr>
            </w:pPr>
          </w:p>
        </w:tc>
        <w:tc>
          <w:tcPr>
            <w:tcW w:w="0" w:type="auto"/>
            <w:gridSpan w:val="3"/>
            <w:shd w:val="clear" w:color="auto" w:fill="auto"/>
            <w:vAlign w:val="bottom"/>
          </w:tcPr>
          <w:p w14:paraId="54066A01" w14:textId="77777777" w:rsidR="00611BDD" w:rsidRDefault="00611BDD">
            <w:pPr>
              <w:rPr>
                <w:rFonts w:ascii="宋体"/>
                <w:vanish/>
              </w:rPr>
            </w:pPr>
          </w:p>
        </w:tc>
        <w:tc>
          <w:tcPr>
            <w:tcW w:w="0" w:type="auto"/>
            <w:gridSpan w:val="3"/>
            <w:shd w:val="clear" w:color="auto" w:fill="auto"/>
            <w:vAlign w:val="bottom"/>
          </w:tcPr>
          <w:p w14:paraId="54066A02" w14:textId="77777777" w:rsidR="00611BDD" w:rsidRDefault="00611BDD">
            <w:pPr>
              <w:rPr>
                <w:rFonts w:ascii="宋体"/>
                <w:vanish/>
              </w:rPr>
            </w:pPr>
          </w:p>
        </w:tc>
        <w:tc>
          <w:tcPr>
            <w:tcW w:w="0" w:type="auto"/>
            <w:gridSpan w:val="3"/>
            <w:shd w:val="clear" w:color="auto" w:fill="auto"/>
            <w:vAlign w:val="bottom"/>
          </w:tcPr>
          <w:p w14:paraId="54066A03" w14:textId="77777777" w:rsidR="00611BDD" w:rsidRDefault="00611BDD">
            <w:pPr>
              <w:rPr>
                <w:rFonts w:ascii="宋体"/>
                <w:vanish/>
              </w:rPr>
            </w:pPr>
          </w:p>
        </w:tc>
        <w:tc>
          <w:tcPr>
            <w:tcW w:w="0" w:type="auto"/>
            <w:gridSpan w:val="3"/>
            <w:shd w:val="clear" w:color="auto" w:fill="auto"/>
            <w:vAlign w:val="bottom"/>
          </w:tcPr>
          <w:p w14:paraId="54066A04" w14:textId="77777777" w:rsidR="00611BDD" w:rsidRDefault="00611BDD">
            <w:pPr>
              <w:rPr>
                <w:rFonts w:ascii="宋体"/>
                <w:vanish/>
              </w:rPr>
            </w:pPr>
          </w:p>
        </w:tc>
      </w:tr>
      <w:tr w:rsidR="00611BDD" w14:paraId="54066A0E" w14:textId="77777777">
        <w:trPr>
          <w:hidden/>
        </w:trPr>
        <w:tc>
          <w:tcPr>
            <w:tcW w:w="0" w:type="auto"/>
            <w:gridSpan w:val="3"/>
            <w:shd w:val="clear" w:color="auto" w:fill="auto"/>
            <w:vAlign w:val="bottom"/>
          </w:tcPr>
          <w:p w14:paraId="54066A06" w14:textId="77777777" w:rsidR="00611BDD" w:rsidRDefault="00611BDD">
            <w:pPr>
              <w:rPr>
                <w:rFonts w:ascii="宋体"/>
                <w:vanish/>
              </w:rPr>
            </w:pPr>
          </w:p>
        </w:tc>
        <w:tc>
          <w:tcPr>
            <w:tcW w:w="0" w:type="auto"/>
            <w:gridSpan w:val="3"/>
            <w:shd w:val="clear" w:color="auto" w:fill="auto"/>
            <w:vAlign w:val="bottom"/>
          </w:tcPr>
          <w:p w14:paraId="54066A07" w14:textId="77777777" w:rsidR="00611BDD" w:rsidRDefault="00611BDD">
            <w:pPr>
              <w:rPr>
                <w:rFonts w:ascii="宋体"/>
                <w:vanish/>
              </w:rPr>
            </w:pPr>
          </w:p>
        </w:tc>
        <w:tc>
          <w:tcPr>
            <w:tcW w:w="0" w:type="auto"/>
            <w:gridSpan w:val="3"/>
            <w:shd w:val="clear" w:color="auto" w:fill="auto"/>
            <w:vAlign w:val="bottom"/>
          </w:tcPr>
          <w:p w14:paraId="54066A08" w14:textId="77777777" w:rsidR="00611BDD" w:rsidRDefault="00611BDD">
            <w:pPr>
              <w:rPr>
                <w:rFonts w:ascii="宋体"/>
                <w:vanish/>
              </w:rPr>
            </w:pPr>
          </w:p>
        </w:tc>
        <w:tc>
          <w:tcPr>
            <w:tcW w:w="0" w:type="auto"/>
            <w:gridSpan w:val="3"/>
            <w:shd w:val="clear" w:color="auto" w:fill="auto"/>
            <w:vAlign w:val="bottom"/>
          </w:tcPr>
          <w:p w14:paraId="54066A09" w14:textId="77777777" w:rsidR="00611BDD" w:rsidRDefault="00611BDD">
            <w:pPr>
              <w:rPr>
                <w:rFonts w:ascii="宋体"/>
                <w:vanish/>
              </w:rPr>
            </w:pPr>
          </w:p>
        </w:tc>
        <w:tc>
          <w:tcPr>
            <w:tcW w:w="0" w:type="auto"/>
            <w:gridSpan w:val="3"/>
            <w:shd w:val="clear" w:color="auto" w:fill="auto"/>
            <w:vAlign w:val="bottom"/>
          </w:tcPr>
          <w:p w14:paraId="54066A0A" w14:textId="77777777" w:rsidR="00611BDD" w:rsidRDefault="00611BDD">
            <w:pPr>
              <w:rPr>
                <w:rFonts w:ascii="宋体"/>
                <w:vanish/>
              </w:rPr>
            </w:pPr>
          </w:p>
        </w:tc>
        <w:tc>
          <w:tcPr>
            <w:tcW w:w="0" w:type="auto"/>
            <w:gridSpan w:val="3"/>
            <w:shd w:val="clear" w:color="auto" w:fill="auto"/>
            <w:vAlign w:val="bottom"/>
          </w:tcPr>
          <w:p w14:paraId="54066A0B" w14:textId="77777777" w:rsidR="00611BDD" w:rsidRDefault="00611BDD">
            <w:pPr>
              <w:rPr>
                <w:rFonts w:ascii="宋体"/>
                <w:vanish/>
              </w:rPr>
            </w:pPr>
          </w:p>
        </w:tc>
        <w:tc>
          <w:tcPr>
            <w:tcW w:w="0" w:type="auto"/>
            <w:gridSpan w:val="3"/>
            <w:shd w:val="clear" w:color="auto" w:fill="auto"/>
            <w:vAlign w:val="bottom"/>
          </w:tcPr>
          <w:p w14:paraId="54066A0C" w14:textId="77777777" w:rsidR="00611BDD" w:rsidRDefault="00611BDD">
            <w:pPr>
              <w:rPr>
                <w:rFonts w:ascii="宋体"/>
                <w:vanish/>
              </w:rPr>
            </w:pPr>
          </w:p>
        </w:tc>
        <w:tc>
          <w:tcPr>
            <w:tcW w:w="0" w:type="auto"/>
            <w:gridSpan w:val="3"/>
            <w:shd w:val="clear" w:color="auto" w:fill="auto"/>
            <w:vAlign w:val="bottom"/>
          </w:tcPr>
          <w:p w14:paraId="54066A0D" w14:textId="77777777" w:rsidR="00611BDD" w:rsidRDefault="00611BDD">
            <w:pPr>
              <w:rPr>
                <w:rFonts w:ascii="宋体"/>
                <w:vanish/>
              </w:rPr>
            </w:pPr>
          </w:p>
        </w:tc>
      </w:tr>
      <w:tr w:rsidR="00611BDD" w14:paraId="54066A1A" w14:textId="77777777">
        <w:tc>
          <w:tcPr>
            <w:tcW w:w="0" w:type="auto"/>
            <w:gridSpan w:val="3"/>
            <w:shd w:val="clear" w:color="auto" w:fill="E2EFD9"/>
            <w:tcMar>
              <w:top w:w="40" w:type="dxa"/>
              <w:left w:w="380" w:type="dxa"/>
              <w:bottom w:w="40" w:type="dxa"/>
              <w:right w:w="20" w:type="dxa"/>
            </w:tcMar>
            <w:vAlign w:val="bottom"/>
          </w:tcPr>
          <w:p w14:paraId="54066A0F" w14:textId="77777777" w:rsidR="00611BDD" w:rsidRDefault="002E18C7">
            <w:pPr>
              <w:textAlignment w:val="bottom"/>
            </w:pPr>
            <w:r>
              <w:rPr>
                <w:rFonts w:ascii="sans-serif" w:eastAsia="sans-serif" w:hAnsi="sans-serif" w:cs="sans-serif"/>
                <w:color w:val="000000"/>
                <w:sz w:val="20"/>
                <w:szCs w:val="20"/>
              </w:rPr>
              <w:t>Vested restricted stock</w:t>
            </w:r>
          </w:p>
        </w:tc>
        <w:tc>
          <w:tcPr>
            <w:tcW w:w="0" w:type="auto"/>
            <w:gridSpan w:val="2"/>
            <w:shd w:val="clear" w:color="auto" w:fill="E2EFD9"/>
            <w:tcMar>
              <w:top w:w="40" w:type="dxa"/>
              <w:left w:w="20" w:type="dxa"/>
              <w:bottom w:w="40" w:type="dxa"/>
              <w:right w:w="0" w:type="dxa"/>
            </w:tcMar>
            <w:vAlign w:val="bottom"/>
          </w:tcPr>
          <w:p w14:paraId="54066A10" w14:textId="77777777" w:rsidR="00611BDD" w:rsidRDefault="002E18C7">
            <w:pPr>
              <w:jc w:val="right"/>
              <w:textAlignment w:val="bottom"/>
            </w:pPr>
            <w:r>
              <w:rPr>
                <w:rFonts w:ascii="sans-serif" w:eastAsia="sans-serif" w:hAnsi="sans-serif" w:cs="sans-serif"/>
                <w:color w:val="000000"/>
                <w:sz w:val="20"/>
                <w:szCs w:val="20"/>
              </w:rPr>
              <w:t>(17)</w:t>
            </w:r>
          </w:p>
        </w:tc>
        <w:tc>
          <w:tcPr>
            <w:tcW w:w="0" w:type="auto"/>
            <w:shd w:val="clear" w:color="auto" w:fill="E2EFD9"/>
            <w:tcMar>
              <w:top w:w="40" w:type="dxa"/>
              <w:left w:w="0" w:type="dxa"/>
              <w:bottom w:w="40" w:type="dxa"/>
              <w:right w:w="20" w:type="dxa"/>
            </w:tcMar>
            <w:vAlign w:val="bottom"/>
          </w:tcPr>
          <w:p w14:paraId="54066A11"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A12"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A13"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A14" w14:textId="77777777" w:rsidR="00611BDD" w:rsidRDefault="002E18C7">
            <w:pPr>
              <w:jc w:val="right"/>
              <w:textAlignment w:val="bottom"/>
            </w:pPr>
            <w:r>
              <w:rPr>
                <w:rFonts w:ascii="sans-serif" w:eastAsia="sans-serif" w:hAnsi="sans-serif" w:cs="sans-serif"/>
                <w:color w:val="000000"/>
                <w:sz w:val="20"/>
                <w:szCs w:val="20"/>
              </w:rPr>
              <w:t>62.20 </w:t>
            </w:r>
          </w:p>
        </w:tc>
        <w:tc>
          <w:tcPr>
            <w:tcW w:w="0" w:type="auto"/>
            <w:shd w:val="clear" w:color="auto" w:fill="E2EFD9"/>
            <w:tcMar>
              <w:top w:w="40" w:type="dxa"/>
              <w:left w:w="0" w:type="dxa"/>
              <w:bottom w:w="40" w:type="dxa"/>
              <w:right w:w="20" w:type="dxa"/>
            </w:tcMar>
            <w:vAlign w:val="bottom"/>
          </w:tcPr>
          <w:p w14:paraId="54066A15" w14:textId="77777777" w:rsidR="00611BDD" w:rsidRDefault="00611BDD">
            <w:pPr>
              <w:jc w:val="right"/>
              <w:rPr>
                <w:rFonts w:ascii="宋体"/>
              </w:rPr>
            </w:pPr>
          </w:p>
        </w:tc>
        <w:tc>
          <w:tcPr>
            <w:tcW w:w="0" w:type="auto"/>
            <w:gridSpan w:val="3"/>
            <w:shd w:val="clear" w:color="auto" w:fill="auto"/>
            <w:vAlign w:val="bottom"/>
          </w:tcPr>
          <w:p w14:paraId="54066A16" w14:textId="77777777" w:rsidR="00611BDD" w:rsidRDefault="00611BDD">
            <w:pPr>
              <w:rPr>
                <w:rFonts w:ascii="宋体"/>
                <w:vanish/>
              </w:rPr>
            </w:pPr>
          </w:p>
        </w:tc>
        <w:tc>
          <w:tcPr>
            <w:tcW w:w="0" w:type="auto"/>
            <w:gridSpan w:val="3"/>
            <w:shd w:val="clear" w:color="auto" w:fill="auto"/>
            <w:vAlign w:val="bottom"/>
          </w:tcPr>
          <w:p w14:paraId="54066A17" w14:textId="77777777" w:rsidR="00611BDD" w:rsidRDefault="00611BDD">
            <w:pPr>
              <w:rPr>
                <w:rFonts w:ascii="宋体"/>
                <w:vanish/>
              </w:rPr>
            </w:pPr>
          </w:p>
        </w:tc>
        <w:tc>
          <w:tcPr>
            <w:tcW w:w="0" w:type="auto"/>
            <w:gridSpan w:val="3"/>
            <w:shd w:val="clear" w:color="auto" w:fill="auto"/>
            <w:vAlign w:val="bottom"/>
          </w:tcPr>
          <w:p w14:paraId="54066A18" w14:textId="77777777" w:rsidR="00611BDD" w:rsidRDefault="00611BDD">
            <w:pPr>
              <w:rPr>
                <w:rFonts w:ascii="宋体"/>
                <w:vanish/>
              </w:rPr>
            </w:pPr>
          </w:p>
        </w:tc>
        <w:tc>
          <w:tcPr>
            <w:tcW w:w="0" w:type="auto"/>
            <w:gridSpan w:val="3"/>
            <w:shd w:val="clear" w:color="auto" w:fill="auto"/>
            <w:vAlign w:val="bottom"/>
          </w:tcPr>
          <w:p w14:paraId="54066A19" w14:textId="77777777" w:rsidR="00611BDD" w:rsidRDefault="00611BDD">
            <w:pPr>
              <w:rPr>
                <w:rFonts w:ascii="宋体"/>
                <w:vanish/>
              </w:rPr>
            </w:pPr>
          </w:p>
        </w:tc>
      </w:tr>
      <w:tr w:rsidR="00611BDD" w14:paraId="54066A26" w14:textId="77777777">
        <w:tc>
          <w:tcPr>
            <w:tcW w:w="0" w:type="auto"/>
            <w:gridSpan w:val="3"/>
            <w:shd w:val="clear" w:color="auto" w:fill="FFFFFF"/>
            <w:tcMar>
              <w:top w:w="40" w:type="dxa"/>
              <w:left w:w="380" w:type="dxa"/>
              <w:bottom w:w="40" w:type="dxa"/>
              <w:right w:w="20" w:type="dxa"/>
            </w:tcMar>
            <w:vAlign w:val="bottom"/>
          </w:tcPr>
          <w:p w14:paraId="54066A1B" w14:textId="77777777" w:rsidR="00611BDD" w:rsidRDefault="002E18C7">
            <w:pPr>
              <w:textAlignment w:val="bottom"/>
            </w:pPr>
            <w:r>
              <w:rPr>
                <w:rFonts w:ascii="sans-serif" w:eastAsia="sans-serif" w:hAnsi="sans-serif" w:cs="sans-serif"/>
                <w:color w:val="000000"/>
                <w:sz w:val="20"/>
                <w:szCs w:val="20"/>
              </w:rPr>
              <w:t>Canceled and forfeited</w:t>
            </w:r>
          </w:p>
        </w:tc>
        <w:tc>
          <w:tcPr>
            <w:tcW w:w="0" w:type="auto"/>
            <w:gridSpan w:val="2"/>
            <w:shd w:val="clear" w:color="auto" w:fill="FFFFFF"/>
            <w:tcMar>
              <w:top w:w="40" w:type="dxa"/>
              <w:left w:w="20" w:type="dxa"/>
              <w:bottom w:w="40" w:type="dxa"/>
              <w:right w:w="0" w:type="dxa"/>
            </w:tcMar>
            <w:vAlign w:val="bottom"/>
          </w:tcPr>
          <w:p w14:paraId="54066A1C" w14:textId="77777777" w:rsidR="00611BDD" w:rsidRDefault="002E18C7">
            <w:pPr>
              <w:jc w:val="right"/>
              <w:textAlignment w:val="bottom"/>
            </w:pPr>
            <w:r>
              <w:rPr>
                <w:rFonts w:ascii="sans-serif" w:eastAsia="sans-serif" w:hAnsi="sans-serif" w:cs="sans-serif"/>
                <w:color w:val="000000"/>
                <w:sz w:val="20"/>
                <w:szCs w:val="20"/>
              </w:rPr>
              <w:t>(1)</w:t>
            </w:r>
          </w:p>
        </w:tc>
        <w:tc>
          <w:tcPr>
            <w:tcW w:w="0" w:type="auto"/>
            <w:shd w:val="clear" w:color="auto" w:fill="FFFFFF"/>
            <w:tcMar>
              <w:top w:w="40" w:type="dxa"/>
              <w:left w:w="0" w:type="dxa"/>
              <w:bottom w:w="40" w:type="dxa"/>
              <w:right w:w="20" w:type="dxa"/>
            </w:tcMar>
            <w:vAlign w:val="bottom"/>
          </w:tcPr>
          <w:p w14:paraId="54066A1D"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A1E"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A1F"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A20" w14:textId="77777777" w:rsidR="00611BDD" w:rsidRDefault="002E18C7">
            <w:pPr>
              <w:jc w:val="right"/>
              <w:textAlignment w:val="bottom"/>
            </w:pPr>
            <w:r>
              <w:rPr>
                <w:rFonts w:ascii="sans-serif" w:eastAsia="sans-serif" w:hAnsi="sans-serif" w:cs="sans-serif"/>
                <w:color w:val="000000"/>
                <w:sz w:val="20"/>
                <w:szCs w:val="20"/>
              </w:rPr>
              <w:t>70.78 </w:t>
            </w:r>
          </w:p>
        </w:tc>
        <w:tc>
          <w:tcPr>
            <w:tcW w:w="0" w:type="auto"/>
            <w:shd w:val="clear" w:color="auto" w:fill="FFFFFF"/>
            <w:tcMar>
              <w:top w:w="40" w:type="dxa"/>
              <w:left w:w="0" w:type="dxa"/>
              <w:bottom w:w="40" w:type="dxa"/>
              <w:right w:w="20" w:type="dxa"/>
            </w:tcMar>
            <w:vAlign w:val="bottom"/>
          </w:tcPr>
          <w:p w14:paraId="54066A21" w14:textId="77777777" w:rsidR="00611BDD" w:rsidRDefault="00611BDD">
            <w:pPr>
              <w:jc w:val="right"/>
              <w:rPr>
                <w:rFonts w:ascii="宋体"/>
              </w:rPr>
            </w:pPr>
          </w:p>
        </w:tc>
        <w:tc>
          <w:tcPr>
            <w:tcW w:w="0" w:type="auto"/>
            <w:gridSpan w:val="3"/>
            <w:shd w:val="clear" w:color="auto" w:fill="auto"/>
            <w:vAlign w:val="bottom"/>
          </w:tcPr>
          <w:p w14:paraId="54066A22" w14:textId="77777777" w:rsidR="00611BDD" w:rsidRDefault="00611BDD">
            <w:pPr>
              <w:rPr>
                <w:rFonts w:ascii="宋体"/>
                <w:vanish/>
              </w:rPr>
            </w:pPr>
          </w:p>
        </w:tc>
        <w:tc>
          <w:tcPr>
            <w:tcW w:w="0" w:type="auto"/>
            <w:gridSpan w:val="3"/>
            <w:shd w:val="clear" w:color="auto" w:fill="auto"/>
            <w:vAlign w:val="bottom"/>
          </w:tcPr>
          <w:p w14:paraId="54066A23" w14:textId="77777777" w:rsidR="00611BDD" w:rsidRDefault="00611BDD">
            <w:pPr>
              <w:rPr>
                <w:rFonts w:ascii="宋体"/>
                <w:vanish/>
              </w:rPr>
            </w:pPr>
          </w:p>
        </w:tc>
        <w:tc>
          <w:tcPr>
            <w:tcW w:w="0" w:type="auto"/>
            <w:gridSpan w:val="3"/>
            <w:shd w:val="clear" w:color="auto" w:fill="auto"/>
            <w:vAlign w:val="bottom"/>
          </w:tcPr>
          <w:p w14:paraId="54066A24" w14:textId="77777777" w:rsidR="00611BDD" w:rsidRDefault="00611BDD">
            <w:pPr>
              <w:rPr>
                <w:rFonts w:ascii="宋体"/>
                <w:vanish/>
              </w:rPr>
            </w:pPr>
          </w:p>
        </w:tc>
        <w:tc>
          <w:tcPr>
            <w:tcW w:w="0" w:type="auto"/>
            <w:gridSpan w:val="3"/>
            <w:shd w:val="clear" w:color="auto" w:fill="auto"/>
            <w:vAlign w:val="bottom"/>
          </w:tcPr>
          <w:p w14:paraId="54066A25" w14:textId="77777777" w:rsidR="00611BDD" w:rsidRDefault="00611BDD">
            <w:pPr>
              <w:rPr>
                <w:rFonts w:ascii="宋体"/>
                <w:vanish/>
              </w:rPr>
            </w:pPr>
          </w:p>
        </w:tc>
      </w:tr>
      <w:tr w:rsidR="00611BDD" w14:paraId="54066A32" w14:textId="77777777">
        <w:tc>
          <w:tcPr>
            <w:tcW w:w="0" w:type="auto"/>
            <w:gridSpan w:val="3"/>
            <w:shd w:val="clear" w:color="auto" w:fill="E2EFD9"/>
            <w:tcMar>
              <w:top w:w="40" w:type="dxa"/>
              <w:left w:w="20" w:type="dxa"/>
              <w:bottom w:w="40" w:type="dxa"/>
              <w:right w:w="20" w:type="dxa"/>
            </w:tcMar>
            <w:vAlign w:val="bottom"/>
          </w:tcPr>
          <w:p w14:paraId="54066A27" w14:textId="77777777" w:rsidR="00611BDD" w:rsidRDefault="002E18C7">
            <w:pPr>
              <w:textAlignment w:val="bottom"/>
            </w:pPr>
            <w:r>
              <w:rPr>
                <w:rFonts w:ascii="sans-serif" w:eastAsia="sans-serif" w:hAnsi="sans-serif" w:cs="sans-serif"/>
                <w:color w:val="000000"/>
                <w:sz w:val="20"/>
                <w:szCs w:val="20"/>
              </w:rPr>
              <w:t>Balances, August 1, 2021</w:t>
            </w: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A28" w14:textId="77777777" w:rsidR="00611BDD" w:rsidRDefault="002E18C7">
            <w:pPr>
              <w:jc w:val="right"/>
              <w:textAlignment w:val="bottom"/>
            </w:pPr>
            <w:r>
              <w:rPr>
                <w:rFonts w:ascii="sans-serif" w:eastAsia="sans-serif" w:hAnsi="sans-serif" w:cs="sans-serif"/>
                <w:color w:val="000000"/>
                <w:sz w:val="20"/>
                <w:szCs w:val="20"/>
              </w:rPr>
              <w:t>56 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A2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A2A"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A2B"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A2C" w14:textId="77777777" w:rsidR="00611BDD" w:rsidRDefault="002E18C7">
            <w:pPr>
              <w:jc w:val="right"/>
              <w:textAlignment w:val="bottom"/>
            </w:pPr>
            <w:r>
              <w:rPr>
                <w:rFonts w:ascii="sans-serif" w:eastAsia="sans-serif" w:hAnsi="sans-serif" w:cs="sans-serif"/>
                <w:color w:val="000000"/>
                <w:sz w:val="20"/>
                <w:szCs w:val="20"/>
              </w:rPr>
              <w:t>100.01 </w:t>
            </w:r>
          </w:p>
        </w:tc>
        <w:tc>
          <w:tcPr>
            <w:tcW w:w="0" w:type="auto"/>
            <w:shd w:val="clear" w:color="auto" w:fill="E2EFD9"/>
            <w:tcMar>
              <w:top w:w="40" w:type="dxa"/>
              <w:left w:w="0" w:type="dxa"/>
              <w:bottom w:w="40" w:type="dxa"/>
              <w:right w:w="20" w:type="dxa"/>
            </w:tcMar>
            <w:vAlign w:val="bottom"/>
          </w:tcPr>
          <w:p w14:paraId="54066A2D" w14:textId="77777777" w:rsidR="00611BDD" w:rsidRDefault="00611BDD">
            <w:pPr>
              <w:jc w:val="right"/>
              <w:rPr>
                <w:rFonts w:ascii="宋体"/>
              </w:rPr>
            </w:pPr>
          </w:p>
        </w:tc>
        <w:tc>
          <w:tcPr>
            <w:tcW w:w="0" w:type="auto"/>
            <w:gridSpan w:val="3"/>
            <w:shd w:val="clear" w:color="auto" w:fill="auto"/>
            <w:vAlign w:val="bottom"/>
          </w:tcPr>
          <w:p w14:paraId="54066A2E" w14:textId="77777777" w:rsidR="00611BDD" w:rsidRDefault="00611BDD">
            <w:pPr>
              <w:rPr>
                <w:rFonts w:ascii="宋体"/>
                <w:vanish/>
              </w:rPr>
            </w:pPr>
          </w:p>
        </w:tc>
        <w:tc>
          <w:tcPr>
            <w:tcW w:w="0" w:type="auto"/>
            <w:gridSpan w:val="3"/>
            <w:shd w:val="clear" w:color="auto" w:fill="auto"/>
            <w:vAlign w:val="bottom"/>
          </w:tcPr>
          <w:p w14:paraId="54066A2F" w14:textId="77777777" w:rsidR="00611BDD" w:rsidRDefault="00611BDD">
            <w:pPr>
              <w:rPr>
                <w:rFonts w:ascii="宋体"/>
                <w:vanish/>
              </w:rPr>
            </w:pPr>
          </w:p>
        </w:tc>
        <w:tc>
          <w:tcPr>
            <w:tcW w:w="0" w:type="auto"/>
            <w:gridSpan w:val="3"/>
            <w:shd w:val="clear" w:color="auto" w:fill="auto"/>
            <w:vAlign w:val="bottom"/>
          </w:tcPr>
          <w:p w14:paraId="54066A30" w14:textId="77777777" w:rsidR="00611BDD" w:rsidRDefault="00611BDD">
            <w:pPr>
              <w:rPr>
                <w:rFonts w:ascii="宋体"/>
                <w:vanish/>
              </w:rPr>
            </w:pPr>
          </w:p>
        </w:tc>
        <w:tc>
          <w:tcPr>
            <w:tcW w:w="0" w:type="auto"/>
            <w:gridSpan w:val="3"/>
            <w:shd w:val="clear" w:color="auto" w:fill="auto"/>
            <w:vAlign w:val="bottom"/>
          </w:tcPr>
          <w:p w14:paraId="54066A31" w14:textId="77777777" w:rsidR="00611BDD" w:rsidRDefault="00611BDD">
            <w:pPr>
              <w:rPr>
                <w:rFonts w:ascii="宋体"/>
                <w:vanish/>
              </w:rPr>
            </w:pPr>
          </w:p>
        </w:tc>
      </w:tr>
    </w:tbl>
    <w:p w14:paraId="54066A33" w14:textId="77777777" w:rsidR="00611BDD" w:rsidRDefault="002E18C7">
      <w:pPr>
        <w:spacing w:after="180"/>
        <w:jc w:val="both"/>
      </w:pPr>
      <w:r>
        <w:rPr>
          <w:rFonts w:ascii="sans-serif" w:eastAsia="sans-serif" w:hAnsi="sans-serif" w:cs="sans-serif"/>
          <w:color w:val="000000"/>
          <w:sz w:val="20"/>
          <w:szCs w:val="20"/>
        </w:rPr>
        <w:t xml:space="preserve">As of August 1, 2021, there was $5.35 billion of aggregate unearned </w:t>
      </w:r>
      <w:r>
        <w:rPr>
          <w:rFonts w:ascii="sans-serif" w:eastAsia="sans-serif" w:hAnsi="sans-serif" w:cs="sans-serif"/>
          <w:color w:val="000000"/>
          <w:sz w:val="20"/>
          <w:szCs w:val="20"/>
        </w:rPr>
        <w:t>stock-based compensation expense, net of forfeitures. This amount is expected to be recognized over a weighted average period of 2.7 years for RSUs, PSUs, and market-based PSUs, and 1 year for ESPP.</w:t>
      </w:r>
    </w:p>
    <w:p w14:paraId="54066A34" w14:textId="77777777" w:rsidR="00611BDD" w:rsidRDefault="00611BDD">
      <w:pPr>
        <w:spacing w:before="240" w:after="120"/>
        <w:jc w:val="both"/>
      </w:pPr>
    </w:p>
    <w:p w14:paraId="54066A35" w14:textId="77777777" w:rsidR="00611BDD" w:rsidRDefault="002E18C7">
      <w:pPr>
        <w:spacing w:after="180"/>
        <w:jc w:val="center"/>
      </w:pPr>
      <w:r>
        <w:rPr>
          <w:rFonts w:ascii="sans-serif" w:eastAsia="sans-serif" w:hAnsi="sans-serif" w:cs="sans-serif"/>
          <w:color w:val="000000"/>
          <w:sz w:val="20"/>
          <w:szCs w:val="20"/>
        </w:rPr>
        <w:t>12</w:t>
      </w:r>
    </w:p>
    <w:p w14:paraId="54066A36" w14:textId="77777777" w:rsidR="00611BDD" w:rsidRDefault="002E18C7">
      <w:r>
        <w:pict w14:anchorId="54067C30">
          <v:rect id="_x0000_i1036" style="width:415.3pt;height:1.5pt" o:hralign="center" o:hrstd="t" o:hr="t" fillcolor="#a0a0a0" stroked="f"/>
        </w:pict>
      </w:r>
    </w:p>
    <w:p w14:paraId="54066A37" w14:textId="77777777" w:rsidR="00611BDD" w:rsidRDefault="002E18C7">
      <w:pPr>
        <w:jc w:val="center"/>
      </w:pPr>
      <w:r>
        <w:rPr>
          <w:rFonts w:ascii="sans-serif" w:eastAsia="sans-serif" w:hAnsi="sans-serif" w:cs="sans-serif"/>
          <w:b/>
          <w:bCs/>
          <w:color w:val="000000"/>
          <w:sz w:val="20"/>
          <w:szCs w:val="20"/>
        </w:rPr>
        <w:t>NVIDIA CORPORATION AND SUBSIDIARIES</w:t>
      </w:r>
    </w:p>
    <w:p w14:paraId="54066A38" w14:textId="77777777" w:rsidR="00611BDD" w:rsidRDefault="002E18C7">
      <w:pPr>
        <w:jc w:val="center"/>
      </w:pPr>
      <w:r>
        <w:rPr>
          <w:rFonts w:ascii="sans-serif" w:eastAsia="sans-serif" w:hAnsi="sans-serif" w:cs="sans-serif"/>
          <w:b/>
          <w:bCs/>
          <w:color w:val="000000"/>
          <w:sz w:val="20"/>
          <w:szCs w:val="20"/>
        </w:rPr>
        <w:t xml:space="preserve">NOTES TO </w:t>
      </w:r>
      <w:r>
        <w:rPr>
          <w:rFonts w:ascii="sans-serif" w:eastAsia="sans-serif" w:hAnsi="sans-serif" w:cs="sans-serif"/>
          <w:b/>
          <w:bCs/>
          <w:color w:val="000000"/>
          <w:sz w:val="20"/>
          <w:szCs w:val="20"/>
        </w:rPr>
        <w:t>CONDENSED CONSOLIDATED FINANCIAL STATEMENTS (Continued)</w:t>
      </w:r>
    </w:p>
    <w:p w14:paraId="54066A39" w14:textId="77777777" w:rsidR="00611BDD" w:rsidRDefault="002E18C7">
      <w:pPr>
        <w:jc w:val="center"/>
      </w:pPr>
      <w:r>
        <w:rPr>
          <w:rFonts w:ascii="sans-serif" w:eastAsia="sans-serif" w:hAnsi="sans-serif" w:cs="sans-serif"/>
          <w:b/>
          <w:bCs/>
          <w:color w:val="000000"/>
          <w:sz w:val="20"/>
          <w:szCs w:val="20"/>
        </w:rPr>
        <w:t>(Unaudited)</w:t>
      </w:r>
    </w:p>
    <w:p w14:paraId="54066A3A" w14:textId="77777777" w:rsidR="00611BDD" w:rsidRDefault="00611BDD">
      <w:pPr>
        <w:spacing w:after="180"/>
        <w:jc w:val="both"/>
      </w:pPr>
    </w:p>
    <w:p w14:paraId="54066A3B" w14:textId="77777777" w:rsidR="00611BDD" w:rsidRDefault="00611BDD">
      <w:pPr>
        <w:spacing w:after="180"/>
        <w:jc w:val="both"/>
      </w:pPr>
    </w:p>
    <w:p w14:paraId="54066A3C" w14:textId="77777777" w:rsidR="00611BDD" w:rsidRDefault="002E18C7">
      <w:pPr>
        <w:spacing w:before="240" w:after="120"/>
        <w:jc w:val="both"/>
      </w:pPr>
      <w:r>
        <w:rPr>
          <w:rFonts w:ascii="sans-serif" w:eastAsia="sans-serif" w:hAnsi="sans-serif" w:cs="sans-serif"/>
          <w:b/>
          <w:bCs/>
          <w:color w:val="76B900"/>
          <w:sz w:val="22"/>
          <w:szCs w:val="22"/>
        </w:rPr>
        <w:t>Note 5 – Net Income Per Share</w:t>
      </w:r>
    </w:p>
    <w:p w14:paraId="54066A3D" w14:textId="77777777" w:rsidR="00611BDD" w:rsidRDefault="002E18C7">
      <w:pPr>
        <w:spacing w:after="180"/>
        <w:jc w:val="both"/>
      </w:pPr>
      <w:r>
        <w:rPr>
          <w:rFonts w:ascii="sans-serif" w:eastAsia="sans-serif" w:hAnsi="sans-serif" w:cs="sans-serif"/>
          <w:color w:val="000000"/>
          <w:sz w:val="20"/>
          <w:szCs w:val="20"/>
        </w:rPr>
        <w:t>The following is a reconciliation of the denominator of the basic and diluted net income per share computations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569"/>
        <w:gridCol w:w="36"/>
        <w:gridCol w:w="122"/>
        <w:gridCol w:w="966"/>
        <w:gridCol w:w="36"/>
        <w:gridCol w:w="36"/>
        <w:gridCol w:w="36"/>
        <w:gridCol w:w="36"/>
        <w:gridCol w:w="122"/>
        <w:gridCol w:w="923"/>
        <w:gridCol w:w="36"/>
        <w:gridCol w:w="36"/>
        <w:gridCol w:w="36"/>
        <w:gridCol w:w="36"/>
        <w:gridCol w:w="122"/>
        <w:gridCol w:w="924"/>
        <w:gridCol w:w="36"/>
        <w:gridCol w:w="36"/>
        <w:gridCol w:w="36"/>
        <w:gridCol w:w="36"/>
        <w:gridCol w:w="122"/>
        <w:gridCol w:w="924"/>
        <w:gridCol w:w="36"/>
      </w:tblGrid>
      <w:tr w:rsidR="00611BDD" w14:paraId="54066A56" w14:textId="77777777">
        <w:tc>
          <w:tcPr>
            <w:tcW w:w="50" w:type="pct"/>
            <w:shd w:val="clear" w:color="auto" w:fill="auto"/>
            <w:vAlign w:val="bottom"/>
          </w:tcPr>
          <w:p w14:paraId="54066A3E" w14:textId="77777777" w:rsidR="00611BDD" w:rsidRDefault="00611BDD">
            <w:pPr>
              <w:rPr>
                <w:rFonts w:ascii="宋体"/>
              </w:rPr>
            </w:pPr>
          </w:p>
        </w:tc>
        <w:tc>
          <w:tcPr>
            <w:tcW w:w="2174" w:type="pct"/>
            <w:shd w:val="clear" w:color="auto" w:fill="auto"/>
            <w:vAlign w:val="bottom"/>
          </w:tcPr>
          <w:p w14:paraId="54066A3F" w14:textId="77777777" w:rsidR="00611BDD" w:rsidRDefault="00611BDD">
            <w:pPr>
              <w:rPr>
                <w:rFonts w:ascii="宋体"/>
              </w:rPr>
            </w:pPr>
          </w:p>
        </w:tc>
        <w:tc>
          <w:tcPr>
            <w:tcW w:w="5" w:type="pct"/>
            <w:shd w:val="clear" w:color="auto" w:fill="auto"/>
            <w:vAlign w:val="bottom"/>
          </w:tcPr>
          <w:p w14:paraId="54066A40" w14:textId="77777777" w:rsidR="00611BDD" w:rsidRDefault="00611BDD">
            <w:pPr>
              <w:rPr>
                <w:rFonts w:ascii="宋体"/>
              </w:rPr>
            </w:pPr>
          </w:p>
        </w:tc>
        <w:tc>
          <w:tcPr>
            <w:tcW w:w="50" w:type="pct"/>
            <w:shd w:val="clear" w:color="auto" w:fill="auto"/>
            <w:vAlign w:val="bottom"/>
          </w:tcPr>
          <w:p w14:paraId="54066A41" w14:textId="77777777" w:rsidR="00611BDD" w:rsidRDefault="00611BDD">
            <w:pPr>
              <w:rPr>
                <w:rFonts w:ascii="宋体"/>
              </w:rPr>
            </w:pPr>
          </w:p>
        </w:tc>
        <w:tc>
          <w:tcPr>
            <w:tcW w:w="610" w:type="pct"/>
            <w:shd w:val="clear" w:color="auto" w:fill="auto"/>
            <w:vAlign w:val="bottom"/>
          </w:tcPr>
          <w:p w14:paraId="54066A42" w14:textId="77777777" w:rsidR="00611BDD" w:rsidRDefault="00611BDD">
            <w:pPr>
              <w:rPr>
                <w:rFonts w:ascii="宋体"/>
              </w:rPr>
            </w:pPr>
          </w:p>
        </w:tc>
        <w:tc>
          <w:tcPr>
            <w:tcW w:w="5" w:type="pct"/>
            <w:shd w:val="clear" w:color="auto" w:fill="auto"/>
            <w:vAlign w:val="bottom"/>
          </w:tcPr>
          <w:p w14:paraId="54066A43" w14:textId="77777777" w:rsidR="00611BDD" w:rsidRDefault="00611BDD">
            <w:pPr>
              <w:rPr>
                <w:rFonts w:ascii="宋体"/>
              </w:rPr>
            </w:pPr>
          </w:p>
        </w:tc>
        <w:tc>
          <w:tcPr>
            <w:tcW w:w="5" w:type="pct"/>
            <w:shd w:val="clear" w:color="auto" w:fill="auto"/>
            <w:vAlign w:val="bottom"/>
          </w:tcPr>
          <w:p w14:paraId="54066A44" w14:textId="77777777" w:rsidR="00611BDD" w:rsidRDefault="00611BDD">
            <w:pPr>
              <w:rPr>
                <w:rFonts w:ascii="宋体"/>
              </w:rPr>
            </w:pPr>
          </w:p>
        </w:tc>
        <w:tc>
          <w:tcPr>
            <w:tcW w:w="26" w:type="pct"/>
            <w:shd w:val="clear" w:color="auto" w:fill="auto"/>
            <w:vAlign w:val="bottom"/>
          </w:tcPr>
          <w:p w14:paraId="54066A45" w14:textId="77777777" w:rsidR="00611BDD" w:rsidRDefault="00611BDD">
            <w:pPr>
              <w:rPr>
                <w:rFonts w:ascii="宋体"/>
              </w:rPr>
            </w:pPr>
          </w:p>
        </w:tc>
        <w:tc>
          <w:tcPr>
            <w:tcW w:w="5" w:type="pct"/>
            <w:shd w:val="clear" w:color="auto" w:fill="auto"/>
            <w:vAlign w:val="bottom"/>
          </w:tcPr>
          <w:p w14:paraId="54066A46" w14:textId="77777777" w:rsidR="00611BDD" w:rsidRDefault="00611BDD">
            <w:pPr>
              <w:rPr>
                <w:rFonts w:ascii="宋体"/>
              </w:rPr>
            </w:pPr>
          </w:p>
        </w:tc>
        <w:tc>
          <w:tcPr>
            <w:tcW w:w="50" w:type="pct"/>
            <w:shd w:val="clear" w:color="auto" w:fill="auto"/>
            <w:vAlign w:val="bottom"/>
          </w:tcPr>
          <w:p w14:paraId="54066A47" w14:textId="77777777" w:rsidR="00611BDD" w:rsidRDefault="00611BDD">
            <w:pPr>
              <w:rPr>
                <w:rFonts w:ascii="宋体"/>
              </w:rPr>
            </w:pPr>
          </w:p>
        </w:tc>
        <w:tc>
          <w:tcPr>
            <w:tcW w:w="610" w:type="pct"/>
            <w:shd w:val="clear" w:color="auto" w:fill="auto"/>
            <w:vAlign w:val="bottom"/>
          </w:tcPr>
          <w:p w14:paraId="54066A48" w14:textId="77777777" w:rsidR="00611BDD" w:rsidRDefault="00611BDD">
            <w:pPr>
              <w:rPr>
                <w:rFonts w:ascii="宋体"/>
              </w:rPr>
            </w:pPr>
          </w:p>
        </w:tc>
        <w:tc>
          <w:tcPr>
            <w:tcW w:w="5" w:type="pct"/>
            <w:shd w:val="clear" w:color="auto" w:fill="auto"/>
            <w:vAlign w:val="bottom"/>
          </w:tcPr>
          <w:p w14:paraId="54066A49" w14:textId="77777777" w:rsidR="00611BDD" w:rsidRDefault="00611BDD">
            <w:pPr>
              <w:rPr>
                <w:rFonts w:ascii="宋体"/>
              </w:rPr>
            </w:pPr>
          </w:p>
        </w:tc>
        <w:tc>
          <w:tcPr>
            <w:tcW w:w="5" w:type="pct"/>
            <w:shd w:val="clear" w:color="auto" w:fill="auto"/>
            <w:vAlign w:val="bottom"/>
          </w:tcPr>
          <w:p w14:paraId="54066A4A" w14:textId="77777777" w:rsidR="00611BDD" w:rsidRDefault="00611BDD">
            <w:pPr>
              <w:rPr>
                <w:rFonts w:ascii="宋体"/>
              </w:rPr>
            </w:pPr>
          </w:p>
        </w:tc>
        <w:tc>
          <w:tcPr>
            <w:tcW w:w="26" w:type="pct"/>
            <w:shd w:val="clear" w:color="auto" w:fill="auto"/>
            <w:vAlign w:val="bottom"/>
          </w:tcPr>
          <w:p w14:paraId="54066A4B" w14:textId="77777777" w:rsidR="00611BDD" w:rsidRDefault="00611BDD">
            <w:pPr>
              <w:rPr>
                <w:rFonts w:ascii="宋体"/>
              </w:rPr>
            </w:pPr>
          </w:p>
        </w:tc>
        <w:tc>
          <w:tcPr>
            <w:tcW w:w="5" w:type="pct"/>
            <w:shd w:val="clear" w:color="auto" w:fill="auto"/>
            <w:vAlign w:val="bottom"/>
          </w:tcPr>
          <w:p w14:paraId="54066A4C" w14:textId="77777777" w:rsidR="00611BDD" w:rsidRDefault="00611BDD">
            <w:pPr>
              <w:rPr>
                <w:rFonts w:ascii="宋体"/>
              </w:rPr>
            </w:pPr>
          </w:p>
        </w:tc>
        <w:tc>
          <w:tcPr>
            <w:tcW w:w="50" w:type="pct"/>
            <w:shd w:val="clear" w:color="auto" w:fill="auto"/>
            <w:vAlign w:val="bottom"/>
          </w:tcPr>
          <w:p w14:paraId="54066A4D" w14:textId="77777777" w:rsidR="00611BDD" w:rsidRDefault="00611BDD">
            <w:pPr>
              <w:rPr>
                <w:rFonts w:ascii="宋体"/>
              </w:rPr>
            </w:pPr>
          </w:p>
        </w:tc>
        <w:tc>
          <w:tcPr>
            <w:tcW w:w="610" w:type="pct"/>
            <w:shd w:val="clear" w:color="auto" w:fill="auto"/>
            <w:vAlign w:val="bottom"/>
          </w:tcPr>
          <w:p w14:paraId="54066A4E" w14:textId="77777777" w:rsidR="00611BDD" w:rsidRDefault="00611BDD">
            <w:pPr>
              <w:rPr>
                <w:rFonts w:ascii="宋体"/>
              </w:rPr>
            </w:pPr>
          </w:p>
        </w:tc>
        <w:tc>
          <w:tcPr>
            <w:tcW w:w="5" w:type="pct"/>
            <w:shd w:val="clear" w:color="auto" w:fill="auto"/>
            <w:vAlign w:val="bottom"/>
          </w:tcPr>
          <w:p w14:paraId="54066A4F" w14:textId="77777777" w:rsidR="00611BDD" w:rsidRDefault="00611BDD">
            <w:pPr>
              <w:rPr>
                <w:rFonts w:ascii="宋体"/>
              </w:rPr>
            </w:pPr>
          </w:p>
        </w:tc>
        <w:tc>
          <w:tcPr>
            <w:tcW w:w="5" w:type="pct"/>
            <w:shd w:val="clear" w:color="auto" w:fill="auto"/>
            <w:vAlign w:val="bottom"/>
          </w:tcPr>
          <w:p w14:paraId="54066A50" w14:textId="77777777" w:rsidR="00611BDD" w:rsidRDefault="00611BDD">
            <w:pPr>
              <w:rPr>
                <w:rFonts w:ascii="宋体"/>
              </w:rPr>
            </w:pPr>
          </w:p>
        </w:tc>
        <w:tc>
          <w:tcPr>
            <w:tcW w:w="26" w:type="pct"/>
            <w:shd w:val="clear" w:color="auto" w:fill="auto"/>
            <w:vAlign w:val="bottom"/>
          </w:tcPr>
          <w:p w14:paraId="54066A51" w14:textId="77777777" w:rsidR="00611BDD" w:rsidRDefault="00611BDD">
            <w:pPr>
              <w:rPr>
                <w:rFonts w:ascii="宋体"/>
              </w:rPr>
            </w:pPr>
          </w:p>
        </w:tc>
        <w:tc>
          <w:tcPr>
            <w:tcW w:w="5" w:type="pct"/>
            <w:shd w:val="clear" w:color="auto" w:fill="auto"/>
            <w:vAlign w:val="bottom"/>
          </w:tcPr>
          <w:p w14:paraId="54066A52" w14:textId="77777777" w:rsidR="00611BDD" w:rsidRDefault="00611BDD">
            <w:pPr>
              <w:rPr>
                <w:rFonts w:ascii="宋体"/>
              </w:rPr>
            </w:pPr>
          </w:p>
        </w:tc>
        <w:tc>
          <w:tcPr>
            <w:tcW w:w="50" w:type="pct"/>
            <w:shd w:val="clear" w:color="auto" w:fill="auto"/>
            <w:vAlign w:val="bottom"/>
          </w:tcPr>
          <w:p w14:paraId="54066A53" w14:textId="77777777" w:rsidR="00611BDD" w:rsidRDefault="00611BDD">
            <w:pPr>
              <w:rPr>
                <w:rFonts w:ascii="宋体"/>
              </w:rPr>
            </w:pPr>
          </w:p>
        </w:tc>
        <w:tc>
          <w:tcPr>
            <w:tcW w:w="610" w:type="pct"/>
            <w:shd w:val="clear" w:color="auto" w:fill="auto"/>
            <w:vAlign w:val="bottom"/>
          </w:tcPr>
          <w:p w14:paraId="54066A54" w14:textId="77777777" w:rsidR="00611BDD" w:rsidRDefault="00611BDD">
            <w:pPr>
              <w:rPr>
                <w:rFonts w:ascii="宋体"/>
              </w:rPr>
            </w:pPr>
          </w:p>
        </w:tc>
        <w:tc>
          <w:tcPr>
            <w:tcW w:w="5" w:type="pct"/>
            <w:shd w:val="clear" w:color="auto" w:fill="auto"/>
            <w:vAlign w:val="bottom"/>
          </w:tcPr>
          <w:p w14:paraId="54066A55" w14:textId="77777777" w:rsidR="00611BDD" w:rsidRDefault="00611BDD">
            <w:pPr>
              <w:rPr>
                <w:rFonts w:ascii="宋体"/>
              </w:rPr>
            </w:pPr>
          </w:p>
        </w:tc>
      </w:tr>
      <w:tr w:rsidR="00611BDD" w14:paraId="54066A5B" w14:textId="77777777">
        <w:tc>
          <w:tcPr>
            <w:tcW w:w="0" w:type="auto"/>
            <w:gridSpan w:val="3"/>
            <w:shd w:val="clear" w:color="auto" w:fill="auto"/>
            <w:tcMar>
              <w:top w:w="40" w:type="dxa"/>
              <w:left w:w="20" w:type="dxa"/>
              <w:bottom w:w="40" w:type="dxa"/>
              <w:right w:w="20" w:type="dxa"/>
            </w:tcMar>
            <w:vAlign w:val="bottom"/>
          </w:tcPr>
          <w:p w14:paraId="54066A57" w14:textId="77777777" w:rsidR="00611BDD" w:rsidRDefault="002E18C7">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54066A58" w14:textId="77777777" w:rsidR="00611BDD" w:rsidRDefault="002E18C7">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54066A59" w14:textId="77777777" w:rsidR="00611BDD" w:rsidRDefault="00611BDD">
            <w:pPr>
              <w:rPr>
                <w:rFonts w:ascii="宋体"/>
              </w:rPr>
            </w:pPr>
          </w:p>
        </w:tc>
        <w:tc>
          <w:tcPr>
            <w:tcW w:w="0" w:type="auto"/>
            <w:gridSpan w:val="9"/>
            <w:shd w:val="clear" w:color="auto" w:fill="auto"/>
            <w:tcMar>
              <w:top w:w="40" w:type="dxa"/>
              <w:left w:w="20" w:type="dxa"/>
              <w:bottom w:w="40" w:type="dxa"/>
              <w:right w:w="20" w:type="dxa"/>
            </w:tcMar>
            <w:vAlign w:val="bottom"/>
          </w:tcPr>
          <w:p w14:paraId="54066A5A" w14:textId="77777777" w:rsidR="00611BDD" w:rsidRDefault="002E18C7">
            <w:pPr>
              <w:jc w:val="center"/>
              <w:textAlignment w:val="bottom"/>
            </w:pPr>
            <w:r>
              <w:rPr>
                <w:rFonts w:ascii="sans-serif" w:eastAsia="sans-serif" w:hAnsi="sans-serif" w:cs="sans-serif"/>
                <w:b/>
                <w:bCs/>
                <w:color w:val="000000"/>
                <w:sz w:val="20"/>
                <w:szCs w:val="20"/>
              </w:rPr>
              <w:t>Six Months Ended</w:t>
            </w:r>
          </w:p>
        </w:tc>
      </w:tr>
      <w:tr w:rsidR="00611BDD" w14:paraId="54066A64" w14:textId="77777777">
        <w:tc>
          <w:tcPr>
            <w:tcW w:w="0" w:type="auto"/>
            <w:gridSpan w:val="3"/>
            <w:shd w:val="clear" w:color="auto" w:fill="auto"/>
            <w:tcMar>
              <w:top w:w="0" w:type="dxa"/>
              <w:left w:w="20" w:type="dxa"/>
              <w:bottom w:w="0" w:type="dxa"/>
              <w:right w:w="20" w:type="dxa"/>
            </w:tcMar>
            <w:vAlign w:val="bottom"/>
          </w:tcPr>
          <w:p w14:paraId="54066A5C"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A5D" w14:textId="77777777" w:rsidR="00611BDD" w:rsidRDefault="002E18C7">
            <w:pPr>
              <w:jc w:val="center"/>
              <w:textAlignment w:val="bottom"/>
            </w:pPr>
            <w:r>
              <w:rPr>
                <w:rFonts w:ascii="sans-serif" w:eastAsia="sans-serif" w:hAnsi="sans-serif" w:cs="sans-serif"/>
                <w:b/>
                <w:bCs/>
                <w:color w:val="000000"/>
                <w:sz w:val="20"/>
                <w:szCs w:val="20"/>
              </w:rPr>
              <w:t>August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A5E"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A5F" w14:textId="77777777" w:rsidR="00611BDD" w:rsidRDefault="002E18C7">
            <w:pPr>
              <w:jc w:val="center"/>
              <w:textAlignment w:val="bottom"/>
            </w:pPr>
            <w:r>
              <w:rPr>
                <w:rFonts w:ascii="sans-serif" w:eastAsia="sans-serif" w:hAnsi="sans-serif" w:cs="sans-serif"/>
                <w:b/>
                <w:bCs/>
                <w:color w:val="000000"/>
                <w:sz w:val="20"/>
                <w:szCs w:val="20"/>
              </w:rPr>
              <w:t>July 26,</w:t>
            </w:r>
          </w:p>
        </w:tc>
        <w:tc>
          <w:tcPr>
            <w:tcW w:w="0" w:type="auto"/>
            <w:gridSpan w:val="3"/>
            <w:shd w:val="clear" w:color="auto" w:fill="auto"/>
            <w:tcMar>
              <w:top w:w="0" w:type="dxa"/>
              <w:left w:w="20" w:type="dxa"/>
              <w:bottom w:w="0" w:type="dxa"/>
              <w:right w:w="20" w:type="dxa"/>
            </w:tcMar>
            <w:vAlign w:val="bottom"/>
          </w:tcPr>
          <w:p w14:paraId="54066A60"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A61" w14:textId="77777777" w:rsidR="00611BDD" w:rsidRDefault="002E18C7">
            <w:pPr>
              <w:jc w:val="center"/>
              <w:textAlignment w:val="bottom"/>
            </w:pPr>
            <w:r>
              <w:rPr>
                <w:rFonts w:ascii="sans-serif" w:eastAsia="sans-serif" w:hAnsi="sans-serif" w:cs="sans-serif"/>
                <w:b/>
                <w:bCs/>
                <w:color w:val="000000"/>
                <w:sz w:val="20"/>
                <w:szCs w:val="20"/>
              </w:rPr>
              <w:t>August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A62"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A63" w14:textId="77777777" w:rsidR="00611BDD" w:rsidRDefault="002E18C7">
            <w:pPr>
              <w:jc w:val="center"/>
              <w:textAlignment w:val="bottom"/>
            </w:pPr>
            <w:r>
              <w:rPr>
                <w:rFonts w:ascii="sans-serif" w:eastAsia="sans-serif" w:hAnsi="sans-serif" w:cs="sans-serif"/>
                <w:b/>
                <w:bCs/>
                <w:color w:val="000000"/>
                <w:sz w:val="20"/>
                <w:szCs w:val="20"/>
              </w:rPr>
              <w:t>July 26,</w:t>
            </w:r>
          </w:p>
        </w:tc>
      </w:tr>
      <w:tr w:rsidR="00611BDD" w14:paraId="54066A6D" w14:textId="77777777">
        <w:tc>
          <w:tcPr>
            <w:tcW w:w="0" w:type="auto"/>
            <w:gridSpan w:val="3"/>
            <w:shd w:val="clear" w:color="auto" w:fill="auto"/>
            <w:tcMar>
              <w:top w:w="0" w:type="dxa"/>
              <w:left w:w="20" w:type="dxa"/>
              <w:bottom w:w="0" w:type="dxa"/>
              <w:right w:w="20" w:type="dxa"/>
            </w:tcMar>
            <w:vAlign w:val="bottom"/>
          </w:tcPr>
          <w:p w14:paraId="54066A65"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6A66" w14:textId="77777777" w:rsidR="00611BDD" w:rsidRDefault="002E18C7">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4066A67"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6A68" w14:textId="77777777" w:rsidR="00611BDD" w:rsidRDefault="002E18C7">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vAlign w:val="bottom"/>
          </w:tcPr>
          <w:p w14:paraId="54066A69"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6A6A" w14:textId="77777777" w:rsidR="00611BDD" w:rsidRDefault="002E18C7">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4066A6B"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6A6C" w14:textId="77777777" w:rsidR="00611BDD" w:rsidRDefault="002E18C7">
            <w:pPr>
              <w:jc w:val="center"/>
              <w:textAlignment w:val="bottom"/>
            </w:pPr>
            <w:r>
              <w:rPr>
                <w:rFonts w:ascii="sans-serif" w:eastAsia="sans-serif" w:hAnsi="sans-serif" w:cs="sans-serif"/>
                <w:b/>
                <w:bCs/>
                <w:color w:val="000000"/>
                <w:sz w:val="20"/>
                <w:szCs w:val="20"/>
              </w:rPr>
              <w:t>2020</w:t>
            </w:r>
          </w:p>
        </w:tc>
      </w:tr>
      <w:tr w:rsidR="00611BDD" w14:paraId="54066A76" w14:textId="77777777">
        <w:trPr>
          <w:trHeight w:val="60"/>
        </w:trPr>
        <w:tc>
          <w:tcPr>
            <w:tcW w:w="0" w:type="auto"/>
            <w:gridSpan w:val="3"/>
            <w:shd w:val="clear" w:color="auto" w:fill="auto"/>
            <w:tcMar>
              <w:top w:w="0" w:type="dxa"/>
              <w:left w:w="20" w:type="dxa"/>
              <w:bottom w:w="0" w:type="dxa"/>
              <w:right w:w="20" w:type="dxa"/>
            </w:tcMar>
            <w:vAlign w:val="bottom"/>
          </w:tcPr>
          <w:p w14:paraId="54066A6E"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A6F"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A70"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A71"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A72"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A73"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A74"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A75" w14:textId="77777777" w:rsidR="00611BDD" w:rsidRDefault="00611BDD">
            <w:pPr>
              <w:rPr>
                <w:rFonts w:ascii="宋体"/>
              </w:rPr>
            </w:pPr>
          </w:p>
        </w:tc>
      </w:tr>
      <w:tr w:rsidR="00611BDD" w14:paraId="54066A79" w14:textId="77777777">
        <w:tc>
          <w:tcPr>
            <w:tcW w:w="0" w:type="auto"/>
            <w:gridSpan w:val="3"/>
            <w:shd w:val="clear" w:color="auto" w:fill="auto"/>
            <w:tcMar>
              <w:top w:w="40" w:type="dxa"/>
              <w:left w:w="20" w:type="dxa"/>
              <w:bottom w:w="40" w:type="dxa"/>
              <w:right w:w="20" w:type="dxa"/>
            </w:tcMar>
            <w:vAlign w:val="bottom"/>
          </w:tcPr>
          <w:p w14:paraId="54066A77" w14:textId="77777777" w:rsidR="00611BDD" w:rsidRDefault="002E18C7">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54066A78" w14:textId="77777777" w:rsidR="00611BDD" w:rsidRDefault="002E18C7">
            <w:pPr>
              <w:jc w:val="center"/>
              <w:textAlignment w:val="bottom"/>
            </w:pPr>
            <w:r>
              <w:rPr>
                <w:rFonts w:ascii="sans-serif" w:eastAsia="sans-serif" w:hAnsi="sans-serif" w:cs="sans-serif"/>
                <w:i/>
                <w:iCs/>
                <w:color w:val="000000"/>
                <w:sz w:val="20"/>
                <w:szCs w:val="20"/>
              </w:rPr>
              <w:t>(In millions, except per share data)</w:t>
            </w:r>
          </w:p>
        </w:tc>
      </w:tr>
      <w:tr w:rsidR="00611BDD" w14:paraId="54066A82" w14:textId="77777777">
        <w:tc>
          <w:tcPr>
            <w:tcW w:w="0" w:type="auto"/>
            <w:gridSpan w:val="3"/>
            <w:shd w:val="clear" w:color="auto" w:fill="E2EFD9"/>
            <w:tcMar>
              <w:top w:w="40" w:type="dxa"/>
              <w:left w:w="20" w:type="dxa"/>
              <w:bottom w:w="40" w:type="dxa"/>
              <w:right w:w="20" w:type="dxa"/>
            </w:tcMar>
            <w:vAlign w:val="bottom"/>
          </w:tcPr>
          <w:p w14:paraId="54066A7A" w14:textId="77777777" w:rsidR="00611BDD" w:rsidRDefault="002E18C7">
            <w:pPr>
              <w:textAlignment w:val="bottom"/>
            </w:pPr>
            <w:r>
              <w:rPr>
                <w:rFonts w:ascii="sans-serif" w:eastAsia="sans-serif" w:hAnsi="sans-serif" w:cs="sans-serif"/>
                <w:color w:val="000000"/>
                <w:sz w:val="20"/>
                <w:szCs w:val="20"/>
              </w:rPr>
              <w:t>Numerator:</w:t>
            </w:r>
          </w:p>
        </w:tc>
        <w:tc>
          <w:tcPr>
            <w:tcW w:w="0" w:type="auto"/>
            <w:gridSpan w:val="3"/>
            <w:shd w:val="clear" w:color="auto" w:fill="E2EFD9"/>
            <w:tcMar>
              <w:top w:w="40" w:type="dxa"/>
              <w:left w:w="20" w:type="dxa"/>
              <w:bottom w:w="40" w:type="dxa"/>
              <w:right w:w="20" w:type="dxa"/>
            </w:tcMar>
            <w:vAlign w:val="bottom"/>
          </w:tcPr>
          <w:p w14:paraId="54066A7B"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54066A7C" w14:textId="77777777" w:rsidR="00611BDD" w:rsidRDefault="00611BDD">
            <w:pPr>
              <w:rPr>
                <w:rFonts w:ascii="宋体"/>
              </w:rPr>
            </w:pPr>
          </w:p>
        </w:tc>
        <w:tc>
          <w:tcPr>
            <w:tcW w:w="0" w:type="auto"/>
            <w:gridSpan w:val="3"/>
            <w:shd w:val="clear" w:color="auto" w:fill="E2EFD9"/>
            <w:tcMar>
              <w:top w:w="40" w:type="dxa"/>
              <w:left w:w="20" w:type="dxa"/>
              <w:bottom w:w="40" w:type="dxa"/>
              <w:right w:w="20" w:type="dxa"/>
            </w:tcMar>
            <w:vAlign w:val="bottom"/>
          </w:tcPr>
          <w:p w14:paraId="54066A7D"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54066A7E"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A7F"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A80"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A81" w14:textId="77777777" w:rsidR="00611BDD" w:rsidRDefault="00611BDD">
            <w:pPr>
              <w:rPr>
                <w:rFonts w:ascii="宋体"/>
              </w:rPr>
            </w:pPr>
          </w:p>
        </w:tc>
      </w:tr>
      <w:tr w:rsidR="00611BDD" w14:paraId="54066A93" w14:textId="77777777">
        <w:tc>
          <w:tcPr>
            <w:tcW w:w="0" w:type="auto"/>
            <w:gridSpan w:val="3"/>
            <w:shd w:val="clear" w:color="auto" w:fill="FFFFFF"/>
            <w:tcMar>
              <w:top w:w="40" w:type="dxa"/>
              <w:left w:w="20" w:type="dxa"/>
              <w:bottom w:w="40" w:type="dxa"/>
              <w:right w:w="20" w:type="dxa"/>
            </w:tcMar>
            <w:vAlign w:val="bottom"/>
          </w:tcPr>
          <w:p w14:paraId="54066A83" w14:textId="77777777" w:rsidR="00611BDD" w:rsidRDefault="002E18C7">
            <w:pPr>
              <w:pBdr>
                <w:top w:val="none" w:sz="0" w:space="0" w:color="auto"/>
                <w:left w:val="none" w:sz="0" w:space="0" w:color="auto"/>
                <w:bottom w:val="none" w:sz="0" w:space="0" w:color="auto"/>
                <w:right w:val="none" w:sz="0" w:space="0" w:color="auto"/>
              </w:pBdr>
              <w:ind w:firstLine="180"/>
              <w:textAlignment w:val="bottom"/>
            </w:pPr>
            <w:r>
              <w:rPr>
                <w:rFonts w:ascii="sans-serif" w:eastAsia="sans-serif" w:hAnsi="sans-serif" w:cs="sans-serif"/>
                <w:color w:val="000000"/>
                <w:sz w:val="20"/>
                <w:szCs w:val="20"/>
              </w:rPr>
              <w:t>Net income</w:t>
            </w:r>
          </w:p>
        </w:tc>
        <w:tc>
          <w:tcPr>
            <w:tcW w:w="0" w:type="auto"/>
            <w:shd w:val="clear" w:color="auto" w:fill="FFFFFF"/>
            <w:tcMar>
              <w:top w:w="40" w:type="dxa"/>
              <w:left w:w="20" w:type="dxa"/>
              <w:bottom w:w="40" w:type="dxa"/>
              <w:right w:w="0" w:type="dxa"/>
            </w:tcMar>
            <w:vAlign w:val="bottom"/>
          </w:tcPr>
          <w:p w14:paraId="54066A84"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A85" w14:textId="77777777" w:rsidR="00611BDD" w:rsidRDefault="002E18C7">
            <w:pPr>
              <w:jc w:val="right"/>
              <w:textAlignment w:val="bottom"/>
            </w:pPr>
            <w:r>
              <w:rPr>
                <w:rFonts w:ascii="sans-serif" w:eastAsia="sans-serif" w:hAnsi="sans-serif" w:cs="sans-serif"/>
                <w:color w:val="000000"/>
                <w:sz w:val="20"/>
                <w:szCs w:val="20"/>
              </w:rPr>
              <w:t>2,374 </w:t>
            </w:r>
          </w:p>
        </w:tc>
        <w:tc>
          <w:tcPr>
            <w:tcW w:w="0" w:type="auto"/>
            <w:shd w:val="clear" w:color="auto" w:fill="FFFFFF"/>
            <w:tcMar>
              <w:top w:w="40" w:type="dxa"/>
              <w:left w:w="0" w:type="dxa"/>
              <w:bottom w:w="40" w:type="dxa"/>
              <w:right w:w="20" w:type="dxa"/>
            </w:tcMar>
            <w:vAlign w:val="bottom"/>
          </w:tcPr>
          <w:p w14:paraId="54066A8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A87"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A88"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A89" w14:textId="77777777" w:rsidR="00611BDD" w:rsidRDefault="002E18C7">
            <w:pPr>
              <w:jc w:val="right"/>
              <w:textAlignment w:val="bottom"/>
            </w:pPr>
            <w:r>
              <w:rPr>
                <w:rFonts w:ascii="sans-serif" w:eastAsia="sans-serif" w:hAnsi="sans-serif" w:cs="sans-serif"/>
                <w:color w:val="000000"/>
                <w:sz w:val="20"/>
                <w:szCs w:val="20"/>
              </w:rPr>
              <w:t>622 </w:t>
            </w:r>
          </w:p>
        </w:tc>
        <w:tc>
          <w:tcPr>
            <w:tcW w:w="0" w:type="auto"/>
            <w:shd w:val="clear" w:color="auto" w:fill="FFFFFF"/>
            <w:tcMar>
              <w:top w:w="40" w:type="dxa"/>
              <w:left w:w="0" w:type="dxa"/>
              <w:bottom w:w="40" w:type="dxa"/>
              <w:right w:w="20" w:type="dxa"/>
            </w:tcMar>
            <w:vAlign w:val="bottom"/>
          </w:tcPr>
          <w:p w14:paraId="54066A8A"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A8B"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A8C"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A8D" w14:textId="77777777" w:rsidR="00611BDD" w:rsidRDefault="002E18C7">
            <w:pPr>
              <w:jc w:val="right"/>
              <w:textAlignment w:val="bottom"/>
            </w:pPr>
            <w:r>
              <w:rPr>
                <w:rFonts w:ascii="sans-serif" w:eastAsia="sans-serif" w:hAnsi="sans-serif" w:cs="sans-serif"/>
                <w:color w:val="000000"/>
                <w:sz w:val="20"/>
                <w:szCs w:val="20"/>
              </w:rPr>
              <w:t>4,285 </w:t>
            </w:r>
          </w:p>
        </w:tc>
        <w:tc>
          <w:tcPr>
            <w:tcW w:w="0" w:type="auto"/>
            <w:shd w:val="clear" w:color="auto" w:fill="FFFFFF"/>
            <w:tcMar>
              <w:top w:w="40" w:type="dxa"/>
              <w:left w:w="0" w:type="dxa"/>
              <w:bottom w:w="40" w:type="dxa"/>
              <w:right w:w="20" w:type="dxa"/>
            </w:tcMar>
            <w:vAlign w:val="bottom"/>
          </w:tcPr>
          <w:p w14:paraId="54066A8E"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A8F"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A90"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A91" w14:textId="77777777" w:rsidR="00611BDD" w:rsidRDefault="002E18C7">
            <w:pPr>
              <w:jc w:val="right"/>
              <w:textAlignment w:val="bottom"/>
            </w:pPr>
            <w:r>
              <w:rPr>
                <w:rFonts w:ascii="sans-serif" w:eastAsia="sans-serif" w:hAnsi="sans-serif" w:cs="sans-serif"/>
                <w:color w:val="000000"/>
                <w:sz w:val="20"/>
                <w:szCs w:val="20"/>
              </w:rPr>
              <w:t>1,539 </w:t>
            </w:r>
          </w:p>
        </w:tc>
        <w:tc>
          <w:tcPr>
            <w:tcW w:w="0" w:type="auto"/>
            <w:shd w:val="clear" w:color="auto" w:fill="FFFFFF"/>
            <w:tcMar>
              <w:top w:w="40" w:type="dxa"/>
              <w:left w:w="0" w:type="dxa"/>
              <w:bottom w:w="40" w:type="dxa"/>
              <w:right w:w="20" w:type="dxa"/>
            </w:tcMar>
            <w:vAlign w:val="bottom"/>
          </w:tcPr>
          <w:p w14:paraId="54066A92" w14:textId="77777777" w:rsidR="00611BDD" w:rsidRDefault="00611BDD">
            <w:pPr>
              <w:jc w:val="right"/>
              <w:rPr>
                <w:rFonts w:ascii="宋体"/>
              </w:rPr>
            </w:pPr>
          </w:p>
        </w:tc>
      </w:tr>
      <w:tr w:rsidR="00611BDD" w14:paraId="54066A9C" w14:textId="77777777">
        <w:tc>
          <w:tcPr>
            <w:tcW w:w="0" w:type="auto"/>
            <w:gridSpan w:val="3"/>
            <w:shd w:val="clear" w:color="auto" w:fill="E2EFD9"/>
            <w:tcMar>
              <w:top w:w="40" w:type="dxa"/>
              <w:left w:w="20" w:type="dxa"/>
              <w:bottom w:w="40" w:type="dxa"/>
              <w:right w:w="20" w:type="dxa"/>
            </w:tcMar>
            <w:vAlign w:val="bottom"/>
          </w:tcPr>
          <w:p w14:paraId="54066A94" w14:textId="77777777" w:rsidR="00611BDD" w:rsidRDefault="002E18C7">
            <w:pPr>
              <w:textAlignment w:val="bottom"/>
            </w:pPr>
            <w:r>
              <w:rPr>
                <w:rFonts w:ascii="sans-serif" w:eastAsia="sans-serif" w:hAnsi="sans-serif" w:cs="sans-serif"/>
                <w:color w:val="000000"/>
                <w:sz w:val="20"/>
                <w:szCs w:val="20"/>
              </w:rPr>
              <w:t>Denominator:</w:t>
            </w: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54066A95"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A96" w14:textId="77777777" w:rsidR="00611BDD" w:rsidRDefault="00611BDD">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54066A97"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A98" w14:textId="77777777" w:rsidR="00611BDD" w:rsidRDefault="00611BDD">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54066A99"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A9A" w14:textId="77777777" w:rsidR="00611BDD" w:rsidRDefault="00611BDD">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54066A9B" w14:textId="77777777" w:rsidR="00611BDD" w:rsidRDefault="00611BDD">
            <w:pPr>
              <w:rPr>
                <w:rFonts w:ascii="宋体"/>
              </w:rPr>
            </w:pPr>
          </w:p>
        </w:tc>
      </w:tr>
      <w:tr w:rsidR="00611BDD" w14:paraId="54066AA9" w14:textId="77777777">
        <w:tc>
          <w:tcPr>
            <w:tcW w:w="0" w:type="auto"/>
            <w:gridSpan w:val="3"/>
            <w:shd w:val="clear" w:color="auto" w:fill="FFFFFF"/>
            <w:tcMar>
              <w:top w:w="40" w:type="dxa"/>
              <w:left w:w="20" w:type="dxa"/>
              <w:bottom w:w="40" w:type="dxa"/>
              <w:right w:w="20" w:type="dxa"/>
            </w:tcMar>
            <w:vAlign w:val="bottom"/>
          </w:tcPr>
          <w:p w14:paraId="54066A9D" w14:textId="77777777" w:rsidR="00611BDD" w:rsidRDefault="002E18C7">
            <w:pPr>
              <w:pBdr>
                <w:top w:val="none" w:sz="0" w:space="0" w:color="auto"/>
                <w:left w:val="none" w:sz="0" w:space="0" w:color="auto"/>
                <w:bottom w:val="none" w:sz="0" w:space="0" w:color="auto"/>
                <w:right w:val="none" w:sz="0" w:space="0" w:color="auto"/>
              </w:pBdr>
              <w:ind w:firstLine="180"/>
              <w:textAlignment w:val="bottom"/>
            </w:pPr>
            <w:r>
              <w:rPr>
                <w:rFonts w:ascii="sans-serif" w:eastAsia="sans-serif" w:hAnsi="sans-serif" w:cs="sans-serif"/>
                <w:color w:val="000000"/>
                <w:sz w:val="20"/>
                <w:szCs w:val="20"/>
              </w:rPr>
              <w:t>Basic weighted average shares</w:t>
            </w:r>
          </w:p>
        </w:tc>
        <w:tc>
          <w:tcPr>
            <w:tcW w:w="0" w:type="auto"/>
            <w:gridSpan w:val="2"/>
            <w:shd w:val="clear" w:color="auto" w:fill="FFFFFF"/>
            <w:tcMar>
              <w:top w:w="40" w:type="dxa"/>
              <w:left w:w="20" w:type="dxa"/>
              <w:bottom w:w="40" w:type="dxa"/>
              <w:right w:w="0" w:type="dxa"/>
            </w:tcMar>
            <w:vAlign w:val="bottom"/>
          </w:tcPr>
          <w:p w14:paraId="54066A9E" w14:textId="77777777" w:rsidR="00611BDD" w:rsidRDefault="002E18C7">
            <w:pPr>
              <w:jc w:val="right"/>
              <w:textAlignment w:val="bottom"/>
            </w:pPr>
            <w:r>
              <w:rPr>
                <w:rFonts w:ascii="sans-serif" w:eastAsia="sans-serif" w:hAnsi="sans-serif" w:cs="sans-serif"/>
                <w:color w:val="000000"/>
                <w:sz w:val="20"/>
                <w:szCs w:val="20"/>
              </w:rPr>
              <w:t>2,493 </w:t>
            </w:r>
          </w:p>
        </w:tc>
        <w:tc>
          <w:tcPr>
            <w:tcW w:w="0" w:type="auto"/>
            <w:shd w:val="clear" w:color="auto" w:fill="FFFFFF"/>
            <w:tcMar>
              <w:top w:w="40" w:type="dxa"/>
              <w:left w:w="0" w:type="dxa"/>
              <w:bottom w:w="40" w:type="dxa"/>
              <w:right w:w="20" w:type="dxa"/>
            </w:tcMar>
            <w:vAlign w:val="bottom"/>
          </w:tcPr>
          <w:p w14:paraId="54066A9F"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AA0"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AA1" w14:textId="77777777" w:rsidR="00611BDD" w:rsidRDefault="002E18C7">
            <w:pPr>
              <w:jc w:val="right"/>
              <w:textAlignment w:val="bottom"/>
            </w:pPr>
            <w:r>
              <w:rPr>
                <w:rFonts w:ascii="sans-serif" w:eastAsia="sans-serif" w:hAnsi="sans-serif" w:cs="sans-serif"/>
                <w:color w:val="000000"/>
                <w:sz w:val="20"/>
                <w:szCs w:val="20"/>
              </w:rPr>
              <w:t>2,464 </w:t>
            </w:r>
          </w:p>
        </w:tc>
        <w:tc>
          <w:tcPr>
            <w:tcW w:w="0" w:type="auto"/>
            <w:shd w:val="clear" w:color="auto" w:fill="FFFFFF"/>
            <w:tcMar>
              <w:top w:w="40" w:type="dxa"/>
              <w:left w:w="0" w:type="dxa"/>
              <w:bottom w:w="40" w:type="dxa"/>
              <w:right w:w="20" w:type="dxa"/>
            </w:tcMar>
            <w:vAlign w:val="bottom"/>
          </w:tcPr>
          <w:p w14:paraId="54066AA2"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AA3"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AA4" w14:textId="77777777" w:rsidR="00611BDD" w:rsidRDefault="002E18C7">
            <w:pPr>
              <w:jc w:val="right"/>
              <w:textAlignment w:val="bottom"/>
            </w:pPr>
            <w:r>
              <w:rPr>
                <w:rFonts w:ascii="sans-serif" w:eastAsia="sans-serif" w:hAnsi="sans-serif" w:cs="sans-serif"/>
                <w:color w:val="000000"/>
                <w:sz w:val="20"/>
                <w:szCs w:val="20"/>
              </w:rPr>
              <w:t>2,489 </w:t>
            </w:r>
          </w:p>
        </w:tc>
        <w:tc>
          <w:tcPr>
            <w:tcW w:w="0" w:type="auto"/>
            <w:shd w:val="clear" w:color="auto" w:fill="FFFFFF"/>
            <w:tcMar>
              <w:top w:w="40" w:type="dxa"/>
              <w:left w:w="0" w:type="dxa"/>
              <w:bottom w:w="40" w:type="dxa"/>
              <w:right w:w="20" w:type="dxa"/>
            </w:tcMar>
            <w:vAlign w:val="bottom"/>
          </w:tcPr>
          <w:p w14:paraId="54066AA5"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AA6"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AA7" w14:textId="77777777" w:rsidR="00611BDD" w:rsidRDefault="002E18C7">
            <w:pPr>
              <w:jc w:val="right"/>
              <w:textAlignment w:val="bottom"/>
            </w:pPr>
            <w:r>
              <w:rPr>
                <w:rFonts w:ascii="sans-serif" w:eastAsia="sans-serif" w:hAnsi="sans-serif" w:cs="sans-serif"/>
                <w:color w:val="000000"/>
                <w:sz w:val="20"/>
                <w:szCs w:val="20"/>
              </w:rPr>
              <w:t>2,460 </w:t>
            </w:r>
          </w:p>
        </w:tc>
        <w:tc>
          <w:tcPr>
            <w:tcW w:w="0" w:type="auto"/>
            <w:shd w:val="clear" w:color="auto" w:fill="FFFFFF"/>
            <w:tcMar>
              <w:top w:w="40" w:type="dxa"/>
              <w:left w:w="0" w:type="dxa"/>
              <w:bottom w:w="40" w:type="dxa"/>
              <w:right w:w="20" w:type="dxa"/>
            </w:tcMar>
            <w:vAlign w:val="bottom"/>
          </w:tcPr>
          <w:p w14:paraId="54066AA8" w14:textId="77777777" w:rsidR="00611BDD" w:rsidRDefault="00611BDD">
            <w:pPr>
              <w:jc w:val="right"/>
              <w:rPr>
                <w:rFonts w:ascii="宋体"/>
              </w:rPr>
            </w:pPr>
          </w:p>
        </w:tc>
      </w:tr>
      <w:tr w:rsidR="00611BDD" w14:paraId="54066AB6" w14:textId="77777777">
        <w:tc>
          <w:tcPr>
            <w:tcW w:w="0" w:type="auto"/>
            <w:gridSpan w:val="3"/>
            <w:shd w:val="clear" w:color="auto" w:fill="E2EFD9"/>
            <w:tcMar>
              <w:top w:w="40" w:type="dxa"/>
              <w:left w:w="20" w:type="dxa"/>
              <w:bottom w:w="40" w:type="dxa"/>
              <w:right w:w="20" w:type="dxa"/>
            </w:tcMar>
            <w:vAlign w:val="bottom"/>
          </w:tcPr>
          <w:p w14:paraId="54066AAA" w14:textId="77777777" w:rsidR="00611BDD" w:rsidRDefault="002E18C7">
            <w:pPr>
              <w:pBdr>
                <w:top w:val="none" w:sz="0" w:space="0" w:color="auto"/>
                <w:left w:val="none" w:sz="0" w:space="0" w:color="auto"/>
                <w:bottom w:val="none" w:sz="0" w:space="0" w:color="auto"/>
                <w:right w:val="none" w:sz="0" w:space="0" w:color="auto"/>
              </w:pBdr>
              <w:ind w:firstLine="180"/>
              <w:textAlignment w:val="bottom"/>
            </w:pPr>
            <w:r>
              <w:rPr>
                <w:rFonts w:ascii="sans-serif" w:eastAsia="sans-serif" w:hAnsi="sans-serif" w:cs="sans-serif"/>
                <w:color w:val="000000"/>
                <w:sz w:val="20"/>
                <w:szCs w:val="20"/>
              </w:rPr>
              <w:t>Dilutive impact of outstanding equity awards</w:t>
            </w:r>
          </w:p>
        </w:tc>
        <w:tc>
          <w:tcPr>
            <w:tcW w:w="0" w:type="auto"/>
            <w:gridSpan w:val="2"/>
            <w:shd w:val="clear" w:color="auto" w:fill="E2EFD9"/>
            <w:tcMar>
              <w:top w:w="40" w:type="dxa"/>
              <w:left w:w="20" w:type="dxa"/>
              <w:bottom w:w="40" w:type="dxa"/>
              <w:right w:w="0" w:type="dxa"/>
            </w:tcMar>
            <w:vAlign w:val="bottom"/>
          </w:tcPr>
          <w:p w14:paraId="54066AAB" w14:textId="77777777" w:rsidR="00611BDD" w:rsidRDefault="002E18C7">
            <w:pPr>
              <w:jc w:val="right"/>
              <w:textAlignment w:val="bottom"/>
            </w:pPr>
            <w:r>
              <w:rPr>
                <w:rFonts w:ascii="sans-serif" w:eastAsia="sans-serif" w:hAnsi="sans-serif" w:cs="sans-serif"/>
                <w:color w:val="000000"/>
                <w:sz w:val="20"/>
                <w:szCs w:val="20"/>
              </w:rPr>
              <w:t>39 </w:t>
            </w:r>
          </w:p>
        </w:tc>
        <w:tc>
          <w:tcPr>
            <w:tcW w:w="0" w:type="auto"/>
            <w:shd w:val="clear" w:color="auto" w:fill="E2EFD9"/>
            <w:tcMar>
              <w:top w:w="40" w:type="dxa"/>
              <w:left w:w="0" w:type="dxa"/>
              <w:bottom w:w="40" w:type="dxa"/>
              <w:right w:w="20" w:type="dxa"/>
            </w:tcMar>
            <w:vAlign w:val="bottom"/>
          </w:tcPr>
          <w:p w14:paraId="54066AAC"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AAD"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AAE" w14:textId="77777777" w:rsidR="00611BDD" w:rsidRDefault="002E18C7">
            <w:pPr>
              <w:jc w:val="right"/>
              <w:textAlignment w:val="bottom"/>
            </w:pPr>
            <w:r>
              <w:rPr>
                <w:rFonts w:ascii="sans-serif" w:eastAsia="sans-serif" w:hAnsi="sans-serif" w:cs="sans-serif"/>
                <w:color w:val="000000"/>
                <w:sz w:val="20"/>
                <w:szCs w:val="20"/>
              </w:rPr>
              <w:t>40 </w:t>
            </w:r>
          </w:p>
        </w:tc>
        <w:tc>
          <w:tcPr>
            <w:tcW w:w="0" w:type="auto"/>
            <w:shd w:val="clear" w:color="auto" w:fill="E2EFD9"/>
            <w:tcMar>
              <w:top w:w="40" w:type="dxa"/>
              <w:left w:w="0" w:type="dxa"/>
              <w:bottom w:w="40" w:type="dxa"/>
              <w:right w:w="20" w:type="dxa"/>
            </w:tcMar>
            <w:vAlign w:val="bottom"/>
          </w:tcPr>
          <w:p w14:paraId="54066AAF"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AB0"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AB1" w14:textId="77777777" w:rsidR="00611BDD" w:rsidRDefault="002E18C7">
            <w:pPr>
              <w:jc w:val="right"/>
              <w:textAlignment w:val="bottom"/>
            </w:pPr>
            <w:r>
              <w:rPr>
                <w:rFonts w:ascii="sans-serif" w:eastAsia="sans-serif" w:hAnsi="sans-serif" w:cs="sans-serif"/>
                <w:color w:val="000000"/>
                <w:sz w:val="20"/>
                <w:szCs w:val="20"/>
              </w:rPr>
              <w:t>40 </w:t>
            </w:r>
          </w:p>
        </w:tc>
        <w:tc>
          <w:tcPr>
            <w:tcW w:w="0" w:type="auto"/>
            <w:shd w:val="clear" w:color="auto" w:fill="E2EFD9"/>
            <w:tcMar>
              <w:top w:w="40" w:type="dxa"/>
              <w:left w:w="0" w:type="dxa"/>
              <w:bottom w:w="40" w:type="dxa"/>
              <w:right w:w="20" w:type="dxa"/>
            </w:tcMar>
            <w:vAlign w:val="bottom"/>
          </w:tcPr>
          <w:p w14:paraId="54066AB2"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AB3"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AB4" w14:textId="77777777" w:rsidR="00611BDD" w:rsidRDefault="002E18C7">
            <w:pPr>
              <w:jc w:val="right"/>
              <w:textAlignment w:val="bottom"/>
            </w:pPr>
            <w:r>
              <w:rPr>
                <w:rFonts w:ascii="sans-serif" w:eastAsia="sans-serif" w:hAnsi="sans-serif" w:cs="sans-serif"/>
                <w:color w:val="000000"/>
                <w:sz w:val="20"/>
                <w:szCs w:val="20"/>
              </w:rPr>
              <w:t>36 </w:t>
            </w:r>
          </w:p>
        </w:tc>
        <w:tc>
          <w:tcPr>
            <w:tcW w:w="0" w:type="auto"/>
            <w:shd w:val="clear" w:color="auto" w:fill="E2EFD9"/>
            <w:tcMar>
              <w:top w:w="40" w:type="dxa"/>
              <w:left w:w="0" w:type="dxa"/>
              <w:bottom w:w="40" w:type="dxa"/>
              <w:right w:w="20" w:type="dxa"/>
            </w:tcMar>
            <w:vAlign w:val="bottom"/>
          </w:tcPr>
          <w:p w14:paraId="54066AB5" w14:textId="77777777" w:rsidR="00611BDD" w:rsidRDefault="00611BDD">
            <w:pPr>
              <w:jc w:val="right"/>
              <w:rPr>
                <w:rFonts w:ascii="宋体"/>
              </w:rPr>
            </w:pPr>
          </w:p>
        </w:tc>
      </w:tr>
      <w:tr w:rsidR="00611BDD" w14:paraId="54066ABF" w14:textId="77777777">
        <w:trPr>
          <w:hidden/>
        </w:trPr>
        <w:tc>
          <w:tcPr>
            <w:tcW w:w="0" w:type="auto"/>
            <w:gridSpan w:val="3"/>
            <w:shd w:val="clear" w:color="auto" w:fill="auto"/>
            <w:vAlign w:val="bottom"/>
          </w:tcPr>
          <w:p w14:paraId="54066AB7" w14:textId="77777777" w:rsidR="00611BDD" w:rsidRDefault="00611BDD">
            <w:pPr>
              <w:rPr>
                <w:rFonts w:ascii="宋体"/>
                <w:vanish/>
              </w:rPr>
            </w:pPr>
          </w:p>
        </w:tc>
        <w:tc>
          <w:tcPr>
            <w:tcW w:w="0" w:type="auto"/>
            <w:gridSpan w:val="3"/>
            <w:shd w:val="clear" w:color="auto" w:fill="auto"/>
            <w:vAlign w:val="bottom"/>
          </w:tcPr>
          <w:p w14:paraId="54066AB8" w14:textId="77777777" w:rsidR="00611BDD" w:rsidRDefault="00611BDD">
            <w:pPr>
              <w:rPr>
                <w:rFonts w:ascii="宋体"/>
                <w:vanish/>
              </w:rPr>
            </w:pPr>
          </w:p>
        </w:tc>
        <w:tc>
          <w:tcPr>
            <w:tcW w:w="0" w:type="auto"/>
            <w:gridSpan w:val="3"/>
            <w:shd w:val="clear" w:color="auto" w:fill="auto"/>
            <w:vAlign w:val="bottom"/>
          </w:tcPr>
          <w:p w14:paraId="54066AB9" w14:textId="77777777" w:rsidR="00611BDD" w:rsidRDefault="00611BDD">
            <w:pPr>
              <w:rPr>
                <w:rFonts w:ascii="宋体"/>
                <w:vanish/>
              </w:rPr>
            </w:pPr>
          </w:p>
        </w:tc>
        <w:tc>
          <w:tcPr>
            <w:tcW w:w="0" w:type="auto"/>
            <w:gridSpan w:val="3"/>
            <w:shd w:val="clear" w:color="auto" w:fill="auto"/>
            <w:vAlign w:val="bottom"/>
          </w:tcPr>
          <w:p w14:paraId="54066ABA" w14:textId="77777777" w:rsidR="00611BDD" w:rsidRDefault="00611BDD">
            <w:pPr>
              <w:rPr>
                <w:rFonts w:ascii="宋体"/>
                <w:vanish/>
              </w:rPr>
            </w:pPr>
          </w:p>
        </w:tc>
        <w:tc>
          <w:tcPr>
            <w:tcW w:w="0" w:type="auto"/>
            <w:gridSpan w:val="3"/>
            <w:shd w:val="clear" w:color="auto" w:fill="auto"/>
            <w:vAlign w:val="bottom"/>
          </w:tcPr>
          <w:p w14:paraId="54066ABB" w14:textId="77777777" w:rsidR="00611BDD" w:rsidRDefault="00611BDD">
            <w:pPr>
              <w:rPr>
                <w:rFonts w:ascii="宋体"/>
                <w:vanish/>
              </w:rPr>
            </w:pPr>
          </w:p>
        </w:tc>
        <w:tc>
          <w:tcPr>
            <w:tcW w:w="0" w:type="auto"/>
            <w:gridSpan w:val="3"/>
            <w:shd w:val="clear" w:color="auto" w:fill="auto"/>
            <w:vAlign w:val="bottom"/>
          </w:tcPr>
          <w:p w14:paraId="54066ABC" w14:textId="77777777" w:rsidR="00611BDD" w:rsidRDefault="00611BDD">
            <w:pPr>
              <w:rPr>
                <w:rFonts w:ascii="宋体"/>
                <w:vanish/>
              </w:rPr>
            </w:pPr>
          </w:p>
        </w:tc>
        <w:tc>
          <w:tcPr>
            <w:tcW w:w="0" w:type="auto"/>
            <w:gridSpan w:val="3"/>
            <w:shd w:val="clear" w:color="auto" w:fill="auto"/>
            <w:vAlign w:val="bottom"/>
          </w:tcPr>
          <w:p w14:paraId="54066ABD" w14:textId="77777777" w:rsidR="00611BDD" w:rsidRDefault="00611BDD">
            <w:pPr>
              <w:rPr>
                <w:rFonts w:ascii="宋体"/>
                <w:vanish/>
              </w:rPr>
            </w:pPr>
          </w:p>
        </w:tc>
        <w:tc>
          <w:tcPr>
            <w:tcW w:w="0" w:type="auto"/>
            <w:gridSpan w:val="3"/>
            <w:shd w:val="clear" w:color="auto" w:fill="auto"/>
            <w:vAlign w:val="bottom"/>
          </w:tcPr>
          <w:p w14:paraId="54066ABE" w14:textId="77777777" w:rsidR="00611BDD" w:rsidRDefault="00611BDD">
            <w:pPr>
              <w:rPr>
                <w:rFonts w:ascii="宋体"/>
                <w:vanish/>
              </w:rPr>
            </w:pPr>
          </w:p>
        </w:tc>
      </w:tr>
      <w:tr w:rsidR="00611BDD" w14:paraId="54066AC8" w14:textId="77777777">
        <w:trPr>
          <w:hidden/>
        </w:trPr>
        <w:tc>
          <w:tcPr>
            <w:tcW w:w="0" w:type="auto"/>
            <w:gridSpan w:val="3"/>
            <w:shd w:val="clear" w:color="auto" w:fill="auto"/>
            <w:vAlign w:val="bottom"/>
          </w:tcPr>
          <w:p w14:paraId="54066AC0" w14:textId="77777777" w:rsidR="00611BDD" w:rsidRDefault="00611BDD">
            <w:pPr>
              <w:rPr>
                <w:rFonts w:ascii="宋体"/>
                <w:vanish/>
              </w:rPr>
            </w:pPr>
          </w:p>
        </w:tc>
        <w:tc>
          <w:tcPr>
            <w:tcW w:w="0" w:type="auto"/>
            <w:gridSpan w:val="3"/>
            <w:shd w:val="clear" w:color="auto" w:fill="auto"/>
            <w:vAlign w:val="bottom"/>
          </w:tcPr>
          <w:p w14:paraId="54066AC1" w14:textId="77777777" w:rsidR="00611BDD" w:rsidRDefault="00611BDD">
            <w:pPr>
              <w:rPr>
                <w:rFonts w:ascii="宋体"/>
                <w:vanish/>
              </w:rPr>
            </w:pPr>
          </w:p>
        </w:tc>
        <w:tc>
          <w:tcPr>
            <w:tcW w:w="0" w:type="auto"/>
            <w:gridSpan w:val="3"/>
            <w:shd w:val="clear" w:color="auto" w:fill="auto"/>
            <w:vAlign w:val="bottom"/>
          </w:tcPr>
          <w:p w14:paraId="54066AC2" w14:textId="77777777" w:rsidR="00611BDD" w:rsidRDefault="00611BDD">
            <w:pPr>
              <w:rPr>
                <w:rFonts w:ascii="宋体"/>
                <w:vanish/>
              </w:rPr>
            </w:pPr>
          </w:p>
        </w:tc>
        <w:tc>
          <w:tcPr>
            <w:tcW w:w="0" w:type="auto"/>
            <w:gridSpan w:val="3"/>
            <w:shd w:val="clear" w:color="auto" w:fill="auto"/>
            <w:vAlign w:val="bottom"/>
          </w:tcPr>
          <w:p w14:paraId="54066AC3" w14:textId="77777777" w:rsidR="00611BDD" w:rsidRDefault="00611BDD">
            <w:pPr>
              <w:rPr>
                <w:rFonts w:ascii="宋体"/>
                <w:vanish/>
              </w:rPr>
            </w:pPr>
          </w:p>
        </w:tc>
        <w:tc>
          <w:tcPr>
            <w:tcW w:w="0" w:type="auto"/>
            <w:gridSpan w:val="3"/>
            <w:shd w:val="clear" w:color="auto" w:fill="auto"/>
            <w:vAlign w:val="bottom"/>
          </w:tcPr>
          <w:p w14:paraId="54066AC4" w14:textId="77777777" w:rsidR="00611BDD" w:rsidRDefault="00611BDD">
            <w:pPr>
              <w:rPr>
                <w:rFonts w:ascii="宋体"/>
                <w:vanish/>
              </w:rPr>
            </w:pPr>
          </w:p>
        </w:tc>
        <w:tc>
          <w:tcPr>
            <w:tcW w:w="0" w:type="auto"/>
            <w:gridSpan w:val="3"/>
            <w:shd w:val="clear" w:color="auto" w:fill="auto"/>
            <w:vAlign w:val="bottom"/>
          </w:tcPr>
          <w:p w14:paraId="54066AC5" w14:textId="77777777" w:rsidR="00611BDD" w:rsidRDefault="00611BDD">
            <w:pPr>
              <w:rPr>
                <w:rFonts w:ascii="宋体"/>
                <w:vanish/>
              </w:rPr>
            </w:pPr>
          </w:p>
        </w:tc>
        <w:tc>
          <w:tcPr>
            <w:tcW w:w="0" w:type="auto"/>
            <w:gridSpan w:val="3"/>
            <w:shd w:val="clear" w:color="auto" w:fill="auto"/>
            <w:vAlign w:val="bottom"/>
          </w:tcPr>
          <w:p w14:paraId="54066AC6" w14:textId="77777777" w:rsidR="00611BDD" w:rsidRDefault="00611BDD">
            <w:pPr>
              <w:rPr>
                <w:rFonts w:ascii="宋体"/>
                <w:vanish/>
              </w:rPr>
            </w:pPr>
          </w:p>
        </w:tc>
        <w:tc>
          <w:tcPr>
            <w:tcW w:w="0" w:type="auto"/>
            <w:gridSpan w:val="3"/>
            <w:shd w:val="clear" w:color="auto" w:fill="auto"/>
            <w:vAlign w:val="bottom"/>
          </w:tcPr>
          <w:p w14:paraId="54066AC7" w14:textId="77777777" w:rsidR="00611BDD" w:rsidRDefault="00611BDD">
            <w:pPr>
              <w:rPr>
                <w:rFonts w:ascii="宋体"/>
                <w:vanish/>
              </w:rPr>
            </w:pPr>
          </w:p>
        </w:tc>
      </w:tr>
      <w:tr w:rsidR="00611BDD" w14:paraId="54066AD5" w14:textId="77777777">
        <w:tc>
          <w:tcPr>
            <w:tcW w:w="0" w:type="auto"/>
            <w:gridSpan w:val="3"/>
            <w:shd w:val="clear" w:color="auto" w:fill="FFFFFF"/>
            <w:tcMar>
              <w:top w:w="40" w:type="dxa"/>
              <w:left w:w="20" w:type="dxa"/>
              <w:bottom w:w="40" w:type="dxa"/>
              <w:right w:w="20" w:type="dxa"/>
            </w:tcMar>
            <w:vAlign w:val="bottom"/>
          </w:tcPr>
          <w:p w14:paraId="54066AC9" w14:textId="77777777" w:rsidR="00611BDD" w:rsidRDefault="002E18C7">
            <w:pPr>
              <w:pBdr>
                <w:top w:val="none" w:sz="0" w:space="0" w:color="auto"/>
                <w:left w:val="none" w:sz="0" w:space="0" w:color="auto"/>
                <w:bottom w:val="none" w:sz="0" w:space="0" w:color="auto"/>
                <w:right w:val="none" w:sz="0" w:space="0" w:color="auto"/>
              </w:pBdr>
              <w:ind w:firstLine="180"/>
              <w:textAlignment w:val="bottom"/>
            </w:pPr>
            <w:r>
              <w:rPr>
                <w:rFonts w:ascii="sans-serif" w:eastAsia="sans-serif" w:hAnsi="sans-serif" w:cs="sans-serif"/>
                <w:color w:val="000000"/>
                <w:sz w:val="20"/>
                <w:szCs w:val="20"/>
              </w:rPr>
              <w:t>Diluted weighted average shares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ACA" w14:textId="77777777" w:rsidR="00611BDD" w:rsidRDefault="002E18C7">
            <w:pPr>
              <w:jc w:val="right"/>
              <w:textAlignment w:val="bottom"/>
            </w:pPr>
            <w:r>
              <w:rPr>
                <w:rFonts w:ascii="sans-serif" w:eastAsia="sans-serif" w:hAnsi="sans-serif" w:cs="sans-serif"/>
                <w:color w:val="000000"/>
                <w:sz w:val="20"/>
                <w:szCs w:val="20"/>
              </w:rPr>
              <w:t>2,532 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ACB"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ACC"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ACD" w14:textId="77777777" w:rsidR="00611BDD" w:rsidRDefault="002E18C7">
            <w:pPr>
              <w:jc w:val="right"/>
              <w:textAlignment w:val="bottom"/>
            </w:pPr>
            <w:r>
              <w:rPr>
                <w:rFonts w:ascii="sans-serif" w:eastAsia="sans-serif" w:hAnsi="sans-serif" w:cs="sans-serif"/>
                <w:color w:val="000000"/>
                <w:sz w:val="20"/>
                <w:szCs w:val="20"/>
              </w:rPr>
              <w:t>2,504 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ACE"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ACF"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AD0" w14:textId="77777777" w:rsidR="00611BDD" w:rsidRDefault="002E18C7">
            <w:pPr>
              <w:jc w:val="right"/>
              <w:textAlignment w:val="bottom"/>
            </w:pPr>
            <w:r>
              <w:rPr>
                <w:rFonts w:ascii="sans-serif" w:eastAsia="sans-serif" w:hAnsi="sans-serif" w:cs="sans-serif"/>
                <w:color w:val="000000"/>
                <w:sz w:val="20"/>
                <w:szCs w:val="20"/>
              </w:rPr>
              <w:t>2,529 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AD1"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AD2"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6AD3" w14:textId="77777777" w:rsidR="00611BDD" w:rsidRDefault="002E18C7">
            <w:pPr>
              <w:jc w:val="right"/>
              <w:textAlignment w:val="bottom"/>
            </w:pPr>
            <w:r>
              <w:rPr>
                <w:rFonts w:ascii="sans-serif" w:eastAsia="sans-serif" w:hAnsi="sans-serif" w:cs="sans-serif"/>
                <w:color w:val="000000"/>
                <w:sz w:val="20"/>
                <w:szCs w:val="20"/>
              </w:rPr>
              <w:t>2,496 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6AD4" w14:textId="77777777" w:rsidR="00611BDD" w:rsidRDefault="00611BDD">
            <w:pPr>
              <w:jc w:val="right"/>
              <w:rPr>
                <w:rFonts w:ascii="宋体"/>
              </w:rPr>
            </w:pPr>
          </w:p>
        </w:tc>
      </w:tr>
      <w:tr w:rsidR="00611BDD" w14:paraId="54066ADE" w14:textId="77777777">
        <w:tc>
          <w:tcPr>
            <w:tcW w:w="0" w:type="auto"/>
            <w:gridSpan w:val="3"/>
            <w:shd w:val="clear" w:color="auto" w:fill="E2EFD9"/>
            <w:tcMar>
              <w:top w:w="40" w:type="dxa"/>
              <w:left w:w="20" w:type="dxa"/>
              <w:bottom w:w="40" w:type="dxa"/>
              <w:right w:w="20" w:type="dxa"/>
            </w:tcMar>
            <w:vAlign w:val="bottom"/>
          </w:tcPr>
          <w:p w14:paraId="54066AD6" w14:textId="77777777" w:rsidR="00611BDD" w:rsidRDefault="002E18C7">
            <w:pPr>
              <w:textAlignment w:val="bottom"/>
            </w:pPr>
            <w:r>
              <w:rPr>
                <w:rFonts w:ascii="sans-serif" w:eastAsia="sans-serif" w:hAnsi="sans-serif" w:cs="sans-serif"/>
                <w:color w:val="000000"/>
                <w:sz w:val="20"/>
                <w:szCs w:val="20"/>
              </w:rPr>
              <w:t>Net income per share:</w:t>
            </w: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54066AD7"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AD8" w14:textId="77777777" w:rsidR="00611BDD" w:rsidRDefault="00611BDD">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54066AD9"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ADA" w14:textId="77777777" w:rsidR="00611BDD" w:rsidRDefault="00611BDD">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54066ADB"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ADC" w14:textId="77777777" w:rsidR="00611BDD" w:rsidRDefault="00611BDD">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54066ADD" w14:textId="77777777" w:rsidR="00611BDD" w:rsidRDefault="00611BDD">
            <w:pPr>
              <w:rPr>
                <w:rFonts w:ascii="宋体"/>
              </w:rPr>
            </w:pPr>
          </w:p>
        </w:tc>
      </w:tr>
      <w:tr w:rsidR="00611BDD" w14:paraId="54066AEF" w14:textId="77777777">
        <w:tc>
          <w:tcPr>
            <w:tcW w:w="0" w:type="auto"/>
            <w:gridSpan w:val="3"/>
            <w:shd w:val="clear" w:color="auto" w:fill="FFFFFF"/>
            <w:tcMar>
              <w:top w:w="40" w:type="dxa"/>
              <w:left w:w="20" w:type="dxa"/>
              <w:bottom w:w="40" w:type="dxa"/>
              <w:right w:w="20" w:type="dxa"/>
            </w:tcMar>
            <w:vAlign w:val="bottom"/>
          </w:tcPr>
          <w:p w14:paraId="54066ADF" w14:textId="77777777" w:rsidR="00611BDD" w:rsidRDefault="002E18C7">
            <w:pPr>
              <w:pBdr>
                <w:top w:val="none" w:sz="0" w:space="0" w:color="auto"/>
                <w:left w:val="none" w:sz="0" w:space="0" w:color="auto"/>
                <w:bottom w:val="none" w:sz="0" w:space="0" w:color="auto"/>
                <w:right w:val="none" w:sz="0" w:space="0" w:color="auto"/>
              </w:pBdr>
              <w:ind w:firstLine="180"/>
              <w:textAlignment w:val="bottom"/>
            </w:pPr>
            <w:r>
              <w:rPr>
                <w:rFonts w:ascii="sans-serif" w:eastAsia="sans-serif" w:hAnsi="sans-serif" w:cs="sans-serif"/>
                <w:color w:val="000000"/>
                <w:sz w:val="20"/>
                <w:szCs w:val="20"/>
              </w:rPr>
              <w:t>Basic (1)</w:t>
            </w:r>
          </w:p>
        </w:tc>
        <w:tc>
          <w:tcPr>
            <w:tcW w:w="0" w:type="auto"/>
            <w:shd w:val="clear" w:color="auto" w:fill="FFFFFF"/>
            <w:tcMar>
              <w:top w:w="40" w:type="dxa"/>
              <w:left w:w="20" w:type="dxa"/>
              <w:bottom w:w="40" w:type="dxa"/>
              <w:right w:w="0" w:type="dxa"/>
            </w:tcMar>
            <w:vAlign w:val="bottom"/>
          </w:tcPr>
          <w:p w14:paraId="54066AE0"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AE1" w14:textId="77777777" w:rsidR="00611BDD" w:rsidRDefault="002E18C7">
            <w:pPr>
              <w:jc w:val="right"/>
              <w:textAlignment w:val="bottom"/>
            </w:pPr>
            <w:r>
              <w:rPr>
                <w:rFonts w:ascii="sans-serif" w:eastAsia="sans-serif" w:hAnsi="sans-serif" w:cs="sans-serif"/>
                <w:color w:val="000000"/>
                <w:sz w:val="20"/>
                <w:szCs w:val="20"/>
              </w:rPr>
              <w:t>0.95 </w:t>
            </w:r>
          </w:p>
        </w:tc>
        <w:tc>
          <w:tcPr>
            <w:tcW w:w="0" w:type="auto"/>
            <w:shd w:val="clear" w:color="auto" w:fill="FFFFFF"/>
            <w:tcMar>
              <w:top w:w="40" w:type="dxa"/>
              <w:left w:w="0" w:type="dxa"/>
              <w:bottom w:w="40" w:type="dxa"/>
              <w:right w:w="20" w:type="dxa"/>
            </w:tcMar>
            <w:vAlign w:val="bottom"/>
          </w:tcPr>
          <w:p w14:paraId="54066AE2"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AE3"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AE4"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AE5" w14:textId="77777777" w:rsidR="00611BDD" w:rsidRDefault="002E18C7">
            <w:pPr>
              <w:jc w:val="right"/>
              <w:textAlignment w:val="bottom"/>
            </w:pPr>
            <w:r>
              <w:rPr>
                <w:rFonts w:ascii="sans-serif" w:eastAsia="sans-serif" w:hAnsi="sans-serif" w:cs="sans-serif"/>
                <w:color w:val="000000"/>
                <w:sz w:val="20"/>
                <w:szCs w:val="20"/>
              </w:rPr>
              <w:t>0.25 </w:t>
            </w:r>
          </w:p>
        </w:tc>
        <w:tc>
          <w:tcPr>
            <w:tcW w:w="0" w:type="auto"/>
            <w:shd w:val="clear" w:color="auto" w:fill="FFFFFF"/>
            <w:tcMar>
              <w:top w:w="40" w:type="dxa"/>
              <w:left w:w="0" w:type="dxa"/>
              <w:bottom w:w="40" w:type="dxa"/>
              <w:right w:w="20" w:type="dxa"/>
            </w:tcMar>
            <w:vAlign w:val="bottom"/>
          </w:tcPr>
          <w:p w14:paraId="54066AE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AE7"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AE8"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AE9" w14:textId="77777777" w:rsidR="00611BDD" w:rsidRDefault="002E18C7">
            <w:pPr>
              <w:jc w:val="right"/>
              <w:textAlignment w:val="bottom"/>
            </w:pPr>
            <w:r>
              <w:rPr>
                <w:rFonts w:ascii="sans-serif" w:eastAsia="sans-serif" w:hAnsi="sans-serif" w:cs="sans-serif"/>
                <w:color w:val="000000"/>
                <w:sz w:val="20"/>
                <w:szCs w:val="20"/>
              </w:rPr>
              <w:t>1.72 </w:t>
            </w:r>
          </w:p>
        </w:tc>
        <w:tc>
          <w:tcPr>
            <w:tcW w:w="0" w:type="auto"/>
            <w:shd w:val="clear" w:color="auto" w:fill="FFFFFF"/>
            <w:tcMar>
              <w:top w:w="40" w:type="dxa"/>
              <w:left w:w="0" w:type="dxa"/>
              <w:bottom w:w="40" w:type="dxa"/>
              <w:right w:w="20" w:type="dxa"/>
            </w:tcMar>
            <w:vAlign w:val="bottom"/>
          </w:tcPr>
          <w:p w14:paraId="54066AEA"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AEB"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AEC"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AED" w14:textId="77777777" w:rsidR="00611BDD" w:rsidRDefault="002E18C7">
            <w:pPr>
              <w:jc w:val="right"/>
              <w:textAlignment w:val="bottom"/>
            </w:pPr>
            <w:r>
              <w:rPr>
                <w:rFonts w:ascii="sans-serif" w:eastAsia="sans-serif" w:hAnsi="sans-serif" w:cs="sans-serif"/>
                <w:color w:val="000000"/>
                <w:sz w:val="20"/>
                <w:szCs w:val="20"/>
              </w:rPr>
              <w:t>0.63 </w:t>
            </w:r>
          </w:p>
        </w:tc>
        <w:tc>
          <w:tcPr>
            <w:tcW w:w="0" w:type="auto"/>
            <w:shd w:val="clear" w:color="auto" w:fill="FFFFFF"/>
            <w:tcMar>
              <w:top w:w="40" w:type="dxa"/>
              <w:left w:w="0" w:type="dxa"/>
              <w:bottom w:w="40" w:type="dxa"/>
              <w:right w:w="20" w:type="dxa"/>
            </w:tcMar>
            <w:vAlign w:val="bottom"/>
          </w:tcPr>
          <w:p w14:paraId="54066AEE" w14:textId="77777777" w:rsidR="00611BDD" w:rsidRDefault="00611BDD">
            <w:pPr>
              <w:jc w:val="right"/>
              <w:rPr>
                <w:rFonts w:ascii="宋体"/>
              </w:rPr>
            </w:pPr>
          </w:p>
        </w:tc>
      </w:tr>
      <w:tr w:rsidR="00611BDD" w14:paraId="54066B00" w14:textId="77777777">
        <w:tc>
          <w:tcPr>
            <w:tcW w:w="0" w:type="auto"/>
            <w:gridSpan w:val="3"/>
            <w:shd w:val="clear" w:color="auto" w:fill="E2EFD9"/>
            <w:tcMar>
              <w:top w:w="40" w:type="dxa"/>
              <w:left w:w="20" w:type="dxa"/>
              <w:bottom w:w="40" w:type="dxa"/>
              <w:right w:w="20" w:type="dxa"/>
            </w:tcMar>
            <w:vAlign w:val="bottom"/>
          </w:tcPr>
          <w:p w14:paraId="54066AF0" w14:textId="77777777" w:rsidR="00611BDD" w:rsidRDefault="002E18C7">
            <w:pPr>
              <w:pBdr>
                <w:top w:val="none" w:sz="0" w:space="0" w:color="auto"/>
                <w:left w:val="none" w:sz="0" w:space="0" w:color="auto"/>
                <w:bottom w:val="none" w:sz="0" w:space="0" w:color="auto"/>
                <w:right w:val="none" w:sz="0" w:space="0" w:color="auto"/>
              </w:pBdr>
              <w:ind w:firstLine="180"/>
              <w:textAlignment w:val="bottom"/>
            </w:pPr>
            <w:r>
              <w:rPr>
                <w:rFonts w:ascii="sans-serif" w:eastAsia="sans-serif" w:hAnsi="sans-serif" w:cs="sans-serif"/>
                <w:color w:val="000000"/>
                <w:sz w:val="20"/>
                <w:szCs w:val="20"/>
              </w:rPr>
              <w:t>Diluted (2)</w:t>
            </w:r>
          </w:p>
        </w:tc>
        <w:tc>
          <w:tcPr>
            <w:tcW w:w="0" w:type="auto"/>
            <w:tcBorders>
              <w:top w:val="double" w:sz="6" w:space="0" w:color="000000"/>
            </w:tcBorders>
            <w:shd w:val="clear" w:color="auto" w:fill="E2EFD9"/>
            <w:tcMar>
              <w:top w:w="40" w:type="dxa"/>
              <w:left w:w="20" w:type="dxa"/>
              <w:bottom w:w="40" w:type="dxa"/>
              <w:right w:w="0" w:type="dxa"/>
            </w:tcMar>
            <w:vAlign w:val="bottom"/>
          </w:tcPr>
          <w:p w14:paraId="54066AF1"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4066AF2" w14:textId="77777777" w:rsidR="00611BDD" w:rsidRDefault="002E18C7">
            <w:pPr>
              <w:jc w:val="right"/>
              <w:textAlignment w:val="bottom"/>
            </w:pPr>
            <w:r>
              <w:rPr>
                <w:rFonts w:ascii="sans-serif" w:eastAsia="sans-serif" w:hAnsi="sans-serif" w:cs="sans-serif"/>
                <w:color w:val="000000"/>
                <w:sz w:val="20"/>
                <w:szCs w:val="20"/>
              </w:rPr>
              <w:t>0.94 </w:t>
            </w:r>
          </w:p>
        </w:tc>
        <w:tc>
          <w:tcPr>
            <w:tcW w:w="0" w:type="auto"/>
            <w:tcBorders>
              <w:top w:val="double" w:sz="6" w:space="0" w:color="000000"/>
            </w:tcBorders>
            <w:shd w:val="clear" w:color="auto" w:fill="E2EFD9"/>
            <w:tcMar>
              <w:top w:w="40" w:type="dxa"/>
              <w:left w:w="0" w:type="dxa"/>
              <w:bottom w:w="40" w:type="dxa"/>
              <w:right w:w="20" w:type="dxa"/>
            </w:tcMar>
            <w:vAlign w:val="bottom"/>
          </w:tcPr>
          <w:p w14:paraId="54066AF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AF4" w14:textId="77777777" w:rsidR="00611BDD" w:rsidRDefault="00611BDD">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54066AF5"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4066AF6" w14:textId="77777777" w:rsidR="00611BDD" w:rsidRDefault="002E18C7">
            <w:pPr>
              <w:jc w:val="right"/>
              <w:textAlignment w:val="bottom"/>
            </w:pPr>
            <w:r>
              <w:rPr>
                <w:rFonts w:ascii="sans-serif" w:eastAsia="sans-serif" w:hAnsi="sans-serif" w:cs="sans-serif"/>
                <w:color w:val="000000"/>
                <w:sz w:val="20"/>
                <w:szCs w:val="20"/>
              </w:rPr>
              <w:t>0.25 </w:t>
            </w:r>
          </w:p>
        </w:tc>
        <w:tc>
          <w:tcPr>
            <w:tcW w:w="0" w:type="auto"/>
            <w:tcBorders>
              <w:top w:val="double" w:sz="6" w:space="0" w:color="000000"/>
            </w:tcBorders>
            <w:shd w:val="clear" w:color="auto" w:fill="E2EFD9"/>
            <w:tcMar>
              <w:top w:w="40" w:type="dxa"/>
              <w:left w:w="0" w:type="dxa"/>
              <w:bottom w:w="40" w:type="dxa"/>
              <w:right w:w="20" w:type="dxa"/>
            </w:tcMar>
            <w:vAlign w:val="bottom"/>
          </w:tcPr>
          <w:p w14:paraId="54066AF7"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AF8" w14:textId="77777777" w:rsidR="00611BDD" w:rsidRDefault="00611BDD">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54066AF9"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4066AFA" w14:textId="77777777" w:rsidR="00611BDD" w:rsidRDefault="002E18C7">
            <w:pPr>
              <w:jc w:val="right"/>
              <w:textAlignment w:val="bottom"/>
            </w:pPr>
            <w:r>
              <w:rPr>
                <w:rFonts w:ascii="sans-serif" w:eastAsia="sans-serif" w:hAnsi="sans-serif" w:cs="sans-serif"/>
                <w:color w:val="000000"/>
                <w:sz w:val="20"/>
                <w:szCs w:val="20"/>
              </w:rPr>
              <w:t>1.69 </w:t>
            </w:r>
          </w:p>
        </w:tc>
        <w:tc>
          <w:tcPr>
            <w:tcW w:w="0" w:type="auto"/>
            <w:tcBorders>
              <w:top w:val="double" w:sz="6" w:space="0" w:color="000000"/>
            </w:tcBorders>
            <w:shd w:val="clear" w:color="auto" w:fill="E2EFD9"/>
            <w:tcMar>
              <w:top w:w="40" w:type="dxa"/>
              <w:left w:w="0" w:type="dxa"/>
              <w:bottom w:w="40" w:type="dxa"/>
              <w:right w:w="20" w:type="dxa"/>
            </w:tcMar>
            <w:vAlign w:val="bottom"/>
          </w:tcPr>
          <w:p w14:paraId="54066AF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AFC" w14:textId="77777777" w:rsidR="00611BDD" w:rsidRDefault="00611BDD">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54066AFD"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54066AFE" w14:textId="77777777" w:rsidR="00611BDD" w:rsidRDefault="002E18C7">
            <w:pPr>
              <w:jc w:val="right"/>
              <w:textAlignment w:val="bottom"/>
            </w:pPr>
            <w:r>
              <w:rPr>
                <w:rFonts w:ascii="sans-serif" w:eastAsia="sans-serif" w:hAnsi="sans-serif" w:cs="sans-serif"/>
                <w:color w:val="000000"/>
                <w:sz w:val="20"/>
                <w:szCs w:val="20"/>
              </w:rPr>
              <w:t>0.62 </w:t>
            </w:r>
          </w:p>
        </w:tc>
        <w:tc>
          <w:tcPr>
            <w:tcW w:w="0" w:type="auto"/>
            <w:tcBorders>
              <w:top w:val="double" w:sz="6" w:space="0" w:color="000000"/>
            </w:tcBorders>
            <w:shd w:val="clear" w:color="auto" w:fill="E2EFD9"/>
            <w:tcMar>
              <w:top w:w="40" w:type="dxa"/>
              <w:left w:w="0" w:type="dxa"/>
              <w:bottom w:w="40" w:type="dxa"/>
              <w:right w:w="20" w:type="dxa"/>
            </w:tcMar>
            <w:vAlign w:val="bottom"/>
          </w:tcPr>
          <w:p w14:paraId="54066AFF" w14:textId="77777777" w:rsidR="00611BDD" w:rsidRDefault="00611BDD">
            <w:pPr>
              <w:jc w:val="right"/>
              <w:rPr>
                <w:rFonts w:ascii="宋体"/>
              </w:rPr>
            </w:pPr>
          </w:p>
        </w:tc>
      </w:tr>
      <w:tr w:rsidR="00611BDD" w14:paraId="54066B0D" w14:textId="77777777">
        <w:tc>
          <w:tcPr>
            <w:tcW w:w="0" w:type="auto"/>
            <w:gridSpan w:val="3"/>
            <w:shd w:val="clear" w:color="auto" w:fill="FFFFFF"/>
            <w:tcMar>
              <w:top w:w="40" w:type="dxa"/>
              <w:left w:w="20" w:type="dxa"/>
              <w:bottom w:w="40" w:type="dxa"/>
              <w:right w:w="20" w:type="dxa"/>
            </w:tcMar>
            <w:vAlign w:val="bottom"/>
          </w:tcPr>
          <w:p w14:paraId="54066B01" w14:textId="77777777" w:rsidR="00611BDD" w:rsidRDefault="002E18C7">
            <w:pPr>
              <w:textAlignment w:val="bottom"/>
            </w:pPr>
            <w:r>
              <w:rPr>
                <w:rFonts w:ascii="sans-serif" w:eastAsia="sans-serif" w:hAnsi="sans-serif" w:cs="sans-serif"/>
                <w:color w:val="000000"/>
                <w:sz w:val="20"/>
                <w:szCs w:val="20"/>
              </w:rPr>
              <w:t>Equity awards excluded from diluted net income per share because their effect would have been anti-dilutive</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4066B02" w14:textId="77777777" w:rsidR="00611BDD" w:rsidRDefault="002E18C7">
            <w:pPr>
              <w:jc w:val="right"/>
              <w:textAlignment w:val="bottom"/>
            </w:pPr>
            <w:r>
              <w:rPr>
                <w:rFonts w:ascii="sans-serif" w:eastAsia="sans-serif" w:hAnsi="sans-serif" w:cs="sans-serif"/>
                <w:color w:val="000000"/>
                <w:sz w:val="20"/>
                <w:szCs w:val="20"/>
              </w:rPr>
              <w:t>13 </w:t>
            </w:r>
          </w:p>
        </w:tc>
        <w:tc>
          <w:tcPr>
            <w:tcW w:w="0" w:type="auto"/>
            <w:tcBorders>
              <w:top w:val="double" w:sz="6" w:space="0" w:color="000000"/>
            </w:tcBorders>
            <w:shd w:val="clear" w:color="auto" w:fill="FFFFFF"/>
            <w:tcMar>
              <w:top w:w="40" w:type="dxa"/>
              <w:left w:w="0" w:type="dxa"/>
              <w:bottom w:w="40" w:type="dxa"/>
              <w:right w:w="20" w:type="dxa"/>
            </w:tcMar>
            <w:vAlign w:val="bottom"/>
          </w:tcPr>
          <w:p w14:paraId="54066B0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B04" w14:textId="77777777" w:rsidR="00611BDD" w:rsidRDefault="00611BDD">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4066B05" w14:textId="77777777" w:rsidR="00611BDD" w:rsidRDefault="002E18C7">
            <w:pPr>
              <w:jc w:val="right"/>
              <w:textAlignment w:val="bottom"/>
            </w:pPr>
            <w:r>
              <w:rPr>
                <w:rFonts w:ascii="sans-serif" w:eastAsia="sans-serif" w:hAnsi="sans-serif" w:cs="sans-serif"/>
                <w:color w:val="000000"/>
                <w:sz w:val="20"/>
                <w:szCs w:val="20"/>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4066B0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B07" w14:textId="77777777" w:rsidR="00611BDD" w:rsidRDefault="00611BDD">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4066B08" w14:textId="77777777" w:rsidR="00611BDD" w:rsidRDefault="002E18C7">
            <w:pPr>
              <w:jc w:val="right"/>
              <w:textAlignment w:val="bottom"/>
            </w:pPr>
            <w:r>
              <w:rPr>
                <w:rFonts w:ascii="sans-serif" w:eastAsia="sans-serif" w:hAnsi="sans-serif" w:cs="sans-serif"/>
                <w:color w:val="000000"/>
                <w:sz w:val="20"/>
                <w:szCs w:val="20"/>
              </w:rPr>
              <w:t>15 </w:t>
            </w:r>
          </w:p>
        </w:tc>
        <w:tc>
          <w:tcPr>
            <w:tcW w:w="0" w:type="auto"/>
            <w:tcBorders>
              <w:top w:val="double" w:sz="6" w:space="0" w:color="000000"/>
            </w:tcBorders>
            <w:shd w:val="clear" w:color="auto" w:fill="FFFFFF"/>
            <w:tcMar>
              <w:top w:w="40" w:type="dxa"/>
              <w:left w:w="0" w:type="dxa"/>
              <w:bottom w:w="40" w:type="dxa"/>
              <w:right w:w="20" w:type="dxa"/>
            </w:tcMar>
            <w:vAlign w:val="bottom"/>
          </w:tcPr>
          <w:p w14:paraId="54066B0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B0A" w14:textId="77777777" w:rsidR="00611BDD" w:rsidRDefault="00611BDD">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4066B0B" w14:textId="77777777" w:rsidR="00611BDD" w:rsidRDefault="002E18C7">
            <w:pPr>
              <w:jc w:val="right"/>
              <w:textAlignment w:val="bottom"/>
            </w:pPr>
            <w:r>
              <w:rPr>
                <w:rFonts w:ascii="sans-serif" w:eastAsia="sans-serif" w:hAnsi="sans-serif" w:cs="sans-serif"/>
                <w:color w:val="000000"/>
                <w:sz w:val="20"/>
                <w:szCs w:val="20"/>
              </w:rPr>
              <w:t>24 </w:t>
            </w:r>
          </w:p>
        </w:tc>
        <w:tc>
          <w:tcPr>
            <w:tcW w:w="0" w:type="auto"/>
            <w:tcBorders>
              <w:top w:val="double" w:sz="6" w:space="0" w:color="000000"/>
            </w:tcBorders>
            <w:shd w:val="clear" w:color="auto" w:fill="FFFFFF"/>
            <w:tcMar>
              <w:top w:w="40" w:type="dxa"/>
              <w:left w:w="0" w:type="dxa"/>
              <w:bottom w:w="40" w:type="dxa"/>
              <w:right w:w="20" w:type="dxa"/>
            </w:tcMar>
            <w:vAlign w:val="bottom"/>
          </w:tcPr>
          <w:p w14:paraId="54066B0C" w14:textId="77777777" w:rsidR="00611BDD" w:rsidRDefault="00611BDD">
            <w:pPr>
              <w:jc w:val="right"/>
              <w:rPr>
                <w:rFonts w:ascii="宋体"/>
              </w:rPr>
            </w:pPr>
          </w:p>
        </w:tc>
      </w:tr>
    </w:tbl>
    <w:p w14:paraId="54066B0E" w14:textId="77777777" w:rsidR="00611BDD" w:rsidRDefault="002E18C7">
      <w:pPr>
        <w:pBdr>
          <w:left w:val="none" w:sz="0" w:space="0" w:color="auto"/>
        </w:pBdr>
        <w:spacing w:after="60"/>
        <w:ind w:hanging="360"/>
        <w:jc w:val="both"/>
      </w:pPr>
      <w:r>
        <w:rPr>
          <w:rFonts w:ascii="sans-serif" w:eastAsia="sans-serif" w:hAnsi="sans-serif" w:cs="sans-serif"/>
          <w:color w:val="000000"/>
          <w:sz w:val="16"/>
          <w:szCs w:val="16"/>
        </w:rPr>
        <w:t>(1)    Calculated as net income divided by basic weighted average shares.</w:t>
      </w:r>
    </w:p>
    <w:p w14:paraId="54066B0F" w14:textId="77777777" w:rsidR="00611BDD" w:rsidRDefault="002E18C7">
      <w:pPr>
        <w:pBdr>
          <w:left w:val="none" w:sz="0" w:space="0" w:color="auto"/>
        </w:pBdr>
        <w:spacing w:after="180"/>
        <w:ind w:hanging="360"/>
        <w:jc w:val="both"/>
      </w:pPr>
      <w:r>
        <w:rPr>
          <w:rFonts w:ascii="sans-serif" w:eastAsia="sans-serif" w:hAnsi="sans-serif" w:cs="sans-serif"/>
          <w:color w:val="000000"/>
          <w:sz w:val="16"/>
          <w:szCs w:val="16"/>
        </w:rPr>
        <w:t>(2)    Calculated as net income divided by diluted weighted average shares.</w:t>
      </w:r>
    </w:p>
    <w:p w14:paraId="54066B10" w14:textId="77777777" w:rsidR="00611BDD" w:rsidRDefault="002E18C7">
      <w:pPr>
        <w:spacing w:before="240" w:after="120"/>
        <w:jc w:val="both"/>
      </w:pPr>
      <w:r>
        <w:rPr>
          <w:rFonts w:ascii="sans-serif" w:eastAsia="sans-serif" w:hAnsi="sans-serif" w:cs="sans-serif"/>
          <w:b/>
          <w:bCs/>
          <w:color w:val="76B900"/>
          <w:sz w:val="22"/>
          <w:szCs w:val="22"/>
        </w:rPr>
        <w:t>Note 6 – Income Taxes</w:t>
      </w:r>
    </w:p>
    <w:p w14:paraId="54066B11" w14:textId="77777777" w:rsidR="00611BDD" w:rsidRDefault="002E18C7">
      <w:pPr>
        <w:spacing w:after="180"/>
        <w:jc w:val="both"/>
      </w:pPr>
      <w:r>
        <w:rPr>
          <w:rFonts w:ascii="sans-serif" w:eastAsia="sans-serif" w:hAnsi="sans-serif" w:cs="sans-serif"/>
          <w:color w:val="000000"/>
          <w:sz w:val="20"/>
          <w:szCs w:val="20"/>
        </w:rPr>
        <w:t xml:space="preserve">We recognized an income tax expense of </w:t>
      </w:r>
      <w:r>
        <w:rPr>
          <w:rFonts w:ascii="sans-serif" w:eastAsia="sans-serif" w:hAnsi="sans-serif" w:cs="sans-serif"/>
          <w:color w:val="000000"/>
          <w:sz w:val="20"/>
          <w:szCs w:val="20"/>
        </w:rPr>
        <w:t>$20 million and $153 million for the second quarter and first half of fiscal year 2022, respectively, and an income tax benefit of $13 million and an income tax expense of $52 million for the second quarter and first half of fiscal year 2021, respectively.</w:t>
      </w:r>
      <w:r>
        <w:rPr>
          <w:rFonts w:ascii="sans-serif" w:eastAsia="sans-serif" w:hAnsi="sans-serif" w:cs="sans-serif"/>
          <w:color w:val="000000"/>
          <w:sz w:val="20"/>
          <w:szCs w:val="20"/>
        </w:rPr>
        <w:t xml:space="preserve"> The income tax expense as a percentage of income before income tax was 0.9% and 3.4% for the second quarter and first half of fiscal year 2022, respectively, and 3.3% for the first half of fiscal year 2021. The income tax benefit as a percentage of income</w:t>
      </w:r>
      <w:r>
        <w:rPr>
          <w:rFonts w:ascii="sans-serif" w:eastAsia="sans-serif" w:hAnsi="sans-serif" w:cs="sans-serif"/>
          <w:color w:val="000000"/>
          <w:sz w:val="20"/>
          <w:szCs w:val="20"/>
        </w:rPr>
        <w:t xml:space="preserve"> before income tax was 2.0% for the second quarter of fiscal year 2021.</w:t>
      </w:r>
    </w:p>
    <w:p w14:paraId="54066B12" w14:textId="77777777" w:rsidR="00611BDD" w:rsidRDefault="002E18C7">
      <w:pPr>
        <w:spacing w:after="180"/>
        <w:jc w:val="both"/>
      </w:pPr>
      <w:r>
        <w:rPr>
          <w:rFonts w:ascii="sans-serif" w:eastAsia="sans-serif" w:hAnsi="sans-serif" w:cs="sans-serif"/>
          <w:color w:val="000000"/>
          <w:sz w:val="20"/>
          <w:szCs w:val="20"/>
        </w:rPr>
        <w:t>On June 28, 2021, we simplified our corporate structure by repatriating the economic rights of certain non-U.S. intellectual property to the United States via domestication of a foreig</w:t>
      </w:r>
      <w:r>
        <w:rPr>
          <w:rFonts w:ascii="sans-serif" w:eastAsia="sans-serif" w:hAnsi="sans-serif" w:cs="sans-serif"/>
          <w:color w:val="000000"/>
          <w:sz w:val="20"/>
          <w:szCs w:val="20"/>
        </w:rPr>
        <w:t>n subsidiary, or the Domestication. The Domestication more closely aligns our corporate structure to our operating structure in accordance with the Organization for Economic Cooperation and Development’s Base Erosion and Profit Shifting conclusions and cha</w:t>
      </w:r>
      <w:r>
        <w:rPr>
          <w:rFonts w:ascii="sans-serif" w:eastAsia="sans-serif" w:hAnsi="sans-serif" w:cs="sans-serif"/>
          <w:color w:val="000000"/>
          <w:sz w:val="20"/>
          <w:szCs w:val="20"/>
        </w:rPr>
        <w:t xml:space="preserve">nges to U.S. and European tax laws. The impact of the Domestication, which is regarded as a change in tax status, resulted in a discrete benefit primarily from re-valuing certain deferred tax assets, net of deferred tax liabilities, of $252 million in the </w:t>
      </w:r>
      <w:r>
        <w:rPr>
          <w:rFonts w:ascii="sans-serif" w:eastAsia="sans-serif" w:hAnsi="sans-serif" w:cs="sans-serif"/>
          <w:color w:val="000000"/>
          <w:sz w:val="20"/>
          <w:szCs w:val="20"/>
        </w:rPr>
        <w:t xml:space="preserve">second quarter of fiscal year 2022. </w:t>
      </w:r>
    </w:p>
    <w:p w14:paraId="54066B13" w14:textId="77777777" w:rsidR="00611BDD" w:rsidRDefault="002E18C7">
      <w:pPr>
        <w:spacing w:after="180"/>
        <w:jc w:val="both"/>
      </w:pPr>
      <w:r>
        <w:rPr>
          <w:rFonts w:ascii="sans-serif" w:eastAsia="sans-serif" w:hAnsi="sans-serif" w:cs="sans-serif"/>
          <w:color w:val="000000"/>
          <w:sz w:val="20"/>
          <w:szCs w:val="20"/>
        </w:rPr>
        <w:t>The increase in our effective tax rate for the second quarter and first half of fiscal year 2022 as compared to the same periods of fiscal year 2021 was primarily due to a decreased impact of tax benefits from stock-bas</w:t>
      </w:r>
      <w:r>
        <w:rPr>
          <w:rFonts w:ascii="sans-serif" w:eastAsia="sans-serif" w:hAnsi="sans-serif" w:cs="sans-serif"/>
          <w:color w:val="000000"/>
          <w:sz w:val="20"/>
          <w:szCs w:val="20"/>
        </w:rPr>
        <w:t>ed compensation and the U.S. federal research tax credit, and an increase in the amount of earnings subject to U.S. tax, partially offset by the discrete benefit of the Domestication.</w:t>
      </w:r>
    </w:p>
    <w:p w14:paraId="54066B14" w14:textId="77777777" w:rsidR="00611BDD" w:rsidRDefault="002E18C7">
      <w:pPr>
        <w:spacing w:after="180"/>
        <w:jc w:val="both"/>
      </w:pPr>
      <w:r>
        <w:rPr>
          <w:rFonts w:ascii="sans-serif" w:eastAsia="sans-serif" w:hAnsi="sans-serif" w:cs="sans-serif"/>
          <w:color w:val="000000"/>
          <w:sz w:val="20"/>
          <w:szCs w:val="20"/>
        </w:rPr>
        <w:t xml:space="preserve">Our effective tax rate for the first half of fiscal year 2021 was lower </w:t>
      </w:r>
      <w:r>
        <w:rPr>
          <w:rFonts w:ascii="sans-serif" w:eastAsia="sans-serif" w:hAnsi="sans-serif" w:cs="sans-serif"/>
          <w:color w:val="000000"/>
          <w:sz w:val="20"/>
          <w:szCs w:val="20"/>
        </w:rPr>
        <w:t>than the U.S. federal statutory rate of 21% due to income earned in jurisdictions that is subject to taxes lower than the U.S. federal statutory tax rate, tax benefits related to stock-based compensation, and the benefit of the U.S. federal research tax cr</w:t>
      </w:r>
      <w:r>
        <w:rPr>
          <w:rFonts w:ascii="sans-serif" w:eastAsia="sans-serif" w:hAnsi="sans-serif" w:cs="sans-serif"/>
          <w:color w:val="000000"/>
          <w:sz w:val="20"/>
          <w:szCs w:val="20"/>
        </w:rPr>
        <w:t>edit.</w:t>
      </w:r>
    </w:p>
    <w:p w14:paraId="54066B15" w14:textId="77777777" w:rsidR="00611BDD" w:rsidRDefault="002E18C7">
      <w:pPr>
        <w:spacing w:after="180"/>
        <w:jc w:val="both"/>
      </w:pPr>
      <w:r>
        <w:rPr>
          <w:rFonts w:ascii="sans-serif" w:eastAsia="sans-serif" w:hAnsi="sans-serif" w:cs="sans-serif"/>
          <w:color w:val="000000"/>
          <w:sz w:val="20"/>
          <w:szCs w:val="20"/>
        </w:rPr>
        <w:t xml:space="preserve">Our effective tax rate for the first half of fiscal year 2022 was lower than the U.S. federal statutory rate of 21% due to the discrete benefit of the Domestication, tax benefits related to the foreign-derived intangible income deduction, income </w:t>
      </w:r>
    </w:p>
    <w:p w14:paraId="54066B16" w14:textId="77777777" w:rsidR="00611BDD" w:rsidRDefault="002E18C7">
      <w:pPr>
        <w:spacing w:after="180"/>
        <w:jc w:val="center"/>
      </w:pPr>
      <w:r>
        <w:rPr>
          <w:rFonts w:ascii="sans-serif" w:eastAsia="sans-serif" w:hAnsi="sans-serif" w:cs="sans-serif"/>
          <w:color w:val="000000"/>
          <w:sz w:val="20"/>
          <w:szCs w:val="20"/>
        </w:rPr>
        <w:t>13</w:t>
      </w:r>
    </w:p>
    <w:p w14:paraId="54066B17" w14:textId="77777777" w:rsidR="00611BDD" w:rsidRDefault="002E18C7">
      <w:r>
        <w:pict w14:anchorId="54067C31">
          <v:rect id="_x0000_i1037" style="width:415.3pt;height:1.5pt" o:hralign="center" o:hrstd="t" o:hr="t" fillcolor="#a0a0a0" stroked="f"/>
        </w:pict>
      </w:r>
    </w:p>
    <w:p w14:paraId="54066B18" w14:textId="77777777" w:rsidR="00611BDD" w:rsidRDefault="002E18C7">
      <w:pPr>
        <w:jc w:val="center"/>
      </w:pPr>
      <w:r>
        <w:rPr>
          <w:rFonts w:ascii="sans-serif" w:eastAsia="sans-serif" w:hAnsi="sans-serif" w:cs="sans-serif"/>
          <w:b/>
          <w:bCs/>
          <w:color w:val="000000"/>
          <w:sz w:val="20"/>
          <w:szCs w:val="20"/>
        </w:rPr>
        <w:t>NVIDIA CORPORATION AND SUBSIDIARIES</w:t>
      </w:r>
    </w:p>
    <w:p w14:paraId="54066B19" w14:textId="77777777" w:rsidR="00611BDD" w:rsidRDefault="002E18C7">
      <w:pPr>
        <w:jc w:val="center"/>
      </w:pPr>
      <w:r>
        <w:rPr>
          <w:rFonts w:ascii="sans-serif" w:eastAsia="sans-serif" w:hAnsi="sans-serif" w:cs="sans-serif"/>
          <w:b/>
          <w:bCs/>
          <w:color w:val="000000"/>
          <w:sz w:val="20"/>
          <w:szCs w:val="20"/>
        </w:rPr>
        <w:t>NOTES TO CONDENSED CONSOLIDATED FINANCIAL STATEMENTS (Continued)</w:t>
      </w:r>
    </w:p>
    <w:p w14:paraId="54066B1A" w14:textId="77777777" w:rsidR="00611BDD" w:rsidRDefault="002E18C7">
      <w:pPr>
        <w:jc w:val="center"/>
      </w:pPr>
      <w:r>
        <w:rPr>
          <w:rFonts w:ascii="sans-serif" w:eastAsia="sans-serif" w:hAnsi="sans-serif" w:cs="sans-serif"/>
          <w:b/>
          <w:bCs/>
          <w:color w:val="000000"/>
          <w:sz w:val="20"/>
          <w:szCs w:val="20"/>
        </w:rPr>
        <w:t>(Unaudited)</w:t>
      </w:r>
    </w:p>
    <w:p w14:paraId="54066B1B" w14:textId="77777777" w:rsidR="00611BDD" w:rsidRDefault="00611BDD">
      <w:pPr>
        <w:spacing w:after="180"/>
        <w:jc w:val="both"/>
      </w:pPr>
    </w:p>
    <w:p w14:paraId="54066B1C" w14:textId="77777777" w:rsidR="00611BDD" w:rsidRDefault="00611BDD">
      <w:pPr>
        <w:spacing w:after="180"/>
        <w:jc w:val="both"/>
      </w:pPr>
    </w:p>
    <w:p w14:paraId="54066B1D" w14:textId="77777777" w:rsidR="00611BDD" w:rsidRDefault="002E18C7">
      <w:pPr>
        <w:spacing w:after="180"/>
        <w:jc w:val="both"/>
      </w:pPr>
      <w:r>
        <w:rPr>
          <w:rFonts w:ascii="sans-serif" w:eastAsia="sans-serif" w:hAnsi="sans-serif" w:cs="sans-serif"/>
          <w:color w:val="000000"/>
          <w:sz w:val="20"/>
          <w:szCs w:val="20"/>
        </w:rPr>
        <w:t xml:space="preserve">earned in jurisdictions that is subject to taxes lower than the U.S. federal statutory tax rate, and tax benefits related to the U.S. </w:t>
      </w:r>
      <w:r>
        <w:rPr>
          <w:rFonts w:ascii="sans-serif" w:eastAsia="sans-serif" w:hAnsi="sans-serif" w:cs="sans-serif"/>
          <w:color w:val="000000"/>
          <w:sz w:val="20"/>
          <w:szCs w:val="20"/>
        </w:rPr>
        <w:t>federal research tax credit and stock-based compensation.</w:t>
      </w:r>
    </w:p>
    <w:p w14:paraId="54066B1E" w14:textId="77777777" w:rsidR="00611BDD" w:rsidRDefault="002E18C7">
      <w:pPr>
        <w:spacing w:after="180"/>
        <w:jc w:val="both"/>
      </w:pPr>
      <w:r>
        <w:rPr>
          <w:rFonts w:ascii="sans-serif" w:eastAsia="sans-serif" w:hAnsi="sans-serif" w:cs="sans-serif"/>
          <w:color w:val="000000"/>
          <w:sz w:val="20"/>
          <w:szCs w:val="20"/>
        </w:rPr>
        <w:t>As of August 1, 2021, we intend to indefinitely reinvest approximately $1.6 billion and $231 million of cumulative undistributed earnings held by certain subsidiaries in Israel and the United Kingdo</w:t>
      </w:r>
      <w:r>
        <w:rPr>
          <w:rFonts w:ascii="sans-serif" w:eastAsia="sans-serif" w:hAnsi="sans-serif" w:cs="sans-serif"/>
          <w:color w:val="000000"/>
          <w:sz w:val="20"/>
          <w:szCs w:val="20"/>
        </w:rPr>
        <w:t>m, respectively. We have not provided the amount of unrecognized deferred tax liabilities for temporary differences related to these investments as the determination of such amount is not practicable.</w:t>
      </w:r>
    </w:p>
    <w:p w14:paraId="54066B1F" w14:textId="77777777" w:rsidR="00611BDD" w:rsidRDefault="002E18C7">
      <w:pPr>
        <w:spacing w:after="180"/>
        <w:jc w:val="both"/>
      </w:pPr>
      <w:r>
        <w:rPr>
          <w:rFonts w:ascii="sans-serif" w:eastAsia="sans-serif" w:hAnsi="sans-serif" w:cs="sans-serif"/>
          <w:color w:val="000000"/>
          <w:sz w:val="20"/>
          <w:szCs w:val="20"/>
        </w:rPr>
        <w:t>For the first half of fiscal year 2022, there have been</w:t>
      </w:r>
      <w:r>
        <w:rPr>
          <w:rFonts w:ascii="sans-serif" w:eastAsia="sans-serif" w:hAnsi="sans-serif" w:cs="sans-serif"/>
          <w:color w:val="000000"/>
          <w:sz w:val="20"/>
          <w:szCs w:val="20"/>
        </w:rPr>
        <w:t xml:space="preserve"> no material changes to our tax years that remain subject to examination by major tax jurisdictions. We are currently under examination by the Internal Revenue Service for our fiscal years 2018 and 2019. Additionally, there have been no material changes to</w:t>
      </w:r>
      <w:r>
        <w:rPr>
          <w:rFonts w:ascii="sans-serif" w:eastAsia="sans-serif" w:hAnsi="sans-serif" w:cs="sans-serif"/>
          <w:color w:val="000000"/>
          <w:sz w:val="20"/>
          <w:szCs w:val="20"/>
        </w:rPr>
        <w:t xml:space="preserve"> our unrecognized tax benefits and any related interest or penalties since the fiscal year ended January 31, 2021.</w:t>
      </w:r>
    </w:p>
    <w:p w14:paraId="54066B20" w14:textId="77777777" w:rsidR="00611BDD" w:rsidRDefault="002E18C7">
      <w:pPr>
        <w:spacing w:after="180"/>
        <w:jc w:val="both"/>
      </w:pPr>
      <w:r>
        <w:rPr>
          <w:rFonts w:ascii="sans-serif" w:eastAsia="sans-serif" w:hAnsi="sans-serif" w:cs="sans-serif"/>
          <w:color w:val="000000"/>
          <w:sz w:val="20"/>
          <w:szCs w:val="20"/>
        </w:rPr>
        <w:t>While we believe that we have adequately provided for all uncertain tax positions, or tax positions where we believe it is not more-likely-th</w:t>
      </w:r>
      <w:r>
        <w:rPr>
          <w:rFonts w:ascii="sans-serif" w:eastAsia="sans-serif" w:hAnsi="sans-serif" w:cs="sans-serif"/>
          <w:color w:val="000000"/>
          <w:sz w:val="20"/>
          <w:szCs w:val="20"/>
        </w:rPr>
        <w:t>an-not that the position will be sustained upon review, amounts asserted by tax authorities could be greater or less than our accrued position. Accordingly, our provisions on federal, state and foreign tax related matters to be recorded in the future may c</w:t>
      </w:r>
      <w:r>
        <w:rPr>
          <w:rFonts w:ascii="sans-serif" w:eastAsia="sans-serif" w:hAnsi="sans-serif" w:cs="sans-serif"/>
          <w:color w:val="000000"/>
          <w:sz w:val="20"/>
          <w:szCs w:val="20"/>
        </w:rPr>
        <w:t>hange as revised estimates are made or the underlying matters are settled or otherwise resolved with the respective tax authorities. As of August 1, 2021, we do not believe that our estimates, as otherwise provided for, on such tax positions will significa</w:t>
      </w:r>
      <w:r>
        <w:rPr>
          <w:rFonts w:ascii="sans-serif" w:eastAsia="sans-serif" w:hAnsi="sans-serif" w:cs="sans-serif"/>
          <w:color w:val="000000"/>
          <w:sz w:val="20"/>
          <w:szCs w:val="20"/>
        </w:rPr>
        <w:t xml:space="preserve">ntly increase or decrease within the next 12 months. </w:t>
      </w:r>
    </w:p>
    <w:p w14:paraId="54066B21" w14:textId="77777777" w:rsidR="00611BDD" w:rsidRDefault="002E18C7">
      <w:pPr>
        <w:spacing w:before="240" w:after="120"/>
        <w:jc w:val="both"/>
      </w:pPr>
      <w:r>
        <w:rPr>
          <w:rFonts w:ascii="sans-serif" w:eastAsia="sans-serif" w:hAnsi="sans-serif" w:cs="sans-serif"/>
          <w:b/>
          <w:bCs/>
          <w:color w:val="76B900"/>
          <w:sz w:val="22"/>
          <w:szCs w:val="22"/>
        </w:rPr>
        <w:t>Note 7 - Cash Equivalents and Marketable Securities</w:t>
      </w:r>
      <w:r>
        <w:rPr>
          <w:rFonts w:ascii="sans-serif" w:eastAsia="sans-serif" w:hAnsi="sans-serif" w:cs="sans-serif"/>
          <w:color w:val="000000"/>
          <w:sz w:val="20"/>
          <w:szCs w:val="20"/>
        </w:rPr>
        <w:t> </w:t>
      </w:r>
    </w:p>
    <w:p w14:paraId="54066B22" w14:textId="77777777" w:rsidR="00611BDD" w:rsidRDefault="002E18C7">
      <w:pPr>
        <w:spacing w:after="180"/>
        <w:jc w:val="both"/>
      </w:pPr>
      <w:r>
        <w:rPr>
          <w:rFonts w:ascii="sans-serif" w:eastAsia="sans-serif" w:hAnsi="sans-serif" w:cs="sans-serif"/>
          <w:color w:val="000000"/>
          <w:sz w:val="20"/>
          <w:szCs w:val="20"/>
        </w:rPr>
        <w:t>Our cash equivalents and marketable securities related to debt securities are classified as “available-for-sale” debt securities.</w:t>
      </w:r>
    </w:p>
    <w:p w14:paraId="54066B23" w14:textId="77777777" w:rsidR="00611BDD" w:rsidRDefault="002E18C7">
      <w:pPr>
        <w:spacing w:after="180"/>
        <w:jc w:val="both"/>
      </w:pPr>
      <w:r>
        <w:rPr>
          <w:rFonts w:ascii="sans-serif" w:eastAsia="sans-serif" w:hAnsi="sans-serif" w:cs="sans-serif"/>
          <w:color w:val="000000"/>
          <w:sz w:val="20"/>
          <w:szCs w:val="20"/>
        </w:rPr>
        <w:t xml:space="preserve">The following is a </w:t>
      </w:r>
      <w:r>
        <w:rPr>
          <w:rFonts w:ascii="sans-serif" w:eastAsia="sans-serif" w:hAnsi="sans-serif" w:cs="sans-serif"/>
          <w:color w:val="000000"/>
          <w:sz w:val="20"/>
          <w:szCs w:val="20"/>
        </w:rPr>
        <w:t>summary of cash equivalents and marketable securities as of August 1, 2021 and January 31, 2021:</w:t>
      </w:r>
    </w:p>
    <w:tbl>
      <w:tblPr>
        <w:tblW w:w="4971" w:type="pct"/>
        <w:tblCellMar>
          <w:top w:w="15" w:type="dxa"/>
          <w:left w:w="15" w:type="dxa"/>
          <w:bottom w:w="15" w:type="dxa"/>
          <w:right w:w="15" w:type="dxa"/>
        </w:tblCellMar>
        <w:tblLook w:val="04A0" w:firstRow="1" w:lastRow="0" w:firstColumn="1" w:lastColumn="0" w:noHBand="0" w:noVBand="1"/>
      </w:tblPr>
      <w:tblGrid>
        <w:gridCol w:w="38"/>
        <w:gridCol w:w="1627"/>
        <w:gridCol w:w="37"/>
        <w:gridCol w:w="123"/>
        <w:gridCol w:w="816"/>
        <w:gridCol w:w="36"/>
        <w:gridCol w:w="36"/>
        <w:gridCol w:w="36"/>
        <w:gridCol w:w="36"/>
        <w:gridCol w:w="123"/>
        <w:gridCol w:w="842"/>
        <w:gridCol w:w="36"/>
        <w:gridCol w:w="36"/>
        <w:gridCol w:w="36"/>
        <w:gridCol w:w="36"/>
        <w:gridCol w:w="123"/>
        <w:gridCol w:w="839"/>
        <w:gridCol w:w="36"/>
        <w:gridCol w:w="36"/>
        <w:gridCol w:w="36"/>
        <w:gridCol w:w="36"/>
        <w:gridCol w:w="123"/>
        <w:gridCol w:w="785"/>
        <w:gridCol w:w="36"/>
        <w:gridCol w:w="36"/>
        <w:gridCol w:w="36"/>
        <w:gridCol w:w="36"/>
        <w:gridCol w:w="123"/>
        <w:gridCol w:w="904"/>
        <w:gridCol w:w="36"/>
        <w:gridCol w:w="36"/>
        <w:gridCol w:w="36"/>
        <w:gridCol w:w="36"/>
        <w:gridCol w:w="123"/>
        <w:gridCol w:w="906"/>
        <w:gridCol w:w="36"/>
      </w:tblGrid>
      <w:tr w:rsidR="00611BDD" w14:paraId="54066B48" w14:textId="77777777">
        <w:tc>
          <w:tcPr>
            <w:tcW w:w="50" w:type="pct"/>
            <w:shd w:val="clear" w:color="auto" w:fill="auto"/>
            <w:vAlign w:val="bottom"/>
          </w:tcPr>
          <w:p w14:paraId="54066B24" w14:textId="77777777" w:rsidR="00611BDD" w:rsidRDefault="00611BDD">
            <w:pPr>
              <w:rPr>
                <w:rFonts w:ascii="宋体"/>
              </w:rPr>
            </w:pPr>
          </w:p>
        </w:tc>
        <w:tc>
          <w:tcPr>
            <w:tcW w:w="1481" w:type="pct"/>
            <w:shd w:val="clear" w:color="auto" w:fill="auto"/>
            <w:vAlign w:val="bottom"/>
          </w:tcPr>
          <w:p w14:paraId="54066B25" w14:textId="77777777" w:rsidR="00611BDD" w:rsidRDefault="00611BDD">
            <w:pPr>
              <w:rPr>
                <w:rFonts w:ascii="宋体"/>
              </w:rPr>
            </w:pPr>
          </w:p>
        </w:tc>
        <w:tc>
          <w:tcPr>
            <w:tcW w:w="5" w:type="pct"/>
            <w:shd w:val="clear" w:color="auto" w:fill="auto"/>
            <w:vAlign w:val="bottom"/>
          </w:tcPr>
          <w:p w14:paraId="54066B26" w14:textId="77777777" w:rsidR="00611BDD" w:rsidRDefault="00611BDD">
            <w:pPr>
              <w:rPr>
                <w:rFonts w:ascii="宋体"/>
              </w:rPr>
            </w:pPr>
          </w:p>
        </w:tc>
        <w:tc>
          <w:tcPr>
            <w:tcW w:w="50" w:type="pct"/>
            <w:shd w:val="clear" w:color="auto" w:fill="auto"/>
            <w:vAlign w:val="bottom"/>
          </w:tcPr>
          <w:p w14:paraId="54066B27" w14:textId="77777777" w:rsidR="00611BDD" w:rsidRDefault="00611BDD">
            <w:pPr>
              <w:rPr>
                <w:rFonts w:ascii="宋体"/>
              </w:rPr>
            </w:pPr>
          </w:p>
        </w:tc>
        <w:tc>
          <w:tcPr>
            <w:tcW w:w="481" w:type="pct"/>
            <w:shd w:val="clear" w:color="auto" w:fill="auto"/>
            <w:vAlign w:val="bottom"/>
          </w:tcPr>
          <w:p w14:paraId="54066B28" w14:textId="77777777" w:rsidR="00611BDD" w:rsidRDefault="00611BDD">
            <w:pPr>
              <w:rPr>
                <w:rFonts w:ascii="宋体"/>
              </w:rPr>
            </w:pPr>
          </w:p>
        </w:tc>
        <w:tc>
          <w:tcPr>
            <w:tcW w:w="5" w:type="pct"/>
            <w:shd w:val="clear" w:color="auto" w:fill="auto"/>
            <w:vAlign w:val="bottom"/>
          </w:tcPr>
          <w:p w14:paraId="54066B29" w14:textId="77777777" w:rsidR="00611BDD" w:rsidRDefault="00611BDD">
            <w:pPr>
              <w:rPr>
                <w:rFonts w:ascii="宋体"/>
              </w:rPr>
            </w:pPr>
          </w:p>
        </w:tc>
        <w:tc>
          <w:tcPr>
            <w:tcW w:w="5" w:type="pct"/>
            <w:shd w:val="clear" w:color="auto" w:fill="auto"/>
            <w:vAlign w:val="bottom"/>
          </w:tcPr>
          <w:p w14:paraId="54066B2A" w14:textId="77777777" w:rsidR="00611BDD" w:rsidRDefault="00611BDD">
            <w:pPr>
              <w:rPr>
                <w:rFonts w:ascii="宋体"/>
              </w:rPr>
            </w:pPr>
          </w:p>
        </w:tc>
        <w:tc>
          <w:tcPr>
            <w:tcW w:w="26" w:type="pct"/>
            <w:shd w:val="clear" w:color="auto" w:fill="auto"/>
            <w:vAlign w:val="bottom"/>
          </w:tcPr>
          <w:p w14:paraId="54066B2B" w14:textId="77777777" w:rsidR="00611BDD" w:rsidRDefault="00611BDD">
            <w:pPr>
              <w:rPr>
                <w:rFonts w:ascii="宋体"/>
              </w:rPr>
            </w:pPr>
          </w:p>
        </w:tc>
        <w:tc>
          <w:tcPr>
            <w:tcW w:w="5" w:type="pct"/>
            <w:shd w:val="clear" w:color="auto" w:fill="auto"/>
            <w:vAlign w:val="bottom"/>
          </w:tcPr>
          <w:p w14:paraId="54066B2C" w14:textId="77777777" w:rsidR="00611BDD" w:rsidRDefault="00611BDD">
            <w:pPr>
              <w:rPr>
                <w:rFonts w:ascii="宋体"/>
              </w:rPr>
            </w:pPr>
          </w:p>
        </w:tc>
        <w:tc>
          <w:tcPr>
            <w:tcW w:w="50" w:type="pct"/>
            <w:shd w:val="clear" w:color="auto" w:fill="auto"/>
            <w:vAlign w:val="bottom"/>
          </w:tcPr>
          <w:p w14:paraId="54066B2D" w14:textId="77777777" w:rsidR="00611BDD" w:rsidRDefault="00611BDD">
            <w:pPr>
              <w:rPr>
                <w:rFonts w:ascii="宋体"/>
              </w:rPr>
            </w:pPr>
          </w:p>
        </w:tc>
        <w:tc>
          <w:tcPr>
            <w:tcW w:w="496" w:type="pct"/>
            <w:shd w:val="clear" w:color="auto" w:fill="auto"/>
            <w:vAlign w:val="bottom"/>
          </w:tcPr>
          <w:p w14:paraId="54066B2E" w14:textId="77777777" w:rsidR="00611BDD" w:rsidRDefault="00611BDD">
            <w:pPr>
              <w:rPr>
                <w:rFonts w:ascii="宋体"/>
              </w:rPr>
            </w:pPr>
          </w:p>
        </w:tc>
        <w:tc>
          <w:tcPr>
            <w:tcW w:w="5" w:type="pct"/>
            <w:shd w:val="clear" w:color="auto" w:fill="auto"/>
            <w:vAlign w:val="bottom"/>
          </w:tcPr>
          <w:p w14:paraId="54066B2F" w14:textId="77777777" w:rsidR="00611BDD" w:rsidRDefault="00611BDD">
            <w:pPr>
              <w:rPr>
                <w:rFonts w:ascii="宋体"/>
              </w:rPr>
            </w:pPr>
          </w:p>
        </w:tc>
        <w:tc>
          <w:tcPr>
            <w:tcW w:w="5" w:type="pct"/>
            <w:shd w:val="clear" w:color="auto" w:fill="auto"/>
            <w:vAlign w:val="bottom"/>
          </w:tcPr>
          <w:p w14:paraId="54066B30" w14:textId="77777777" w:rsidR="00611BDD" w:rsidRDefault="00611BDD">
            <w:pPr>
              <w:rPr>
                <w:rFonts w:ascii="宋体"/>
              </w:rPr>
            </w:pPr>
          </w:p>
        </w:tc>
        <w:tc>
          <w:tcPr>
            <w:tcW w:w="26" w:type="pct"/>
            <w:shd w:val="clear" w:color="auto" w:fill="auto"/>
            <w:vAlign w:val="bottom"/>
          </w:tcPr>
          <w:p w14:paraId="54066B31" w14:textId="77777777" w:rsidR="00611BDD" w:rsidRDefault="00611BDD">
            <w:pPr>
              <w:rPr>
                <w:rFonts w:ascii="宋体"/>
              </w:rPr>
            </w:pPr>
          </w:p>
        </w:tc>
        <w:tc>
          <w:tcPr>
            <w:tcW w:w="5" w:type="pct"/>
            <w:shd w:val="clear" w:color="auto" w:fill="auto"/>
            <w:vAlign w:val="bottom"/>
          </w:tcPr>
          <w:p w14:paraId="54066B32" w14:textId="77777777" w:rsidR="00611BDD" w:rsidRDefault="00611BDD">
            <w:pPr>
              <w:rPr>
                <w:rFonts w:ascii="宋体"/>
              </w:rPr>
            </w:pPr>
          </w:p>
        </w:tc>
        <w:tc>
          <w:tcPr>
            <w:tcW w:w="50" w:type="pct"/>
            <w:shd w:val="clear" w:color="auto" w:fill="auto"/>
            <w:vAlign w:val="bottom"/>
          </w:tcPr>
          <w:p w14:paraId="54066B33" w14:textId="77777777" w:rsidR="00611BDD" w:rsidRDefault="00611BDD">
            <w:pPr>
              <w:rPr>
                <w:rFonts w:ascii="宋体"/>
              </w:rPr>
            </w:pPr>
          </w:p>
        </w:tc>
        <w:tc>
          <w:tcPr>
            <w:tcW w:w="481" w:type="pct"/>
            <w:shd w:val="clear" w:color="auto" w:fill="auto"/>
            <w:vAlign w:val="bottom"/>
          </w:tcPr>
          <w:p w14:paraId="54066B34" w14:textId="77777777" w:rsidR="00611BDD" w:rsidRDefault="00611BDD">
            <w:pPr>
              <w:rPr>
                <w:rFonts w:ascii="宋体"/>
              </w:rPr>
            </w:pPr>
          </w:p>
        </w:tc>
        <w:tc>
          <w:tcPr>
            <w:tcW w:w="5" w:type="pct"/>
            <w:shd w:val="clear" w:color="auto" w:fill="auto"/>
            <w:vAlign w:val="bottom"/>
          </w:tcPr>
          <w:p w14:paraId="54066B35" w14:textId="77777777" w:rsidR="00611BDD" w:rsidRDefault="00611BDD">
            <w:pPr>
              <w:rPr>
                <w:rFonts w:ascii="宋体"/>
              </w:rPr>
            </w:pPr>
          </w:p>
        </w:tc>
        <w:tc>
          <w:tcPr>
            <w:tcW w:w="5" w:type="pct"/>
            <w:shd w:val="clear" w:color="auto" w:fill="auto"/>
            <w:vAlign w:val="bottom"/>
          </w:tcPr>
          <w:p w14:paraId="54066B36" w14:textId="77777777" w:rsidR="00611BDD" w:rsidRDefault="00611BDD">
            <w:pPr>
              <w:rPr>
                <w:rFonts w:ascii="宋体"/>
              </w:rPr>
            </w:pPr>
          </w:p>
        </w:tc>
        <w:tc>
          <w:tcPr>
            <w:tcW w:w="26" w:type="pct"/>
            <w:shd w:val="clear" w:color="auto" w:fill="auto"/>
            <w:vAlign w:val="bottom"/>
          </w:tcPr>
          <w:p w14:paraId="54066B37" w14:textId="77777777" w:rsidR="00611BDD" w:rsidRDefault="00611BDD">
            <w:pPr>
              <w:rPr>
                <w:rFonts w:ascii="宋体"/>
              </w:rPr>
            </w:pPr>
          </w:p>
        </w:tc>
        <w:tc>
          <w:tcPr>
            <w:tcW w:w="5" w:type="pct"/>
            <w:shd w:val="clear" w:color="auto" w:fill="auto"/>
            <w:vAlign w:val="bottom"/>
          </w:tcPr>
          <w:p w14:paraId="54066B38" w14:textId="77777777" w:rsidR="00611BDD" w:rsidRDefault="00611BDD">
            <w:pPr>
              <w:rPr>
                <w:rFonts w:ascii="宋体"/>
              </w:rPr>
            </w:pPr>
          </w:p>
        </w:tc>
        <w:tc>
          <w:tcPr>
            <w:tcW w:w="50" w:type="pct"/>
            <w:shd w:val="clear" w:color="auto" w:fill="auto"/>
            <w:vAlign w:val="bottom"/>
          </w:tcPr>
          <w:p w14:paraId="54066B39" w14:textId="77777777" w:rsidR="00611BDD" w:rsidRDefault="00611BDD">
            <w:pPr>
              <w:rPr>
                <w:rFonts w:ascii="宋体"/>
              </w:rPr>
            </w:pPr>
          </w:p>
        </w:tc>
        <w:tc>
          <w:tcPr>
            <w:tcW w:w="481" w:type="pct"/>
            <w:shd w:val="clear" w:color="auto" w:fill="auto"/>
            <w:vAlign w:val="bottom"/>
          </w:tcPr>
          <w:p w14:paraId="54066B3A" w14:textId="77777777" w:rsidR="00611BDD" w:rsidRDefault="00611BDD">
            <w:pPr>
              <w:rPr>
                <w:rFonts w:ascii="宋体"/>
              </w:rPr>
            </w:pPr>
          </w:p>
        </w:tc>
        <w:tc>
          <w:tcPr>
            <w:tcW w:w="5" w:type="pct"/>
            <w:shd w:val="clear" w:color="auto" w:fill="auto"/>
            <w:vAlign w:val="bottom"/>
          </w:tcPr>
          <w:p w14:paraId="54066B3B" w14:textId="77777777" w:rsidR="00611BDD" w:rsidRDefault="00611BDD">
            <w:pPr>
              <w:rPr>
                <w:rFonts w:ascii="宋体"/>
              </w:rPr>
            </w:pPr>
          </w:p>
        </w:tc>
        <w:tc>
          <w:tcPr>
            <w:tcW w:w="5" w:type="pct"/>
            <w:shd w:val="clear" w:color="auto" w:fill="auto"/>
            <w:vAlign w:val="bottom"/>
          </w:tcPr>
          <w:p w14:paraId="54066B3C" w14:textId="77777777" w:rsidR="00611BDD" w:rsidRDefault="00611BDD">
            <w:pPr>
              <w:rPr>
                <w:rFonts w:ascii="宋体"/>
              </w:rPr>
            </w:pPr>
          </w:p>
        </w:tc>
        <w:tc>
          <w:tcPr>
            <w:tcW w:w="26" w:type="pct"/>
            <w:shd w:val="clear" w:color="auto" w:fill="auto"/>
            <w:vAlign w:val="bottom"/>
          </w:tcPr>
          <w:p w14:paraId="54066B3D" w14:textId="77777777" w:rsidR="00611BDD" w:rsidRDefault="00611BDD">
            <w:pPr>
              <w:rPr>
                <w:rFonts w:ascii="宋体"/>
              </w:rPr>
            </w:pPr>
          </w:p>
        </w:tc>
        <w:tc>
          <w:tcPr>
            <w:tcW w:w="5" w:type="pct"/>
            <w:shd w:val="clear" w:color="auto" w:fill="auto"/>
            <w:vAlign w:val="bottom"/>
          </w:tcPr>
          <w:p w14:paraId="54066B3E" w14:textId="77777777" w:rsidR="00611BDD" w:rsidRDefault="00611BDD">
            <w:pPr>
              <w:rPr>
                <w:rFonts w:ascii="宋体"/>
              </w:rPr>
            </w:pPr>
          </w:p>
        </w:tc>
        <w:tc>
          <w:tcPr>
            <w:tcW w:w="50" w:type="pct"/>
            <w:shd w:val="clear" w:color="auto" w:fill="auto"/>
            <w:vAlign w:val="bottom"/>
          </w:tcPr>
          <w:p w14:paraId="54066B3F" w14:textId="77777777" w:rsidR="00611BDD" w:rsidRDefault="00611BDD">
            <w:pPr>
              <w:rPr>
                <w:rFonts w:ascii="宋体"/>
              </w:rPr>
            </w:pPr>
          </w:p>
        </w:tc>
        <w:tc>
          <w:tcPr>
            <w:tcW w:w="511" w:type="pct"/>
            <w:shd w:val="clear" w:color="auto" w:fill="auto"/>
            <w:vAlign w:val="bottom"/>
          </w:tcPr>
          <w:p w14:paraId="54066B40" w14:textId="77777777" w:rsidR="00611BDD" w:rsidRDefault="00611BDD">
            <w:pPr>
              <w:rPr>
                <w:rFonts w:ascii="宋体"/>
              </w:rPr>
            </w:pPr>
          </w:p>
        </w:tc>
        <w:tc>
          <w:tcPr>
            <w:tcW w:w="5" w:type="pct"/>
            <w:shd w:val="clear" w:color="auto" w:fill="auto"/>
            <w:vAlign w:val="bottom"/>
          </w:tcPr>
          <w:p w14:paraId="54066B41" w14:textId="77777777" w:rsidR="00611BDD" w:rsidRDefault="00611BDD">
            <w:pPr>
              <w:rPr>
                <w:rFonts w:ascii="宋体"/>
              </w:rPr>
            </w:pPr>
          </w:p>
        </w:tc>
        <w:tc>
          <w:tcPr>
            <w:tcW w:w="5" w:type="pct"/>
            <w:shd w:val="clear" w:color="auto" w:fill="auto"/>
            <w:vAlign w:val="bottom"/>
          </w:tcPr>
          <w:p w14:paraId="54066B42" w14:textId="77777777" w:rsidR="00611BDD" w:rsidRDefault="00611BDD">
            <w:pPr>
              <w:rPr>
                <w:rFonts w:ascii="宋体"/>
              </w:rPr>
            </w:pPr>
          </w:p>
        </w:tc>
        <w:tc>
          <w:tcPr>
            <w:tcW w:w="26" w:type="pct"/>
            <w:shd w:val="clear" w:color="auto" w:fill="auto"/>
            <w:vAlign w:val="bottom"/>
          </w:tcPr>
          <w:p w14:paraId="54066B43" w14:textId="77777777" w:rsidR="00611BDD" w:rsidRDefault="00611BDD">
            <w:pPr>
              <w:rPr>
                <w:rFonts w:ascii="宋体"/>
              </w:rPr>
            </w:pPr>
          </w:p>
        </w:tc>
        <w:tc>
          <w:tcPr>
            <w:tcW w:w="5" w:type="pct"/>
            <w:shd w:val="clear" w:color="auto" w:fill="auto"/>
            <w:vAlign w:val="bottom"/>
          </w:tcPr>
          <w:p w14:paraId="54066B44" w14:textId="77777777" w:rsidR="00611BDD" w:rsidRDefault="00611BDD">
            <w:pPr>
              <w:rPr>
                <w:rFonts w:ascii="宋体"/>
              </w:rPr>
            </w:pPr>
          </w:p>
        </w:tc>
        <w:tc>
          <w:tcPr>
            <w:tcW w:w="50" w:type="pct"/>
            <w:shd w:val="clear" w:color="auto" w:fill="auto"/>
            <w:vAlign w:val="bottom"/>
          </w:tcPr>
          <w:p w14:paraId="54066B45" w14:textId="77777777" w:rsidR="00611BDD" w:rsidRDefault="00611BDD">
            <w:pPr>
              <w:rPr>
                <w:rFonts w:ascii="宋体"/>
              </w:rPr>
            </w:pPr>
          </w:p>
        </w:tc>
        <w:tc>
          <w:tcPr>
            <w:tcW w:w="496" w:type="pct"/>
            <w:shd w:val="clear" w:color="auto" w:fill="auto"/>
            <w:vAlign w:val="bottom"/>
          </w:tcPr>
          <w:p w14:paraId="54066B46" w14:textId="77777777" w:rsidR="00611BDD" w:rsidRDefault="00611BDD">
            <w:pPr>
              <w:rPr>
                <w:rFonts w:ascii="宋体"/>
              </w:rPr>
            </w:pPr>
          </w:p>
        </w:tc>
        <w:tc>
          <w:tcPr>
            <w:tcW w:w="5" w:type="pct"/>
            <w:shd w:val="clear" w:color="auto" w:fill="auto"/>
            <w:vAlign w:val="bottom"/>
          </w:tcPr>
          <w:p w14:paraId="54066B47" w14:textId="77777777" w:rsidR="00611BDD" w:rsidRDefault="00611BDD">
            <w:pPr>
              <w:rPr>
                <w:rFonts w:ascii="宋体"/>
              </w:rPr>
            </w:pPr>
          </w:p>
        </w:tc>
      </w:tr>
      <w:tr w:rsidR="00611BDD" w14:paraId="54066B4B" w14:textId="77777777">
        <w:tc>
          <w:tcPr>
            <w:tcW w:w="0" w:type="auto"/>
            <w:gridSpan w:val="3"/>
            <w:shd w:val="clear" w:color="auto" w:fill="auto"/>
            <w:tcMar>
              <w:top w:w="40" w:type="dxa"/>
              <w:left w:w="20" w:type="dxa"/>
              <w:bottom w:w="40" w:type="dxa"/>
              <w:right w:w="20" w:type="dxa"/>
            </w:tcMar>
            <w:vAlign w:val="bottom"/>
          </w:tcPr>
          <w:p w14:paraId="54066B49" w14:textId="77777777" w:rsidR="00611BDD" w:rsidRDefault="002E18C7">
            <w:pPr>
              <w:textAlignment w:val="bottom"/>
            </w:pPr>
            <w:r>
              <w:rPr>
                <w:rFonts w:ascii="sans-serif" w:eastAsia="sans-serif" w:hAnsi="sans-serif" w:cs="sans-serif"/>
                <w:color w:val="000000"/>
                <w:sz w:val="20"/>
                <w:szCs w:val="20"/>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4066B4A" w14:textId="77777777" w:rsidR="00611BDD" w:rsidRDefault="002E18C7">
            <w:pPr>
              <w:jc w:val="center"/>
              <w:textAlignment w:val="bottom"/>
            </w:pPr>
            <w:r>
              <w:rPr>
                <w:rFonts w:ascii="sans-serif" w:eastAsia="sans-serif" w:hAnsi="sans-serif" w:cs="sans-serif"/>
                <w:b/>
                <w:bCs/>
                <w:color w:val="000000"/>
                <w:sz w:val="20"/>
                <w:szCs w:val="20"/>
              </w:rPr>
              <w:t>August 1, 2021</w:t>
            </w:r>
          </w:p>
        </w:tc>
      </w:tr>
      <w:tr w:rsidR="00611BDD" w14:paraId="54066B56" w14:textId="77777777">
        <w:trPr>
          <w:trHeight w:val="300"/>
        </w:trPr>
        <w:tc>
          <w:tcPr>
            <w:tcW w:w="0" w:type="auto"/>
            <w:gridSpan w:val="3"/>
            <w:shd w:val="clear" w:color="auto" w:fill="auto"/>
            <w:tcMar>
              <w:top w:w="0" w:type="dxa"/>
              <w:left w:w="20" w:type="dxa"/>
              <w:bottom w:w="0" w:type="dxa"/>
              <w:right w:w="20" w:type="dxa"/>
            </w:tcMar>
            <w:vAlign w:val="bottom"/>
          </w:tcPr>
          <w:p w14:paraId="54066B4C" w14:textId="77777777" w:rsidR="00611BDD" w:rsidRDefault="00611BD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4066B4D" w14:textId="77777777" w:rsidR="00611BDD" w:rsidRDefault="002E18C7">
            <w:pPr>
              <w:jc w:val="center"/>
              <w:textAlignment w:val="bottom"/>
            </w:pPr>
            <w:r>
              <w:rPr>
                <w:rFonts w:ascii="sans-serif" w:eastAsia="sans-serif" w:hAnsi="sans-serif" w:cs="sans-serif"/>
                <w:b/>
                <w:bCs/>
                <w:color w:val="000000"/>
                <w:sz w:val="20"/>
                <w:szCs w:val="20"/>
              </w:rPr>
              <w:t>Amortized</w:t>
            </w:r>
            <w:r>
              <w:rPr>
                <w:rFonts w:ascii="sans-serif" w:eastAsia="sans-serif" w:hAnsi="sans-serif" w:cs="sans-serif"/>
                <w:b/>
                <w:bCs/>
                <w:color w:val="000000"/>
                <w:sz w:val="20"/>
                <w:szCs w:val="20"/>
              </w:rPr>
              <w:b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B4E" w14:textId="77777777" w:rsidR="00611BDD" w:rsidRDefault="00611BD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4066B4F" w14:textId="77777777" w:rsidR="00611BDD" w:rsidRDefault="002E18C7">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Gain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B50" w14:textId="77777777" w:rsidR="00611BDD" w:rsidRDefault="00611BD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4066B51" w14:textId="77777777" w:rsidR="00611BDD" w:rsidRDefault="002E18C7">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Loss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B52" w14:textId="77777777" w:rsidR="00611BDD" w:rsidRDefault="00611BD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4066B53" w14:textId="77777777" w:rsidR="00611BDD" w:rsidRDefault="002E18C7">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B54" w14:textId="77777777" w:rsidR="00611BDD" w:rsidRDefault="00611BDD">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4066B55" w14:textId="77777777" w:rsidR="00611BDD" w:rsidRDefault="002E18C7">
            <w:pPr>
              <w:jc w:val="center"/>
              <w:textAlignment w:val="bottom"/>
            </w:pPr>
            <w:r>
              <w:rPr>
                <w:rFonts w:ascii="sans-serif" w:eastAsia="sans-serif" w:hAnsi="sans-serif" w:cs="sans-serif"/>
                <w:b/>
                <w:bCs/>
                <w:color w:val="000000"/>
                <w:sz w:val="20"/>
                <w:szCs w:val="20"/>
              </w:rPr>
              <w:t>Reported as</w:t>
            </w:r>
          </w:p>
        </w:tc>
      </w:tr>
      <w:tr w:rsidR="00611BDD" w14:paraId="54066B63" w14:textId="77777777">
        <w:trPr>
          <w:trHeight w:val="520"/>
        </w:trPr>
        <w:tc>
          <w:tcPr>
            <w:tcW w:w="0" w:type="auto"/>
            <w:gridSpan w:val="3"/>
            <w:shd w:val="clear" w:color="auto" w:fill="auto"/>
            <w:tcMar>
              <w:top w:w="40" w:type="dxa"/>
              <w:left w:w="20" w:type="dxa"/>
              <w:bottom w:w="40" w:type="dxa"/>
              <w:right w:w="20" w:type="dxa"/>
            </w:tcMar>
            <w:vAlign w:val="bottom"/>
          </w:tcPr>
          <w:p w14:paraId="54066B57"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4066B58" w14:textId="77777777" w:rsidR="00611BDD" w:rsidRDefault="00611BDD">
            <w:pPr>
              <w:jc w:val="center"/>
              <w:rPr>
                <w:rFonts w:ascii="宋体"/>
              </w:rPr>
            </w:pPr>
          </w:p>
        </w:tc>
        <w:tc>
          <w:tcPr>
            <w:tcW w:w="0" w:type="auto"/>
            <w:gridSpan w:val="3"/>
            <w:shd w:val="clear" w:color="auto" w:fill="auto"/>
            <w:tcMar>
              <w:top w:w="0" w:type="dxa"/>
              <w:left w:w="20" w:type="dxa"/>
              <w:bottom w:w="0" w:type="dxa"/>
              <w:right w:w="20" w:type="dxa"/>
            </w:tcMar>
            <w:vAlign w:val="bottom"/>
          </w:tcPr>
          <w:p w14:paraId="54066B59" w14:textId="77777777" w:rsidR="00611BDD" w:rsidRDefault="00611BDD">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4066B5A" w14:textId="77777777" w:rsidR="00611BDD" w:rsidRDefault="00611BDD">
            <w:pPr>
              <w:jc w:val="center"/>
              <w:rPr>
                <w:rFonts w:ascii="宋体"/>
              </w:rPr>
            </w:pPr>
          </w:p>
        </w:tc>
        <w:tc>
          <w:tcPr>
            <w:tcW w:w="0" w:type="auto"/>
            <w:gridSpan w:val="3"/>
            <w:shd w:val="clear" w:color="auto" w:fill="auto"/>
            <w:tcMar>
              <w:top w:w="0" w:type="dxa"/>
              <w:left w:w="20" w:type="dxa"/>
              <w:bottom w:w="0" w:type="dxa"/>
              <w:right w:w="20" w:type="dxa"/>
            </w:tcMar>
            <w:vAlign w:val="bottom"/>
          </w:tcPr>
          <w:p w14:paraId="54066B5B" w14:textId="77777777" w:rsidR="00611BDD" w:rsidRDefault="00611BDD">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4066B5C" w14:textId="77777777" w:rsidR="00611BDD" w:rsidRDefault="00611BDD">
            <w:pPr>
              <w:jc w:val="center"/>
              <w:rPr>
                <w:rFonts w:ascii="宋体"/>
              </w:rPr>
            </w:pPr>
          </w:p>
        </w:tc>
        <w:tc>
          <w:tcPr>
            <w:tcW w:w="0" w:type="auto"/>
            <w:gridSpan w:val="3"/>
            <w:shd w:val="clear" w:color="auto" w:fill="auto"/>
            <w:tcMar>
              <w:top w:w="0" w:type="dxa"/>
              <w:left w:w="20" w:type="dxa"/>
              <w:bottom w:w="0" w:type="dxa"/>
              <w:right w:w="20" w:type="dxa"/>
            </w:tcMar>
            <w:vAlign w:val="bottom"/>
          </w:tcPr>
          <w:p w14:paraId="54066B5D" w14:textId="77777777" w:rsidR="00611BDD" w:rsidRDefault="00611BDD">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4066B5E" w14:textId="77777777" w:rsidR="00611BDD" w:rsidRDefault="00611BDD">
            <w:pPr>
              <w:jc w:val="center"/>
              <w:rPr>
                <w:rFonts w:ascii="宋体"/>
              </w:rPr>
            </w:pPr>
          </w:p>
        </w:tc>
        <w:tc>
          <w:tcPr>
            <w:tcW w:w="0" w:type="auto"/>
            <w:gridSpan w:val="3"/>
            <w:shd w:val="clear" w:color="auto" w:fill="auto"/>
            <w:tcMar>
              <w:top w:w="0" w:type="dxa"/>
              <w:left w:w="20" w:type="dxa"/>
              <w:bottom w:w="0" w:type="dxa"/>
              <w:right w:w="20" w:type="dxa"/>
            </w:tcMar>
            <w:vAlign w:val="bottom"/>
          </w:tcPr>
          <w:p w14:paraId="54066B5F"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B60" w14:textId="77777777" w:rsidR="00611BDD" w:rsidRDefault="002E18C7">
            <w:pPr>
              <w:jc w:val="center"/>
              <w:textAlignment w:val="bottom"/>
            </w:pPr>
            <w:r>
              <w:rPr>
                <w:rFonts w:ascii="sans-serif" w:eastAsia="sans-serif" w:hAnsi="sans-serif" w:cs="sans-serif"/>
                <w:b/>
                <w:bCs/>
                <w:color w:val="000000"/>
                <w:sz w:val="20"/>
                <w:szCs w:val="20"/>
              </w:rPr>
              <w:t>Cash Equivalents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B61"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B62" w14:textId="77777777" w:rsidR="00611BDD" w:rsidRDefault="002E18C7">
            <w:pPr>
              <w:jc w:val="center"/>
              <w:textAlignment w:val="bottom"/>
            </w:pPr>
            <w:r>
              <w:rPr>
                <w:rFonts w:ascii="sans-serif" w:eastAsia="sans-serif" w:hAnsi="sans-serif" w:cs="sans-serif"/>
                <w:b/>
                <w:bCs/>
                <w:color w:val="000000"/>
                <w:sz w:val="20"/>
                <w:szCs w:val="20"/>
              </w:rPr>
              <w:t>Marketable Securities</w:t>
            </w:r>
          </w:p>
        </w:tc>
      </w:tr>
      <w:tr w:rsidR="00611BDD" w14:paraId="54066B70" w14:textId="77777777">
        <w:trPr>
          <w:trHeight w:val="60"/>
        </w:trPr>
        <w:tc>
          <w:tcPr>
            <w:tcW w:w="0" w:type="auto"/>
            <w:gridSpan w:val="3"/>
            <w:shd w:val="clear" w:color="auto" w:fill="auto"/>
            <w:tcMar>
              <w:top w:w="0" w:type="dxa"/>
              <w:left w:w="20" w:type="dxa"/>
              <w:bottom w:w="0" w:type="dxa"/>
              <w:right w:w="20" w:type="dxa"/>
            </w:tcMar>
            <w:vAlign w:val="bottom"/>
          </w:tcPr>
          <w:p w14:paraId="54066B64"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B65"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B66"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B67"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B68"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B69"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B6A"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B6B"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B6C"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B6D"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B6E"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B6F" w14:textId="77777777" w:rsidR="00611BDD" w:rsidRDefault="00611BDD">
            <w:pPr>
              <w:rPr>
                <w:rFonts w:ascii="宋体"/>
              </w:rPr>
            </w:pPr>
          </w:p>
        </w:tc>
      </w:tr>
      <w:tr w:rsidR="00611BDD" w14:paraId="54066B73" w14:textId="77777777">
        <w:tc>
          <w:tcPr>
            <w:tcW w:w="0" w:type="auto"/>
            <w:gridSpan w:val="3"/>
            <w:shd w:val="clear" w:color="auto" w:fill="auto"/>
            <w:tcMar>
              <w:top w:w="40" w:type="dxa"/>
              <w:left w:w="20" w:type="dxa"/>
              <w:bottom w:w="40" w:type="dxa"/>
              <w:right w:w="20" w:type="dxa"/>
            </w:tcMar>
            <w:vAlign w:val="bottom"/>
          </w:tcPr>
          <w:p w14:paraId="54066B71" w14:textId="77777777" w:rsidR="00611BDD" w:rsidRDefault="002E18C7">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54066B72" w14:textId="77777777" w:rsidR="00611BDD" w:rsidRDefault="002E18C7">
            <w:pPr>
              <w:jc w:val="center"/>
              <w:textAlignment w:val="bottom"/>
            </w:pPr>
            <w:r>
              <w:rPr>
                <w:rFonts w:ascii="sans-serif" w:eastAsia="sans-serif" w:hAnsi="sans-serif" w:cs="sans-serif"/>
                <w:i/>
                <w:iCs/>
                <w:color w:val="000000"/>
                <w:sz w:val="20"/>
                <w:szCs w:val="20"/>
              </w:rPr>
              <w:t>(In millions)</w:t>
            </w:r>
          </w:p>
        </w:tc>
      </w:tr>
      <w:tr w:rsidR="00611BDD" w14:paraId="54066B8C" w14:textId="77777777">
        <w:tc>
          <w:tcPr>
            <w:tcW w:w="0" w:type="auto"/>
            <w:gridSpan w:val="3"/>
            <w:shd w:val="clear" w:color="auto" w:fill="E2EFD9"/>
            <w:tcMar>
              <w:top w:w="40" w:type="dxa"/>
              <w:left w:w="20" w:type="dxa"/>
              <w:bottom w:w="40" w:type="dxa"/>
              <w:right w:w="20" w:type="dxa"/>
            </w:tcMar>
            <w:vAlign w:val="bottom"/>
          </w:tcPr>
          <w:p w14:paraId="54066B74" w14:textId="77777777" w:rsidR="00611BDD" w:rsidRDefault="002E18C7">
            <w:pPr>
              <w:textAlignment w:val="bottom"/>
            </w:pPr>
            <w:r>
              <w:rPr>
                <w:rFonts w:ascii="sans-serif" w:eastAsia="sans-serif" w:hAnsi="sans-serif" w:cs="sans-serif"/>
                <w:color w:val="000000"/>
                <w:sz w:val="20"/>
                <w:szCs w:val="20"/>
              </w:rPr>
              <w:t>Corporate debt securities</w:t>
            </w:r>
          </w:p>
        </w:tc>
        <w:tc>
          <w:tcPr>
            <w:tcW w:w="0" w:type="auto"/>
            <w:shd w:val="clear" w:color="auto" w:fill="E2EFD9"/>
            <w:tcMar>
              <w:top w:w="40" w:type="dxa"/>
              <w:left w:w="20" w:type="dxa"/>
              <w:bottom w:w="40" w:type="dxa"/>
              <w:right w:w="0" w:type="dxa"/>
            </w:tcMar>
            <w:vAlign w:val="bottom"/>
          </w:tcPr>
          <w:p w14:paraId="54066B75"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B76" w14:textId="77777777" w:rsidR="00611BDD" w:rsidRDefault="002E18C7">
            <w:pPr>
              <w:jc w:val="right"/>
              <w:textAlignment w:val="bottom"/>
            </w:pPr>
            <w:r>
              <w:rPr>
                <w:rFonts w:ascii="sans-serif" w:eastAsia="sans-serif" w:hAnsi="sans-serif" w:cs="sans-serif"/>
                <w:color w:val="000000"/>
                <w:sz w:val="20"/>
                <w:szCs w:val="20"/>
              </w:rPr>
              <w:t>8,610 </w:t>
            </w:r>
          </w:p>
        </w:tc>
        <w:tc>
          <w:tcPr>
            <w:tcW w:w="0" w:type="auto"/>
            <w:shd w:val="clear" w:color="auto" w:fill="E2EFD9"/>
            <w:tcMar>
              <w:top w:w="40" w:type="dxa"/>
              <w:left w:w="0" w:type="dxa"/>
              <w:bottom w:w="40" w:type="dxa"/>
              <w:right w:w="20" w:type="dxa"/>
            </w:tcMar>
            <w:vAlign w:val="bottom"/>
          </w:tcPr>
          <w:p w14:paraId="54066B77"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B78"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B79"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B7A" w14:textId="77777777" w:rsidR="00611BDD" w:rsidRDefault="002E18C7">
            <w:pPr>
              <w:jc w:val="right"/>
              <w:textAlignment w:val="bottom"/>
            </w:pPr>
            <w:r>
              <w:rPr>
                <w:rFonts w:ascii="sans-serif" w:eastAsia="sans-serif" w:hAnsi="sans-serif" w:cs="sans-serif"/>
                <w:color w:val="000000"/>
                <w:sz w:val="20"/>
                <w:szCs w:val="20"/>
              </w:rPr>
              <w:t>2 </w:t>
            </w:r>
          </w:p>
        </w:tc>
        <w:tc>
          <w:tcPr>
            <w:tcW w:w="0" w:type="auto"/>
            <w:shd w:val="clear" w:color="auto" w:fill="E2EFD9"/>
            <w:tcMar>
              <w:top w:w="40" w:type="dxa"/>
              <w:left w:w="0" w:type="dxa"/>
              <w:bottom w:w="40" w:type="dxa"/>
              <w:right w:w="20" w:type="dxa"/>
            </w:tcMar>
            <w:vAlign w:val="bottom"/>
          </w:tcPr>
          <w:p w14:paraId="54066B7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B7C"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B7D"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B7E" w14:textId="77777777" w:rsidR="00611BDD" w:rsidRDefault="002E18C7">
            <w:pPr>
              <w:jc w:val="right"/>
              <w:textAlignment w:val="bottom"/>
            </w:pPr>
            <w:r>
              <w:rPr>
                <w:rFonts w:ascii="sans-serif" w:eastAsia="sans-serif" w:hAnsi="sans-serif" w:cs="sans-serif"/>
                <w:color w:val="000000"/>
                <w:sz w:val="20"/>
                <w:szCs w:val="20"/>
              </w:rPr>
              <w:t>(1)</w:t>
            </w:r>
          </w:p>
        </w:tc>
        <w:tc>
          <w:tcPr>
            <w:tcW w:w="0" w:type="auto"/>
            <w:shd w:val="clear" w:color="auto" w:fill="E2EFD9"/>
            <w:tcMar>
              <w:top w:w="40" w:type="dxa"/>
              <w:left w:w="0" w:type="dxa"/>
              <w:bottom w:w="40" w:type="dxa"/>
              <w:right w:w="20" w:type="dxa"/>
            </w:tcMar>
            <w:vAlign w:val="bottom"/>
          </w:tcPr>
          <w:p w14:paraId="54066B7F"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B80"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B81"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B82" w14:textId="77777777" w:rsidR="00611BDD" w:rsidRDefault="002E18C7">
            <w:pPr>
              <w:jc w:val="right"/>
              <w:textAlignment w:val="bottom"/>
            </w:pPr>
            <w:r>
              <w:rPr>
                <w:rFonts w:ascii="sans-serif" w:eastAsia="sans-serif" w:hAnsi="sans-serif" w:cs="sans-serif"/>
                <w:color w:val="000000"/>
                <w:sz w:val="20"/>
                <w:szCs w:val="20"/>
              </w:rPr>
              <w:t>8,611 </w:t>
            </w:r>
          </w:p>
        </w:tc>
        <w:tc>
          <w:tcPr>
            <w:tcW w:w="0" w:type="auto"/>
            <w:shd w:val="clear" w:color="auto" w:fill="E2EFD9"/>
            <w:tcMar>
              <w:top w:w="40" w:type="dxa"/>
              <w:left w:w="0" w:type="dxa"/>
              <w:bottom w:w="40" w:type="dxa"/>
              <w:right w:w="20" w:type="dxa"/>
            </w:tcMar>
            <w:vAlign w:val="bottom"/>
          </w:tcPr>
          <w:p w14:paraId="54066B8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B84"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B85"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B86" w14:textId="77777777" w:rsidR="00611BDD" w:rsidRDefault="002E18C7">
            <w:pPr>
              <w:jc w:val="right"/>
              <w:textAlignment w:val="bottom"/>
            </w:pPr>
            <w:r>
              <w:rPr>
                <w:rFonts w:ascii="sans-serif" w:eastAsia="sans-serif" w:hAnsi="sans-serif" w:cs="sans-serif"/>
                <w:color w:val="000000"/>
                <w:sz w:val="20"/>
                <w:szCs w:val="20"/>
              </w:rPr>
              <w:t>1,825 </w:t>
            </w:r>
          </w:p>
        </w:tc>
        <w:tc>
          <w:tcPr>
            <w:tcW w:w="0" w:type="auto"/>
            <w:shd w:val="clear" w:color="auto" w:fill="E2EFD9"/>
            <w:tcMar>
              <w:top w:w="40" w:type="dxa"/>
              <w:left w:w="0" w:type="dxa"/>
              <w:bottom w:w="40" w:type="dxa"/>
              <w:right w:w="20" w:type="dxa"/>
            </w:tcMar>
            <w:vAlign w:val="bottom"/>
          </w:tcPr>
          <w:p w14:paraId="54066B87"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B88"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B89"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B8A" w14:textId="77777777" w:rsidR="00611BDD" w:rsidRDefault="002E18C7">
            <w:pPr>
              <w:jc w:val="right"/>
              <w:textAlignment w:val="bottom"/>
            </w:pPr>
            <w:r>
              <w:rPr>
                <w:rFonts w:ascii="sans-serif" w:eastAsia="sans-serif" w:hAnsi="sans-serif" w:cs="sans-serif"/>
                <w:color w:val="000000"/>
                <w:sz w:val="20"/>
                <w:szCs w:val="20"/>
              </w:rPr>
              <w:t>6,786 </w:t>
            </w:r>
          </w:p>
        </w:tc>
        <w:tc>
          <w:tcPr>
            <w:tcW w:w="0" w:type="auto"/>
            <w:shd w:val="clear" w:color="auto" w:fill="E2EFD9"/>
            <w:tcMar>
              <w:top w:w="40" w:type="dxa"/>
              <w:left w:w="0" w:type="dxa"/>
              <w:bottom w:w="40" w:type="dxa"/>
              <w:right w:w="20" w:type="dxa"/>
            </w:tcMar>
            <w:vAlign w:val="bottom"/>
          </w:tcPr>
          <w:p w14:paraId="54066B8B" w14:textId="77777777" w:rsidR="00611BDD" w:rsidRDefault="00611BDD">
            <w:pPr>
              <w:jc w:val="right"/>
              <w:rPr>
                <w:rFonts w:ascii="宋体"/>
              </w:rPr>
            </w:pPr>
          </w:p>
        </w:tc>
      </w:tr>
      <w:tr w:rsidR="00611BDD" w14:paraId="54066B9F" w14:textId="77777777">
        <w:tc>
          <w:tcPr>
            <w:tcW w:w="0" w:type="auto"/>
            <w:gridSpan w:val="3"/>
            <w:shd w:val="clear" w:color="auto" w:fill="FFFFFF"/>
            <w:tcMar>
              <w:top w:w="40" w:type="dxa"/>
              <w:left w:w="20" w:type="dxa"/>
              <w:bottom w:w="40" w:type="dxa"/>
              <w:right w:w="20" w:type="dxa"/>
            </w:tcMar>
            <w:vAlign w:val="bottom"/>
          </w:tcPr>
          <w:p w14:paraId="54066B8D" w14:textId="77777777" w:rsidR="00611BDD" w:rsidRDefault="002E18C7">
            <w:pPr>
              <w:textAlignment w:val="bottom"/>
            </w:pPr>
            <w:r>
              <w:rPr>
                <w:rFonts w:ascii="sans-serif" w:eastAsia="sans-serif" w:hAnsi="sans-serif" w:cs="sans-serif"/>
                <w:color w:val="000000"/>
                <w:sz w:val="20"/>
                <w:szCs w:val="20"/>
              </w:rPr>
              <w:t>Debt securi</w:t>
            </w:r>
            <w:r>
              <w:rPr>
                <w:rFonts w:ascii="sans-serif" w:eastAsia="sans-serif" w:hAnsi="sans-serif" w:cs="sans-serif"/>
                <w:color w:val="000000"/>
                <w:sz w:val="20"/>
                <w:szCs w:val="20"/>
              </w:rPr>
              <w:t>ties issued by the United States Treasury</w:t>
            </w:r>
          </w:p>
        </w:tc>
        <w:tc>
          <w:tcPr>
            <w:tcW w:w="0" w:type="auto"/>
            <w:gridSpan w:val="2"/>
            <w:shd w:val="clear" w:color="auto" w:fill="FFFFFF"/>
            <w:tcMar>
              <w:top w:w="40" w:type="dxa"/>
              <w:left w:w="20" w:type="dxa"/>
              <w:bottom w:w="40" w:type="dxa"/>
              <w:right w:w="0" w:type="dxa"/>
            </w:tcMar>
            <w:vAlign w:val="bottom"/>
          </w:tcPr>
          <w:p w14:paraId="54066B8E" w14:textId="77777777" w:rsidR="00611BDD" w:rsidRDefault="002E18C7">
            <w:pPr>
              <w:jc w:val="right"/>
              <w:textAlignment w:val="bottom"/>
            </w:pPr>
            <w:r>
              <w:rPr>
                <w:rFonts w:ascii="sans-serif" w:eastAsia="sans-serif" w:hAnsi="sans-serif" w:cs="sans-serif"/>
                <w:color w:val="000000"/>
                <w:sz w:val="20"/>
                <w:szCs w:val="20"/>
              </w:rPr>
              <w:t>5,079 </w:t>
            </w:r>
          </w:p>
        </w:tc>
        <w:tc>
          <w:tcPr>
            <w:tcW w:w="0" w:type="auto"/>
            <w:shd w:val="clear" w:color="auto" w:fill="FFFFFF"/>
            <w:tcMar>
              <w:top w:w="40" w:type="dxa"/>
              <w:left w:w="0" w:type="dxa"/>
              <w:bottom w:w="40" w:type="dxa"/>
              <w:right w:w="20" w:type="dxa"/>
            </w:tcMar>
            <w:vAlign w:val="bottom"/>
          </w:tcPr>
          <w:p w14:paraId="54066B8F"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B90"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B91" w14:textId="77777777" w:rsidR="00611BDD" w:rsidRDefault="002E18C7">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54066B92"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B93"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B94"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4066B95"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B96"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B97" w14:textId="77777777" w:rsidR="00611BDD" w:rsidRDefault="002E18C7">
            <w:pPr>
              <w:jc w:val="right"/>
              <w:textAlignment w:val="bottom"/>
            </w:pPr>
            <w:r>
              <w:rPr>
                <w:rFonts w:ascii="sans-serif" w:eastAsia="sans-serif" w:hAnsi="sans-serif" w:cs="sans-serif"/>
                <w:color w:val="000000"/>
                <w:sz w:val="20"/>
                <w:szCs w:val="20"/>
              </w:rPr>
              <w:t>5,080 </w:t>
            </w:r>
          </w:p>
        </w:tc>
        <w:tc>
          <w:tcPr>
            <w:tcW w:w="0" w:type="auto"/>
            <w:shd w:val="clear" w:color="auto" w:fill="FFFFFF"/>
            <w:tcMar>
              <w:top w:w="40" w:type="dxa"/>
              <w:left w:w="0" w:type="dxa"/>
              <w:bottom w:w="40" w:type="dxa"/>
              <w:right w:w="20" w:type="dxa"/>
            </w:tcMar>
            <w:vAlign w:val="bottom"/>
          </w:tcPr>
          <w:p w14:paraId="54066B98"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B99"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B9A" w14:textId="77777777" w:rsidR="00611BDD" w:rsidRDefault="002E18C7">
            <w:pPr>
              <w:jc w:val="right"/>
              <w:textAlignment w:val="bottom"/>
            </w:pPr>
            <w:r>
              <w:rPr>
                <w:rFonts w:ascii="sans-serif" w:eastAsia="sans-serif" w:hAnsi="sans-serif" w:cs="sans-serif"/>
                <w:color w:val="000000"/>
                <w:sz w:val="20"/>
                <w:szCs w:val="20"/>
              </w:rPr>
              <w:t>1,311 </w:t>
            </w:r>
          </w:p>
        </w:tc>
        <w:tc>
          <w:tcPr>
            <w:tcW w:w="0" w:type="auto"/>
            <w:shd w:val="clear" w:color="auto" w:fill="FFFFFF"/>
            <w:tcMar>
              <w:top w:w="40" w:type="dxa"/>
              <w:left w:w="0" w:type="dxa"/>
              <w:bottom w:w="40" w:type="dxa"/>
              <w:right w:w="20" w:type="dxa"/>
            </w:tcMar>
            <w:vAlign w:val="bottom"/>
          </w:tcPr>
          <w:p w14:paraId="54066B9B"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B9C"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B9D" w14:textId="77777777" w:rsidR="00611BDD" w:rsidRDefault="002E18C7">
            <w:pPr>
              <w:jc w:val="right"/>
              <w:textAlignment w:val="bottom"/>
            </w:pPr>
            <w:r>
              <w:rPr>
                <w:rFonts w:ascii="sans-serif" w:eastAsia="sans-serif" w:hAnsi="sans-serif" w:cs="sans-serif"/>
                <w:color w:val="000000"/>
                <w:sz w:val="20"/>
                <w:szCs w:val="20"/>
              </w:rPr>
              <w:t>3,769 </w:t>
            </w:r>
          </w:p>
        </w:tc>
        <w:tc>
          <w:tcPr>
            <w:tcW w:w="0" w:type="auto"/>
            <w:shd w:val="clear" w:color="auto" w:fill="FFFFFF"/>
            <w:tcMar>
              <w:top w:w="40" w:type="dxa"/>
              <w:left w:w="0" w:type="dxa"/>
              <w:bottom w:w="40" w:type="dxa"/>
              <w:right w:w="20" w:type="dxa"/>
            </w:tcMar>
            <w:vAlign w:val="bottom"/>
          </w:tcPr>
          <w:p w14:paraId="54066B9E" w14:textId="77777777" w:rsidR="00611BDD" w:rsidRDefault="00611BDD">
            <w:pPr>
              <w:jc w:val="right"/>
              <w:rPr>
                <w:rFonts w:ascii="宋体"/>
              </w:rPr>
            </w:pPr>
          </w:p>
        </w:tc>
      </w:tr>
      <w:tr w:rsidR="00611BDD" w14:paraId="54066BB2" w14:textId="77777777">
        <w:tc>
          <w:tcPr>
            <w:tcW w:w="0" w:type="auto"/>
            <w:gridSpan w:val="3"/>
            <w:shd w:val="clear" w:color="auto" w:fill="E2EFD9"/>
            <w:tcMar>
              <w:top w:w="40" w:type="dxa"/>
              <w:left w:w="20" w:type="dxa"/>
              <w:bottom w:w="40" w:type="dxa"/>
              <w:right w:w="20" w:type="dxa"/>
            </w:tcMar>
            <w:vAlign w:val="bottom"/>
          </w:tcPr>
          <w:p w14:paraId="54066BA0" w14:textId="77777777" w:rsidR="00611BDD" w:rsidRDefault="002E18C7">
            <w:pPr>
              <w:textAlignment w:val="bottom"/>
            </w:pPr>
            <w:r>
              <w:rPr>
                <w:rFonts w:ascii="sans-serif" w:eastAsia="sans-serif" w:hAnsi="sans-serif" w:cs="sans-serif"/>
                <w:color w:val="000000"/>
                <w:sz w:val="20"/>
                <w:szCs w:val="20"/>
              </w:rPr>
              <w:t>Debt securities issued by United States government agencies</w:t>
            </w:r>
          </w:p>
        </w:tc>
        <w:tc>
          <w:tcPr>
            <w:tcW w:w="0" w:type="auto"/>
            <w:gridSpan w:val="2"/>
            <w:shd w:val="clear" w:color="auto" w:fill="E2EFD9"/>
            <w:tcMar>
              <w:top w:w="40" w:type="dxa"/>
              <w:left w:w="20" w:type="dxa"/>
              <w:bottom w:w="40" w:type="dxa"/>
              <w:right w:w="0" w:type="dxa"/>
            </w:tcMar>
            <w:vAlign w:val="bottom"/>
          </w:tcPr>
          <w:p w14:paraId="54066BA1" w14:textId="77777777" w:rsidR="00611BDD" w:rsidRDefault="002E18C7">
            <w:pPr>
              <w:jc w:val="right"/>
              <w:textAlignment w:val="bottom"/>
            </w:pPr>
            <w:r>
              <w:rPr>
                <w:rFonts w:ascii="sans-serif" w:eastAsia="sans-serif" w:hAnsi="sans-serif" w:cs="sans-serif"/>
                <w:color w:val="000000"/>
                <w:sz w:val="20"/>
                <w:szCs w:val="20"/>
              </w:rPr>
              <w:t>2,371 </w:t>
            </w:r>
          </w:p>
        </w:tc>
        <w:tc>
          <w:tcPr>
            <w:tcW w:w="0" w:type="auto"/>
            <w:shd w:val="clear" w:color="auto" w:fill="E2EFD9"/>
            <w:tcMar>
              <w:top w:w="40" w:type="dxa"/>
              <w:left w:w="0" w:type="dxa"/>
              <w:bottom w:w="40" w:type="dxa"/>
              <w:right w:w="20" w:type="dxa"/>
            </w:tcMar>
            <w:vAlign w:val="bottom"/>
          </w:tcPr>
          <w:p w14:paraId="54066BA2"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BA3"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BA4" w14:textId="77777777" w:rsidR="00611BDD" w:rsidRDefault="002E18C7">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left w:w="0" w:type="dxa"/>
              <w:bottom w:w="40" w:type="dxa"/>
              <w:right w:w="20" w:type="dxa"/>
            </w:tcMar>
            <w:vAlign w:val="bottom"/>
          </w:tcPr>
          <w:p w14:paraId="54066BA5"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BA6"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BA7"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4066BA8"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BA9"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BAA" w14:textId="77777777" w:rsidR="00611BDD" w:rsidRDefault="002E18C7">
            <w:pPr>
              <w:jc w:val="right"/>
              <w:textAlignment w:val="bottom"/>
            </w:pPr>
            <w:r>
              <w:rPr>
                <w:rFonts w:ascii="sans-serif" w:eastAsia="sans-serif" w:hAnsi="sans-serif" w:cs="sans-serif"/>
                <w:color w:val="000000"/>
                <w:sz w:val="20"/>
                <w:szCs w:val="20"/>
              </w:rPr>
              <w:t>2,372 </w:t>
            </w:r>
          </w:p>
        </w:tc>
        <w:tc>
          <w:tcPr>
            <w:tcW w:w="0" w:type="auto"/>
            <w:shd w:val="clear" w:color="auto" w:fill="E2EFD9"/>
            <w:tcMar>
              <w:top w:w="40" w:type="dxa"/>
              <w:left w:w="0" w:type="dxa"/>
              <w:bottom w:w="40" w:type="dxa"/>
              <w:right w:w="20" w:type="dxa"/>
            </w:tcMar>
            <w:vAlign w:val="bottom"/>
          </w:tcPr>
          <w:p w14:paraId="54066BA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BAC"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BAD" w14:textId="77777777" w:rsidR="00611BDD" w:rsidRDefault="002E18C7">
            <w:pPr>
              <w:jc w:val="right"/>
              <w:textAlignment w:val="bottom"/>
            </w:pPr>
            <w:r>
              <w:rPr>
                <w:rFonts w:ascii="sans-serif" w:eastAsia="sans-serif" w:hAnsi="sans-serif" w:cs="sans-serif"/>
                <w:color w:val="000000"/>
                <w:sz w:val="20"/>
                <w:szCs w:val="20"/>
              </w:rPr>
              <w:t>60 </w:t>
            </w:r>
          </w:p>
        </w:tc>
        <w:tc>
          <w:tcPr>
            <w:tcW w:w="0" w:type="auto"/>
            <w:shd w:val="clear" w:color="auto" w:fill="E2EFD9"/>
            <w:tcMar>
              <w:top w:w="40" w:type="dxa"/>
              <w:left w:w="0" w:type="dxa"/>
              <w:bottom w:w="40" w:type="dxa"/>
              <w:right w:w="20" w:type="dxa"/>
            </w:tcMar>
            <w:vAlign w:val="bottom"/>
          </w:tcPr>
          <w:p w14:paraId="54066BAE"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BAF"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BB0" w14:textId="77777777" w:rsidR="00611BDD" w:rsidRDefault="002E18C7">
            <w:pPr>
              <w:jc w:val="right"/>
              <w:textAlignment w:val="bottom"/>
            </w:pPr>
            <w:r>
              <w:rPr>
                <w:rFonts w:ascii="sans-serif" w:eastAsia="sans-serif" w:hAnsi="sans-serif" w:cs="sans-serif"/>
                <w:color w:val="000000"/>
                <w:sz w:val="20"/>
                <w:szCs w:val="20"/>
              </w:rPr>
              <w:t>2,312 </w:t>
            </w:r>
          </w:p>
        </w:tc>
        <w:tc>
          <w:tcPr>
            <w:tcW w:w="0" w:type="auto"/>
            <w:shd w:val="clear" w:color="auto" w:fill="E2EFD9"/>
            <w:tcMar>
              <w:top w:w="40" w:type="dxa"/>
              <w:left w:w="0" w:type="dxa"/>
              <w:bottom w:w="40" w:type="dxa"/>
              <w:right w:w="20" w:type="dxa"/>
            </w:tcMar>
            <w:vAlign w:val="bottom"/>
          </w:tcPr>
          <w:p w14:paraId="54066BB1" w14:textId="77777777" w:rsidR="00611BDD" w:rsidRDefault="00611BDD">
            <w:pPr>
              <w:jc w:val="right"/>
              <w:rPr>
                <w:rFonts w:ascii="宋体"/>
              </w:rPr>
            </w:pPr>
          </w:p>
        </w:tc>
      </w:tr>
      <w:tr w:rsidR="00611BDD" w14:paraId="54066BC5" w14:textId="77777777">
        <w:tc>
          <w:tcPr>
            <w:tcW w:w="0" w:type="auto"/>
            <w:gridSpan w:val="3"/>
            <w:shd w:val="clear" w:color="auto" w:fill="FFFFFF"/>
            <w:tcMar>
              <w:top w:w="40" w:type="dxa"/>
              <w:left w:w="20" w:type="dxa"/>
              <w:bottom w:w="40" w:type="dxa"/>
              <w:right w:w="20" w:type="dxa"/>
            </w:tcMar>
            <w:vAlign w:val="bottom"/>
          </w:tcPr>
          <w:p w14:paraId="54066BB3" w14:textId="77777777" w:rsidR="00611BDD" w:rsidRDefault="002E18C7">
            <w:pPr>
              <w:textAlignment w:val="bottom"/>
            </w:pPr>
            <w:r>
              <w:rPr>
                <w:rFonts w:ascii="sans-serif" w:eastAsia="sans-serif" w:hAnsi="sans-serif" w:cs="sans-serif"/>
                <w:color w:val="000000"/>
                <w:sz w:val="20"/>
                <w:szCs w:val="20"/>
              </w:rPr>
              <w:t>Money market funds</w:t>
            </w:r>
          </w:p>
        </w:tc>
        <w:tc>
          <w:tcPr>
            <w:tcW w:w="0" w:type="auto"/>
            <w:gridSpan w:val="2"/>
            <w:shd w:val="clear" w:color="auto" w:fill="FFFFFF"/>
            <w:tcMar>
              <w:top w:w="40" w:type="dxa"/>
              <w:left w:w="20" w:type="dxa"/>
              <w:bottom w:w="40" w:type="dxa"/>
              <w:right w:w="0" w:type="dxa"/>
            </w:tcMar>
            <w:vAlign w:val="bottom"/>
          </w:tcPr>
          <w:p w14:paraId="54066BB4" w14:textId="77777777" w:rsidR="00611BDD" w:rsidRDefault="002E18C7">
            <w:pPr>
              <w:jc w:val="right"/>
              <w:textAlignment w:val="bottom"/>
            </w:pPr>
            <w:r>
              <w:rPr>
                <w:rFonts w:ascii="sans-serif" w:eastAsia="sans-serif" w:hAnsi="sans-serif" w:cs="sans-serif"/>
                <w:color w:val="000000"/>
                <w:sz w:val="20"/>
                <w:szCs w:val="20"/>
              </w:rPr>
              <w:t>2,097 </w:t>
            </w:r>
          </w:p>
        </w:tc>
        <w:tc>
          <w:tcPr>
            <w:tcW w:w="0" w:type="auto"/>
            <w:shd w:val="clear" w:color="auto" w:fill="FFFFFF"/>
            <w:tcMar>
              <w:top w:w="40" w:type="dxa"/>
              <w:left w:w="0" w:type="dxa"/>
              <w:bottom w:w="40" w:type="dxa"/>
              <w:right w:w="20" w:type="dxa"/>
            </w:tcMar>
            <w:vAlign w:val="bottom"/>
          </w:tcPr>
          <w:p w14:paraId="54066BB5"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BB6"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BB7"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4066BB8"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BB9"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BBA"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4066BBB"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BBC"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BBD" w14:textId="77777777" w:rsidR="00611BDD" w:rsidRDefault="002E18C7">
            <w:pPr>
              <w:jc w:val="right"/>
              <w:textAlignment w:val="bottom"/>
            </w:pPr>
            <w:r>
              <w:rPr>
                <w:rFonts w:ascii="sans-serif" w:eastAsia="sans-serif" w:hAnsi="sans-serif" w:cs="sans-serif"/>
                <w:color w:val="000000"/>
                <w:sz w:val="20"/>
                <w:szCs w:val="20"/>
              </w:rPr>
              <w:t>2,097 </w:t>
            </w:r>
          </w:p>
        </w:tc>
        <w:tc>
          <w:tcPr>
            <w:tcW w:w="0" w:type="auto"/>
            <w:shd w:val="clear" w:color="auto" w:fill="FFFFFF"/>
            <w:tcMar>
              <w:top w:w="40" w:type="dxa"/>
              <w:left w:w="0" w:type="dxa"/>
              <w:bottom w:w="40" w:type="dxa"/>
              <w:right w:w="20" w:type="dxa"/>
            </w:tcMar>
            <w:vAlign w:val="bottom"/>
          </w:tcPr>
          <w:p w14:paraId="54066BBE"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BBF"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BC0" w14:textId="77777777" w:rsidR="00611BDD" w:rsidRDefault="002E18C7">
            <w:pPr>
              <w:jc w:val="right"/>
              <w:textAlignment w:val="bottom"/>
            </w:pPr>
            <w:r>
              <w:rPr>
                <w:rFonts w:ascii="sans-serif" w:eastAsia="sans-serif" w:hAnsi="sans-serif" w:cs="sans-serif"/>
                <w:color w:val="000000"/>
                <w:sz w:val="20"/>
                <w:szCs w:val="20"/>
              </w:rPr>
              <w:t>2,097 </w:t>
            </w:r>
          </w:p>
        </w:tc>
        <w:tc>
          <w:tcPr>
            <w:tcW w:w="0" w:type="auto"/>
            <w:shd w:val="clear" w:color="auto" w:fill="FFFFFF"/>
            <w:tcMar>
              <w:top w:w="40" w:type="dxa"/>
              <w:left w:w="0" w:type="dxa"/>
              <w:bottom w:w="40" w:type="dxa"/>
              <w:right w:w="20" w:type="dxa"/>
            </w:tcMar>
            <w:vAlign w:val="bottom"/>
          </w:tcPr>
          <w:p w14:paraId="54066BC1"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BC2"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BC3"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4066BC4" w14:textId="77777777" w:rsidR="00611BDD" w:rsidRDefault="00611BDD">
            <w:pPr>
              <w:jc w:val="right"/>
              <w:rPr>
                <w:rFonts w:ascii="宋体"/>
              </w:rPr>
            </w:pPr>
          </w:p>
        </w:tc>
      </w:tr>
      <w:tr w:rsidR="00611BDD" w14:paraId="54066BD8" w14:textId="77777777">
        <w:tc>
          <w:tcPr>
            <w:tcW w:w="0" w:type="auto"/>
            <w:gridSpan w:val="3"/>
            <w:shd w:val="clear" w:color="auto" w:fill="E2EFD9"/>
            <w:tcMar>
              <w:top w:w="40" w:type="dxa"/>
              <w:left w:w="20" w:type="dxa"/>
              <w:bottom w:w="40" w:type="dxa"/>
              <w:right w:w="20" w:type="dxa"/>
            </w:tcMar>
            <w:vAlign w:val="bottom"/>
          </w:tcPr>
          <w:p w14:paraId="54066BC6" w14:textId="77777777" w:rsidR="00611BDD" w:rsidRDefault="002E18C7">
            <w:pPr>
              <w:textAlignment w:val="bottom"/>
            </w:pPr>
            <w:r>
              <w:rPr>
                <w:rFonts w:ascii="sans-serif" w:eastAsia="sans-serif" w:hAnsi="sans-serif" w:cs="sans-serif"/>
                <w:color w:val="000000"/>
                <w:sz w:val="20"/>
                <w:szCs w:val="20"/>
              </w:rPr>
              <w:t>Certificates of deposit</w:t>
            </w:r>
          </w:p>
        </w:tc>
        <w:tc>
          <w:tcPr>
            <w:tcW w:w="0" w:type="auto"/>
            <w:gridSpan w:val="2"/>
            <w:shd w:val="clear" w:color="auto" w:fill="E2EFD9"/>
            <w:tcMar>
              <w:top w:w="40" w:type="dxa"/>
              <w:left w:w="20" w:type="dxa"/>
              <w:bottom w:w="40" w:type="dxa"/>
              <w:right w:w="0" w:type="dxa"/>
            </w:tcMar>
            <w:vAlign w:val="bottom"/>
          </w:tcPr>
          <w:p w14:paraId="54066BC7" w14:textId="77777777" w:rsidR="00611BDD" w:rsidRDefault="002E18C7">
            <w:pPr>
              <w:jc w:val="right"/>
              <w:textAlignment w:val="bottom"/>
            </w:pPr>
            <w:r>
              <w:rPr>
                <w:rFonts w:ascii="sans-serif" w:eastAsia="sans-serif" w:hAnsi="sans-serif" w:cs="sans-serif"/>
                <w:color w:val="000000"/>
                <w:sz w:val="20"/>
                <w:szCs w:val="20"/>
              </w:rPr>
              <w:t>962 </w:t>
            </w:r>
          </w:p>
        </w:tc>
        <w:tc>
          <w:tcPr>
            <w:tcW w:w="0" w:type="auto"/>
            <w:shd w:val="clear" w:color="auto" w:fill="E2EFD9"/>
            <w:tcMar>
              <w:top w:w="40" w:type="dxa"/>
              <w:left w:w="0" w:type="dxa"/>
              <w:bottom w:w="40" w:type="dxa"/>
              <w:right w:w="20" w:type="dxa"/>
            </w:tcMar>
            <w:vAlign w:val="bottom"/>
          </w:tcPr>
          <w:p w14:paraId="54066BC8"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BC9"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BCA"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4066BC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BCC"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BCD"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4066BCE"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BCF"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BD0" w14:textId="77777777" w:rsidR="00611BDD" w:rsidRDefault="002E18C7">
            <w:pPr>
              <w:jc w:val="right"/>
              <w:textAlignment w:val="bottom"/>
            </w:pPr>
            <w:r>
              <w:rPr>
                <w:rFonts w:ascii="sans-serif" w:eastAsia="sans-serif" w:hAnsi="sans-serif" w:cs="sans-serif"/>
                <w:color w:val="000000"/>
                <w:sz w:val="20"/>
                <w:szCs w:val="20"/>
              </w:rPr>
              <w:t>962 </w:t>
            </w:r>
          </w:p>
        </w:tc>
        <w:tc>
          <w:tcPr>
            <w:tcW w:w="0" w:type="auto"/>
            <w:shd w:val="clear" w:color="auto" w:fill="E2EFD9"/>
            <w:tcMar>
              <w:top w:w="40" w:type="dxa"/>
              <w:left w:w="0" w:type="dxa"/>
              <w:bottom w:w="40" w:type="dxa"/>
              <w:right w:w="20" w:type="dxa"/>
            </w:tcMar>
            <w:vAlign w:val="bottom"/>
          </w:tcPr>
          <w:p w14:paraId="54066BD1"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BD2"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BD3" w14:textId="77777777" w:rsidR="00611BDD" w:rsidRDefault="002E18C7">
            <w:pPr>
              <w:jc w:val="right"/>
              <w:textAlignment w:val="bottom"/>
            </w:pPr>
            <w:r>
              <w:rPr>
                <w:rFonts w:ascii="sans-serif" w:eastAsia="sans-serif" w:hAnsi="sans-serif" w:cs="sans-serif"/>
                <w:color w:val="000000"/>
                <w:sz w:val="20"/>
                <w:szCs w:val="20"/>
              </w:rPr>
              <w:t>44 </w:t>
            </w:r>
          </w:p>
        </w:tc>
        <w:tc>
          <w:tcPr>
            <w:tcW w:w="0" w:type="auto"/>
            <w:shd w:val="clear" w:color="auto" w:fill="E2EFD9"/>
            <w:tcMar>
              <w:top w:w="40" w:type="dxa"/>
              <w:left w:w="0" w:type="dxa"/>
              <w:bottom w:w="40" w:type="dxa"/>
              <w:right w:w="20" w:type="dxa"/>
            </w:tcMar>
            <w:vAlign w:val="bottom"/>
          </w:tcPr>
          <w:p w14:paraId="54066BD4"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BD5"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BD6" w14:textId="77777777" w:rsidR="00611BDD" w:rsidRDefault="002E18C7">
            <w:pPr>
              <w:jc w:val="right"/>
              <w:textAlignment w:val="bottom"/>
            </w:pPr>
            <w:r>
              <w:rPr>
                <w:rFonts w:ascii="sans-serif" w:eastAsia="sans-serif" w:hAnsi="sans-serif" w:cs="sans-serif"/>
                <w:color w:val="000000"/>
                <w:sz w:val="20"/>
                <w:szCs w:val="20"/>
              </w:rPr>
              <w:t>918 </w:t>
            </w:r>
          </w:p>
        </w:tc>
        <w:tc>
          <w:tcPr>
            <w:tcW w:w="0" w:type="auto"/>
            <w:shd w:val="clear" w:color="auto" w:fill="E2EFD9"/>
            <w:tcMar>
              <w:top w:w="40" w:type="dxa"/>
              <w:left w:w="0" w:type="dxa"/>
              <w:bottom w:w="40" w:type="dxa"/>
              <w:right w:w="20" w:type="dxa"/>
            </w:tcMar>
            <w:vAlign w:val="bottom"/>
          </w:tcPr>
          <w:p w14:paraId="54066BD7" w14:textId="77777777" w:rsidR="00611BDD" w:rsidRDefault="00611BDD">
            <w:pPr>
              <w:jc w:val="right"/>
              <w:rPr>
                <w:rFonts w:ascii="宋体"/>
              </w:rPr>
            </w:pPr>
          </w:p>
        </w:tc>
      </w:tr>
      <w:tr w:rsidR="00611BDD" w14:paraId="54066BEB" w14:textId="77777777">
        <w:tc>
          <w:tcPr>
            <w:tcW w:w="0" w:type="auto"/>
            <w:gridSpan w:val="3"/>
            <w:shd w:val="clear" w:color="auto" w:fill="FFFFFF"/>
            <w:tcMar>
              <w:top w:w="40" w:type="dxa"/>
              <w:left w:w="20" w:type="dxa"/>
              <w:bottom w:w="40" w:type="dxa"/>
              <w:right w:w="20" w:type="dxa"/>
            </w:tcMar>
            <w:vAlign w:val="bottom"/>
          </w:tcPr>
          <w:p w14:paraId="54066BD9" w14:textId="77777777" w:rsidR="00611BDD" w:rsidRDefault="002E18C7">
            <w:pPr>
              <w:textAlignment w:val="bottom"/>
            </w:pPr>
            <w:r>
              <w:rPr>
                <w:rFonts w:ascii="sans-serif" w:eastAsia="sans-serif" w:hAnsi="sans-serif" w:cs="sans-serif"/>
                <w:color w:val="000000"/>
                <w:sz w:val="20"/>
                <w:szCs w:val="20"/>
              </w:rPr>
              <w:t>Foreign government bonds</w:t>
            </w:r>
          </w:p>
        </w:tc>
        <w:tc>
          <w:tcPr>
            <w:tcW w:w="0" w:type="auto"/>
            <w:gridSpan w:val="2"/>
            <w:shd w:val="clear" w:color="auto" w:fill="FFFFFF"/>
            <w:tcMar>
              <w:top w:w="40" w:type="dxa"/>
              <w:left w:w="20" w:type="dxa"/>
              <w:bottom w:w="40" w:type="dxa"/>
              <w:right w:w="0" w:type="dxa"/>
            </w:tcMar>
            <w:vAlign w:val="bottom"/>
          </w:tcPr>
          <w:p w14:paraId="54066BDA" w14:textId="77777777" w:rsidR="00611BDD" w:rsidRDefault="002E18C7">
            <w:pPr>
              <w:jc w:val="right"/>
              <w:textAlignment w:val="bottom"/>
            </w:pPr>
            <w:r>
              <w:rPr>
                <w:rFonts w:ascii="sans-serif" w:eastAsia="sans-serif" w:hAnsi="sans-serif" w:cs="sans-serif"/>
                <w:color w:val="000000"/>
                <w:sz w:val="20"/>
                <w:szCs w:val="20"/>
              </w:rPr>
              <w:t>241 </w:t>
            </w:r>
          </w:p>
        </w:tc>
        <w:tc>
          <w:tcPr>
            <w:tcW w:w="0" w:type="auto"/>
            <w:shd w:val="clear" w:color="auto" w:fill="FFFFFF"/>
            <w:tcMar>
              <w:top w:w="40" w:type="dxa"/>
              <w:left w:w="0" w:type="dxa"/>
              <w:bottom w:w="40" w:type="dxa"/>
              <w:right w:w="20" w:type="dxa"/>
            </w:tcMar>
            <w:vAlign w:val="bottom"/>
          </w:tcPr>
          <w:p w14:paraId="54066BDB"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BDC"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BDD"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4066BDE"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BDF"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BE0"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4066BE1"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BE2"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BE3" w14:textId="77777777" w:rsidR="00611BDD" w:rsidRDefault="002E18C7">
            <w:pPr>
              <w:jc w:val="right"/>
              <w:textAlignment w:val="bottom"/>
            </w:pPr>
            <w:r>
              <w:rPr>
                <w:rFonts w:ascii="sans-serif" w:eastAsia="sans-serif" w:hAnsi="sans-serif" w:cs="sans-serif"/>
                <w:color w:val="000000"/>
                <w:sz w:val="20"/>
                <w:szCs w:val="20"/>
              </w:rPr>
              <w:t>241 </w:t>
            </w:r>
          </w:p>
        </w:tc>
        <w:tc>
          <w:tcPr>
            <w:tcW w:w="0" w:type="auto"/>
            <w:shd w:val="clear" w:color="auto" w:fill="FFFFFF"/>
            <w:tcMar>
              <w:top w:w="40" w:type="dxa"/>
              <w:left w:w="0" w:type="dxa"/>
              <w:bottom w:w="40" w:type="dxa"/>
              <w:right w:w="20" w:type="dxa"/>
            </w:tcMar>
            <w:vAlign w:val="bottom"/>
          </w:tcPr>
          <w:p w14:paraId="54066BE4"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BE5"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BE6"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4066BE7"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BE8"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BE9" w14:textId="77777777" w:rsidR="00611BDD" w:rsidRDefault="002E18C7">
            <w:pPr>
              <w:jc w:val="right"/>
              <w:textAlignment w:val="bottom"/>
            </w:pPr>
            <w:r>
              <w:rPr>
                <w:rFonts w:ascii="sans-serif" w:eastAsia="sans-serif" w:hAnsi="sans-serif" w:cs="sans-serif"/>
                <w:color w:val="000000"/>
                <w:sz w:val="20"/>
                <w:szCs w:val="20"/>
              </w:rPr>
              <w:t>241 </w:t>
            </w:r>
          </w:p>
        </w:tc>
        <w:tc>
          <w:tcPr>
            <w:tcW w:w="0" w:type="auto"/>
            <w:shd w:val="clear" w:color="auto" w:fill="FFFFFF"/>
            <w:tcMar>
              <w:top w:w="40" w:type="dxa"/>
              <w:left w:w="0" w:type="dxa"/>
              <w:bottom w:w="40" w:type="dxa"/>
              <w:right w:w="20" w:type="dxa"/>
            </w:tcMar>
            <w:vAlign w:val="bottom"/>
          </w:tcPr>
          <w:p w14:paraId="54066BEA" w14:textId="77777777" w:rsidR="00611BDD" w:rsidRDefault="00611BDD">
            <w:pPr>
              <w:jc w:val="right"/>
              <w:rPr>
                <w:rFonts w:ascii="宋体"/>
              </w:rPr>
            </w:pPr>
          </w:p>
        </w:tc>
      </w:tr>
      <w:tr w:rsidR="00611BDD" w14:paraId="54066BF8" w14:textId="77777777">
        <w:trPr>
          <w:hidden/>
        </w:trPr>
        <w:tc>
          <w:tcPr>
            <w:tcW w:w="0" w:type="auto"/>
            <w:gridSpan w:val="3"/>
            <w:shd w:val="clear" w:color="auto" w:fill="auto"/>
            <w:vAlign w:val="bottom"/>
          </w:tcPr>
          <w:p w14:paraId="54066BEC" w14:textId="77777777" w:rsidR="00611BDD" w:rsidRDefault="00611BDD">
            <w:pPr>
              <w:rPr>
                <w:rFonts w:ascii="宋体"/>
                <w:vanish/>
              </w:rPr>
            </w:pPr>
          </w:p>
        </w:tc>
        <w:tc>
          <w:tcPr>
            <w:tcW w:w="0" w:type="auto"/>
            <w:gridSpan w:val="3"/>
            <w:shd w:val="clear" w:color="auto" w:fill="auto"/>
            <w:vAlign w:val="bottom"/>
          </w:tcPr>
          <w:p w14:paraId="54066BED" w14:textId="77777777" w:rsidR="00611BDD" w:rsidRDefault="00611BDD">
            <w:pPr>
              <w:rPr>
                <w:rFonts w:ascii="宋体"/>
                <w:vanish/>
              </w:rPr>
            </w:pPr>
          </w:p>
        </w:tc>
        <w:tc>
          <w:tcPr>
            <w:tcW w:w="0" w:type="auto"/>
            <w:gridSpan w:val="3"/>
            <w:shd w:val="clear" w:color="auto" w:fill="auto"/>
            <w:vAlign w:val="bottom"/>
          </w:tcPr>
          <w:p w14:paraId="54066BEE" w14:textId="77777777" w:rsidR="00611BDD" w:rsidRDefault="00611BDD">
            <w:pPr>
              <w:rPr>
                <w:rFonts w:ascii="宋体"/>
                <w:vanish/>
              </w:rPr>
            </w:pPr>
          </w:p>
        </w:tc>
        <w:tc>
          <w:tcPr>
            <w:tcW w:w="0" w:type="auto"/>
            <w:gridSpan w:val="3"/>
            <w:shd w:val="clear" w:color="auto" w:fill="auto"/>
            <w:vAlign w:val="bottom"/>
          </w:tcPr>
          <w:p w14:paraId="54066BEF" w14:textId="77777777" w:rsidR="00611BDD" w:rsidRDefault="00611BDD">
            <w:pPr>
              <w:rPr>
                <w:rFonts w:ascii="宋体"/>
                <w:vanish/>
              </w:rPr>
            </w:pPr>
          </w:p>
        </w:tc>
        <w:tc>
          <w:tcPr>
            <w:tcW w:w="0" w:type="auto"/>
            <w:gridSpan w:val="3"/>
            <w:shd w:val="clear" w:color="auto" w:fill="auto"/>
            <w:vAlign w:val="bottom"/>
          </w:tcPr>
          <w:p w14:paraId="54066BF0" w14:textId="77777777" w:rsidR="00611BDD" w:rsidRDefault="00611BDD">
            <w:pPr>
              <w:rPr>
                <w:rFonts w:ascii="宋体"/>
                <w:vanish/>
              </w:rPr>
            </w:pPr>
          </w:p>
        </w:tc>
        <w:tc>
          <w:tcPr>
            <w:tcW w:w="0" w:type="auto"/>
            <w:gridSpan w:val="3"/>
            <w:shd w:val="clear" w:color="auto" w:fill="auto"/>
            <w:vAlign w:val="bottom"/>
          </w:tcPr>
          <w:p w14:paraId="54066BF1" w14:textId="77777777" w:rsidR="00611BDD" w:rsidRDefault="00611BDD">
            <w:pPr>
              <w:rPr>
                <w:rFonts w:ascii="宋体"/>
                <w:vanish/>
              </w:rPr>
            </w:pPr>
          </w:p>
        </w:tc>
        <w:tc>
          <w:tcPr>
            <w:tcW w:w="0" w:type="auto"/>
            <w:gridSpan w:val="3"/>
            <w:shd w:val="clear" w:color="auto" w:fill="auto"/>
            <w:vAlign w:val="bottom"/>
          </w:tcPr>
          <w:p w14:paraId="54066BF2" w14:textId="77777777" w:rsidR="00611BDD" w:rsidRDefault="00611BDD">
            <w:pPr>
              <w:rPr>
                <w:rFonts w:ascii="宋体"/>
                <w:vanish/>
              </w:rPr>
            </w:pPr>
          </w:p>
        </w:tc>
        <w:tc>
          <w:tcPr>
            <w:tcW w:w="0" w:type="auto"/>
            <w:gridSpan w:val="3"/>
            <w:shd w:val="clear" w:color="auto" w:fill="auto"/>
            <w:vAlign w:val="bottom"/>
          </w:tcPr>
          <w:p w14:paraId="54066BF3" w14:textId="77777777" w:rsidR="00611BDD" w:rsidRDefault="00611BDD">
            <w:pPr>
              <w:rPr>
                <w:rFonts w:ascii="宋体"/>
                <w:vanish/>
              </w:rPr>
            </w:pPr>
          </w:p>
        </w:tc>
        <w:tc>
          <w:tcPr>
            <w:tcW w:w="0" w:type="auto"/>
            <w:gridSpan w:val="3"/>
            <w:shd w:val="clear" w:color="auto" w:fill="auto"/>
            <w:vAlign w:val="bottom"/>
          </w:tcPr>
          <w:p w14:paraId="54066BF4" w14:textId="77777777" w:rsidR="00611BDD" w:rsidRDefault="00611BDD">
            <w:pPr>
              <w:rPr>
                <w:rFonts w:ascii="宋体"/>
                <w:vanish/>
              </w:rPr>
            </w:pPr>
          </w:p>
        </w:tc>
        <w:tc>
          <w:tcPr>
            <w:tcW w:w="0" w:type="auto"/>
            <w:gridSpan w:val="3"/>
            <w:shd w:val="clear" w:color="auto" w:fill="auto"/>
            <w:vAlign w:val="bottom"/>
          </w:tcPr>
          <w:p w14:paraId="54066BF5" w14:textId="77777777" w:rsidR="00611BDD" w:rsidRDefault="00611BDD">
            <w:pPr>
              <w:rPr>
                <w:rFonts w:ascii="宋体"/>
                <w:vanish/>
              </w:rPr>
            </w:pPr>
          </w:p>
        </w:tc>
        <w:tc>
          <w:tcPr>
            <w:tcW w:w="0" w:type="auto"/>
            <w:gridSpan w:val="3"/>
            <w:shd w:val="clear" w:color="auto" w:fill="auto"/>
            <w:vAlign w:val="bottom"/>
          </w:tcPr>
          <w:p w14:paraId="54066BF6" w14:textId="77777777" w:rsidR="00611BDD" w:rsidRDefault="00611BDD">
            <w:pPr>
              <w:rPr>
                <w:rFonts w:ascii="宋体"/>
                <w:vanish/>
              </w:rPr>
            </w:pPr>
          </w:p>
        </w:tc>
        <w:tc>
          <w:tcPr>
            <w:tcW w:w="0" w:type="auto"/>
            <w:gridSpan w:val="3"/>
            <w:shd w:val="clear" w:color="auto" w:fill="auto"/>
            <w:vAlign w:val="bottom"/>
          </w:tcPr>
          <w:p w14:paraId="54066BF7" w14:textId="77777777" w:rsidR="00611BDD" w:rsidRDefault="00611BDD">
            <w:pPr>
              <w:rPr>
                <w:rFonts w:ascii="宋体"/>
                <w:vanish/>
              </w:rPr>
            </w:pPr>
          </w:p>
        </w:tc>
      </w:tr>
      <w:tr w:rsidR="00611BDD" w14:paraId="54066C05" w14:textId="77777777">
        <w:trPr>
          <w:hidden/>
        </w:trPr>
        <w:tc>
          <w:tcPr>
            <w:tcW w:w="0" w:type="auto"/>
            <w:gridSpan w:val="3"/>
            <w:shd w:val="clear" w:color="auto" w:fill="auto"/>
            <w:vAlign w:val="bottom"/>
          </w:tcPr>
          <w:p w14:paraId="54066BF9" w14:textId="77777777" w:rsidR="00611BDD" w:rsidRDefault="00611BDD">
            <w:pPr>
              <w:rPr>
                <w:rFonts w:ascii="宋体"/>
                <w:vanish/>
              </w:rPr>
            </w:pPr>
          </w:p>
        </w:tc>
        <w:tc>
          <w:tcPr>
            <w:tcW w:w="0" w:type="auto"/>
            <w:gridSpan w:val="3"/>
            <w:shd w:val="clear" w:color="auto" w:fill="auto"/>
            <w:vAlign w:val="bottom"/>
          </w:tcPr>
          <w:p w14:paraId="54066BFA" w14:textId="77777777" w:rsidR="00611BDD" w:rsidRDefault="00611BDD">
            <w:pPr>
              <w:rPr>
                <w:rFonts w:ascii="宋体"/>
                <w:vanish/>
              </w:rPr>
            </w:pPr>
          </w:p>
        </w:tc>
        <w:tc>
          <w:tcPr>
            <w:tcW w:w="0" w:type="auto"/>
            <w:gridSpan w:val="3"/>
            <w:shd w:val="clear" w:color="auto" w:fill="auto"/>
            <w:vAlign w:val="bottom"/>
          </w:tcPr>
          <w:p w14:paraId="54066BFB" w14:textId="77777777" w:rsidR="00611BDD" w:rsidRDefault="00611BDD">
            <w:pPr>
              <w:rPr>
                <w:rFonts w:ascii="宋体"/>
                <w:vanish/>
              </w:rPr>
            </w:pPr>
          </w:p>
        </w:tc>
        <w:tc>
          <w:tcPr>
            <w:tcW w:w="0" w:type="auto"/>
            <w:gridSpan w:val="3"/>
            <w:shd w:val="clear" w:color="auto" w:fill="auto"/>
            <w:vAlign w:val="bottom"/>
          </w:tcPr>
          <w:p w14:paraId="54066BFC" w14:textId="77777777" w:rsidR="00611BDD" w:rsidRDefault="00611BDD">
            <w:pPr>
              <w:rPr>
                <w:rFonts w:ascii="宋体"/>
                <w:vanish/>
              </w:rPr>
            </w:pPr>
          </w:p>
        </w:tc>
        <w:tc>
          <w:tcPr>
            <w:tcW w:w="0" w:type="auto"/>
            <w:gridSpan w:val="3"/>
            <w:shd w:val="clear" w:color="auto" w:fill="auto"/>
            <w:vAlign w:val="bottom"/>
          </w:tcPr>
          <w:p w14:paraId="54066BFD" w14:textId="77777777" w:rsidR="00611BDD" w:rsidRDefault="00611BDD">
            <w:pPr>
              <w:rPr>
                <w:rFonts w:ascii="宋体"/>
                <w:vanish/>
              </w:rPr>
            </w:pPr>
          </w:p>
        </w:tc>
        <w:tc>
          <w:tcPr>
            <w:tcW w:w="0" w:type="auto"/>
            <w:gridSpan w:val="3"/>
            <w:shd w:val="clear" w:color="auto" w:fill="auto"/>
            <w:vAlign w:val="bottom"/>
          </w:tcPr>
          <w:p w14:paraId="54066BFE" w14:textId="77777777" w:rsidR="00611BDD" w:rsidRDefault="00611BDD">
            <w:pPr>
              <w:rPr>
                <w:rFonts w:ascii="宋体"/>
                <w:vanish/>
              </w:rPr>
            </w:pPr>
          </w:p>
        </w:tc>
        <w:tc>
          <w:tcPr>
            <w:tcW w:w="0" w:type="auto"/>
            <w:gridSpan w:val="3"/>
            <w:shd w:val="clear" w:color="auto" w:fill="auto"/>
            <w:vAlign w:val="bottom"/>
          </w:tcPr>
          <w:p w14:paraId="54066BFF" w14:textId="77777777" w:rsidR="00611BDD" w:rsidRDefault="00611BDD">
            <w:pPr>
              <w:rPr>
                <w:rFonts w:ascii="宋体"/>
                <w:vanish/>
              </w:rPr>
            </w:pPr>
          </w:p>
        </w:tc>
        <w:tc>
          <w:tcPr>
            <w:tcW w:w="0" w:type="auto"/>
            <w:gridSpan w:val="3"/>
            <w:shd w:val="clear" w:color="auto" w:fill="auto"/>
            <w:vAlign w:val="bottom"/>
          </w:tcPr>
          <w:p w14:paraId="54066C00" w14:textId="77777777" w:rsidR="00611BDD" w:rsidRDefault="00611BDD">
            <w:pPr>
              <w:rPr>
                <w:rFonts w:ascii="宋体"/>
                <w:vanish/>
              </w:rPr>
            </w:pPr>
          </w:p>
        </w:tc>
        <w:tc>
          <w:tcPr>
            <w:tcW w:w="0" w:type="auto"/>
            <w:gridSpan w:val="3"/>
            <w:shd w:val="clear" w:color="auto" w:fill="auto"/>
            <w:vAlign w:val="bottom"/>
          </w:tcPr>
          <w:p w14:paraId="54066C01" w14:textId="77777777" w:rsidR="00611BDD" w:rsidRDefault="00611BDD">
            <w:pPr>
              <w:rPr>
                <w:rFonts w:ascii="宋体"/>
                <w:vanish/>
              </w:rPr>
            </w:pPr>
          </w:p>
        </w:tc>
        <w:tc>
          <w:tcPr>
            <w:tcW w:w="0" w:type="auto"/>
            <w:gridSpan w:val="3"/>
            <w:shd w:val="clear" w:color="auto" w:fill="auto"/>
            <w:vAlign w:val="bottom"/>
          </w:tcPr>
          <w:p w14:paraId="54066C02" w14:textId="77777777" w:rsidR="00611BDD" w:rsidRDefault="00611BDD">
            <w:pPr>
              <w:rPr>
                <w:rFonts w:ascii="宋体"/>
                <w:vanish/>
              </w:rPr>
            </w:pPr>
          </w:p>
        </w:tc>
        <w:tc>
          <w:tcPr>
            <w:tcW w:w="0" w:type="auto"/>
            <w:gridSpan w:val="3"/>
            <w:shd w:val="clear" w:color="auto" w:fill="auto"/>
            <w:vAlign w:val="bottom"/>
          </w:tcPr>
          <w:p w14:paraId="54066C03" w14:textId="77777777" w:rsidR="00611BDD" w:rsidRDefault="00611BDD">
            <w:pPr>
              <w:rPr>
                <w:rFonts w:ascii="宋体"/>
                <w:vanish/>
              </w:rPr>
            </w:pPr>
          </w:p>
        </w:tc>
        <w:tc>
          <w:tcPr>
            <w:tcW w:w="0" w:type="auto"/>
            <w:gridSpan w:val="3"/>
            <w:shd w:val="clear" w:color="auto" w:fill="auto"/>
            <w:vAlign w:val="bottom"/>
          </w:tcPr>
          <w:p w14:paraId="54066C04" w14:textId="77777777" w:rsidR="00611BDD" w:rsidRDefault="00611BDD">
            <w:pPr>
              <w:rPr>
                <w:rFonts w:ascii="宋体"/>
                <w:vanish/>
              </w:rPr>
            </w:pPr>
          </w:p>
        </w:tc>
      </w:tr>
      <w:tr w:rsidR="00611BDD" w14:paraId="54066C1E" w14:textId="77777777">
        <w:tc>
          <w:tcPr>
            <w:tcW w:w="0" w:type="auto"/>
            <w:gridSpan w:val="3"/>
            <w:shd w:val="clear" w:color="auto" w:fill="E2EFD9"/>
            <w:tcMar>
              <w:top w:w="40" w:type="dxa"/>
              <w:left w:w="20" w:type="dxa"/>
              <w:bottom w:w="40" w:type="dxa"/>
              <w:right w:w="20" w:type="dxa"/>
            </w:tcMar>
            <w:vAlign w:val="bottom"/>
          </w:tcPr>
          <w:p w14:paraId="54066C06" w14:textId="77777777" w:rsidR="00611BDD" w:rsidRDefault="002E18C7">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C07"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C08" w14:textId="77777777" w:rsidR="00611BDD" w:rsidRDefault="002E18C7">
            <w:pPr>
              <w:jc w:val="right"/>
              <w:textAlignment w:val="bottom"/>
            </w:pPr>
            <w:r>
              <w:rPr>
                <w:rFonts w:ascii="sans-serif" w:eastAsia="sans-serif" w:hAnsi="sans-serif" w:cs="sans-serif"/>
                <w:color w:val="000000"/>
                <w:sz w:val="20"/>
                <w:szCs w:val="20"/>
              </w:rPr>
              <w:t>19,360 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C0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C0A"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C0B"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C0C" w14:textId="77777777" w:rsidR="00611BDD" w:rsidRDefault="002E18C7">
            <w:pPr>
              <w:jc w:val="right"/>
              <w:textAlignment w:val="bottom"/>
            </w:pPr>
            <w:r>
              <w:rPr>
                <w:rFonts w:ascii="sans-serif" w:eastAsia="sans-serif" w:hAnsi="sans-serif" w:cs="sans-serif"/>
                <w:color w:val="000000"/>
                <w:sz w:val="20"/>
                <w:szCs w:val="20"/>
              </w:rPr>
              <w:t>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C0D"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C0E"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C0F"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C10" w14:textId="77777777" w:rsidR="00611BDD" w:rsidRDefault="002E18C7">
            <w:pPr>
              <w:jc w:val="right"/>
              <w:textAlignment w:val="bottom"/>
            </w:pPr>
            <w:r>
              <w:rPr>
                <w:rFonts w:ascii="sans-serif" w:eastAsia="sans-serif" w:hAnsi="sans-serif" w:cs="sans-serif"/>
                <w:color w:val="000000"/>
                <w:sz w:val="20"/>
                <w:szCs w:val="20"/>
              </w:rPr>
              <w:t>(1)</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C11"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C12"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C13"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C14" w14:textId="77777777" w:rsidR="00611BDD" w:rsidRDefault="002E18C7">
            <w:pPr>
              <w:jc w:val="right"/>
              <w:textAlignment w:val="bottom"/>
            </w:pPr>
            <w:r>
              <w:rPr>
                <w:rFonts w:ascii="sans-serif" w:eastAsia="sans-serif" w:hAnsi="sans-serif" w:cs="sans-serif"/>
                <w:color w:val="000000"/>
                <w:sz w:val="20"/>
                <w:szCs w:val="20"/>
              </w:rPr>
              <w:t>19,363 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C15"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C16"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C17"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C18" w14:textId="77777777" w:rsidR="00611BDD" w:rsidRDefault="002E18C7">
            <w:pPr>
              <w:jc w:val="right"/>
              <w:textAlignment w:val="bottom"/>
            </w:pPr>
            <w:r>
              <w:rPr>
                <w:rFonts w:ascii="sans-serif" w:eastAsia="sans-serif" w:hAnsi="sans-serif" w:cs="sans-serif"/>
                <w:color w:val="000000"/>
                <w:sz w:val="20"/>
                <w:szCs w:val="20"/>
              </w:rPr>
              <w:t>5,337 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C1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C1A"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C1B"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C1C" w14:textId="77777777" w:rsidR="00611BDD" w:rsidRDefault="002E18C7">
            <w:pPr>
              <w:jc w:val="right"/>
              <w:textAlignment w:val="bottom"/>
            </w:pPr>
            <w:r>
              <w:rPr>
                <w:rFonts w:ascii="sans-serif" w:eastAsia="sans-serif" w:hAnsi="sans-serif" w:cs="sans-serif"/>
                <w:color w:val="000000"/>
                <w:sz w:val="20"/>
                <w:szCs w:val="20"/>
              </w:rPr>
              <w:t>14,026 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C1D" w14:textId="77777777" w:rsidR="00611BDD" w:rsidRDefault="00611BDD">
            <w:pPr>
              <w:jc w:val="right"/>
              <w:rPr>
                <w:rFonts w:ascii="宋体"/>
              </w:rPr>
            </w:pPr>
          </w:p>
        </w:tc>
      </w:tr>
    </w:tbl>
    <w:p w14:paraId="54066C1F" w14:textId="77777777" w:rsidR="00611BDD" w:rsidRDefault="00611BDD">
      <w:pPr>
        <w:rPr>
          <w:vanish/>
        </w:rPr>
      </w:pPr>
    </w:p>
    <w:tbl>
      <w:tblPr>
        <w:tblW w:w="4971" w:type="pct"/>
        <w:tblCellMar>
          <w:top w:w="15" w:type="dxa"/>
          <w:left w:w="15" w:type="dxa"/>
          <w:bottom w:w="15" w:type="dxa"/>
          <w:right w:w="15" w:type="dxa"/>
        </w:tblCellMar>
        <w:tblLook w:val="04A0" w:firstRow="1" w:lastRow="0" w:firstColumn="1" w:lastColumn="0" w:noHBand="0" w:noVBand="1"/>
      </w:tblPr>
      <w:tblGrid>
        <w:gridCol w:w="38"/>
        <w:gridCol w:w="1627"/>
        <w:gridCol w:w="37"/>
        <w:gridCol w:w="123"/>
        <w:gridCol w:w="816"/>
        <w:gridCol w:w="36"/>
        <w:gridCol w:w="36"/>
        <w:gridCol w:w="36"/>
        <w:gridCol w:w="36"/>
        <w:gridCol w:w="123"/>
        <w:gridCol w:w="842"/>
        <w:gridCol w:w="36"/>
        <w:gridCol w:w="36"/>
        <w:gridCol w:w="36"/>
        <w:gridCol w:w="36"/>
        <w:gridCol w:w="123"/>
        <w:gridCol w:w="839"/>
        <w:gridCol w:w="36"/>
        <w:gridCol w:w="36"/>
        <w:gridCol w:w="36"/>
        <w:gridCol w:w="36"/>
        <w:gridCol w:w="123"/>
        <w:gridCol w:w="785"/>
        <w:gridCol w:w="36"/>
        <w:gridCol w:w="36"/>
        <w:gridCol w:w="36"/>
        <w:gridCol w:w="36"/>
        <w:gridCol w:w="123"/>
        <w:gridCol w:w="904"/>
        <w:gridCol w:w="36"/>
        <w:gridCol w:w="36"/>
        <w:gridCol w:w="36"/>
        <w:gridCol w:w="36"/>
        <w:gridCol w:w="123"/>
        <w:gridCol w:w="906"/>
        <w:gridCol w:w="36"/>
      </w:tblGrid>
      <w:tr w:rsidR="00611BDD" w14:paraId="54066C44" w14:textId="77777777">
        <w:tc>
          <w:tcPr>
            <w:tcW w:w="50" w:type="pct"/>
            <w:shd w:val="clear" w:color="auto" w:fill="auto"/>
            <w:vAlign w:val="bottom"/>
          </w:tcPr>
          <w:p w14:paraId="54066C20" w14:textId="77777777" w:rsidR="00611BDD" w:rsidRDefault="00611BDD">
            <w:pPr>
              <w:rPr>
                <w:rFonts w:ascii="宋体"/>
              </w:rPr>
            </w:pPr>
          </w:p>
        </w:tc>
        <w:tc>
          <w:tcPr>
            <w:tcW w:w="1481" w:type="pct"/>
            <w:shd w:val="clear" w:color="auto" w:fill="auto"/>
            <w:vAlign w:val="bottom"/>
          </w:tcPr>
          <w:p w14:paraId="54066C21" w14:textId="77777777" w:rsidR="00611BDD" w:rsidRDefault="00611BDD">
            <w:pPr>
              <w:rPr>
                <w:rFonts w:ascii="宋体"/>
              </w:rPr>
            </w:pPr>
          </w:p>
        </w:tc>
        <w:tc>
          <w:tcPr>
            <w:tcW w:w="5" w:type="pct"/>
            <w:shd w:val="clear" w:color="auto" w:fill="auto"/>
            <w:vAlign w:val="bottom"/>
          </w:tcPr>
          <w:p w14:paraId="54066C22" w14:textId="77777777" w:rsidR="00611BDD" w:rsidRDefault="00611BDD">
            <w:pPr>
              <w:rPr>
                <w:rFonts w:ascii="宋体"/>
              </w:rPr>
            </w:pPr>
          </w:p>
        </w:tc>
        <w:tc>
          <w:tcPr>
            <w:tcW w:w="50" w:type="pct"/>
            <w:shd w:val="clear" w:color="auto" w:fill="auto"/>
            <w:vAlign w:val="bottom"/>
          </w:tcPr>
          <w:p w14:paraId="54066C23" w14:textId="77777777" w:rsidR="00611BDD" w:rsidRDefault="00611BDD">
            <w:pPr>
              <w:rPr>
                <w:rFonts w:ascii="宋体"/>
              </w:rPr>
            </w:pPr>
          </w:p>
        </w:tc>
        <w:tc>
          <w:tcPr>
            <w:tcW w:w="481" w:type="pct"/>
            <w:shd w:val="clear" w:color="auto" w:fill="auto"/>
            <w:vAlign w:val="bottom"/>
          </w:tcPr>
          <w:p w14:paraId="54066C24" w14:textId="77777777" w:rsidR="00611BDD" w:rsidRDefault="00611BDD">
            <w:pPr>
              <w:rPr>
                <w:rFonts w:ascii="宋体"/>
              </w:rPr>
            </w:pPr>
          </w:p>
        </w:tc>
        <w:tc>
          <w:tcPr>
            <w:tcW w:w="5" w:type="pct"/>
            <w:shd w:val="clear" w:color="auto" w:fill="auto"/>
            <w:vAlign w:val="bottom"/>
          </w:tcPr>
          <w:p w14:paraId="54066C25" w14:textId="77777777" w:rsidR="00611BDD" w:rsidRDefault="00611BDD">
            <w:pPr>
              <w:rPr>
                <w:rFonts w:ascii="宋体"/>
              </w:rPr>
            </w:pPr>
          </w:p>
        </w:tc>
        <w:tc>
          <w:tcPr>
            <w:tcW w:w="5" w:type="pct"/>
            <w:shd w:val="clear" w:color="auto" w:fill="auto"/>
            <w:vAlign w:val="bottom"/>
          </w:tcPr>
          <w:p w14:paraId="54066C26" w14:textId="77777777" w:rsidR="00611BDD" w:rsidRDefault="00611BDD">
            <w:pPr>
              <w:rPr>
                <w:rFonts w:ascii="宋体"/>
              </w:rPr>
            </w:pPr>
          </w:p>
        </w:tc>
        <w:tc>
          <w:tcPr>
            <w:tcW w:w="26" w:type="pct"/>
            <w:shd w:val="clear" w:color="auto" w:fill="auto"/>
            <w:vAlign w:val="bottom"/>
          </w:tcPr>
          <w:p w14:paraId="54066C27" w14:textId="77777777" w:rsidR="00611BDD" w:rsidRDefault="00611BDD">
            <w:pPr>
              <w:rPr>
                <w:rFonts w:ascii="宋体"/>
              </w:rPr>
            </w:pPr>
          </w:p>
        </w:tc>
        <w:tc>
          <w:tcPr>
            <w:tcW w:w="5" w:type="pct"/>
            <w:shd w:val="clear" w:color="auto" w:fill="auto"/>
            <w:vAlign w:val="bottom"/>
          </w:tcPr>
          <w:p w14:paraId="54066C28" w14:textId="77777777" w:rsidR="00611BDD" w:rsidRDefault="00611BDD">
            <w:pPr>
              <w:rPr>
                <w:rFonts w:ascii="宋体"/>
              </w:rPr>
            </w:pPr>
          </w:p>
        </w:tc>
        <w:tc>
          <w:tcPr>
            <w:tcW w:w="50" w:type="pct"/>
            <w:shd w:val="clear" w:color="auto" w:fill="auto"/>
            <w:vAlign w:val="bottom"/>
          </w:tcPr>
          <w:p w14:paraId="54066C29" w14:textId="77777777" w:rsidR="00611BDD" w:rsidRDefault="00611BDD">
            <w:pPr>
              <w:rPr>
                <w:rFonts w:ascii="宋体"/>
              </w:rPr>
            </w:pPr>
          </w:p>
        </w:tc>
        <w:tc>
          <w:tcPr>
            <w:tcW w:w="496" w:type="pct"/>
            <w:shd w:val="clear" w:color="auto" w:fill="auto"/>
            <w:vAlign w:val="bottom"/>
          </w:tcPr>
          <w:p w14:paraId="54066C2A" w14:textId="77777777" w:rsidR="00611BDD" w:rsidRDefault="00611BDD">
            <w:pPr>
              <w:rPr>
                <w:rFonts w:ascii="宋体"/>
              </w:rPr>
            </w:pPr>
          </w:p>
        </w:tc>
        <w:tc>
          <w:tcPr>
            <w:tcW w:w="5" w:type="pct"/>
            <w:shd w:val="clear" w:color="auto" w:fill="auto"/>
            <w:vAlign w:val="bottom"/>
          </w:tcPr>
          <w:p w14:paraId="54066C2B" w14:textId="77777777" w:rsidR="00611BDD" w:rsidRDefault="00611BDD">
            <w:pPr>
              <w:rPr>
                <w:rFonts w:ascii="宋体"/>
              </w:rPr>
            </w:pPr>
          </w:p>
        </w:tc>
        <w:tc>
          <w:tcPr>
            <w:tcW w:w="5" w:type="pct"/>
            <w:shd w:val="clear" w:color="auto" w:fill="auto"/>
            <w:vAlign w:val="bottom"/>
          </w:tcPr>
          <w:p w14:paraId="54066C2C" w14:textId="77777777" w:rsidR="00611BDD" w:rsidRDefault="00611BDD">
            <w:pPr>
              <w:rPr>
                <w:rFonts w:ascii="宋体"/>
              </w:rPr>
            </w:pPr>
          </w:p>
        </w:tc>
        <w:tc>
          <w:tcPr>
            <w:tcW w:w="26" w:type="pct"/>
            <w:shd w:val="clear" w:color="auto" w:fill="auto"/>
            <w:vAlign w:val="bottom"/>
          </w:tcPr>
          <w:p w14:paraId="54066C2D" w14:textId="77777777" w:rsidR="00611BDD" w:rsidRDefault="00611BDD">
            <w:pPr>
              <w:rPr>
                <w:rFonts w:ascii="宋体"/>
              </w:rPr>
            </w:pPr>
          </w:p>
        </w:tc>
        <w:tc>
          <w:tcPr>
            <w:tcW w:w="5" w:type="pct"/>
            <w:shd w:val="clear" w:color="auto" w:fill="auto"/>
            <w:vAlign w:val="bottom"/>
          </w:tcPr>
          <w:p w14:paraId="54066C2E" w14:textId="77777777" w:rsidR="00611BDD" w:rsidRDefault="00611BDD">
            <w:pPr>
              <w:rPr>
                <w:rFonts w:ascii="宋体"/>
              </w:rPr>
            </w:pPr>
          </w:p>
        </w:tc>
        <w:tc>
          <w:tcPr>
            <w:tcW w:w="50" w:type="pct"/>
            <w:shd w:val="clear" w:color="auto" w:fill="auto"/>
            <w:vAlign w:val="bottom"/>
          </w:tcPr>
          <w:p w14:paraId="54066C2F" w14:textId="77777777" w:rsidR="00611BDD" w:rsidRDefault="00611BDD">
            <w:pPr>
              <w:rPr>
                <w:rFonts w:ascii="宋体"/>
              </w:rPr>
            </w:pPr>
          </w:p>
        </w:tc>
        <w:tc>
          <w:tcPr>
            <w:tcW w:w="481" w:type="pct"/>
            <w:shd w:val="clear" w:color="auto" w:fill="auto"/>
            <w:vAlign w:val="bottom"/>
          </w:tcPr>
          <w:p w14:paraId="54066C30" w14:textId="77777777" w:rsidR="00611BDD" w:rsidRDefault="00611BDD">
            <w:pPr>
              <w:rPr>
                <w:rFonts w:ascii="宋体"/>
              </w:rPr>
            </w:pPr>
          </w:p>
        </w:tc>
        <w:tc>
          <w:tcPr>
            <w:tcW w:w="5" w:type="pct"/>
            <w:shd w:val="clear" w:color="auto" w:fill="auto"/>
            <w:vAlign w:val="bottom"/>
          </w:tcPr>
          <w:p w14:paraId="54066C31" w14:textId="77777777" w:rsidR="00611BDD" w:rsidRDefault="00611BDD">
            <w:pPr>
              <w:rPr>
                <w:rFonts w:ascii="宋体"/>
              </w:rPr>
            </w:pPr>
          </w:p>
        </w:tc>
        <w:tc>
          <w:tcPr>
            <w:tcW w:w="5" w:type="pct"/>
            <w:shd w:val="clear" w:color="auto" w:fill="auto"/>
            <w:vAlign w:val="bottom"/>
          </w:tcPr>
          <w:p w14:paraId="54066C32" w14:textId="77777777" w:rsidR="00611BDD" w:rsidRDefault="00611BDD">
            <w:pPr>
              <w:rPr>
                <w:rFonts w:ascii="宋体"/>
              </w:rPr>
            </w:pPr>
          </w:p>
        </w:tc>
        <w:tc>
          <w:tcPr>
            <w:tcW w:w="26" w:type="pct"/>
            <w:shd w:val="clear" w:color="auto" w:fill="auto"/>
            <w:vAlign w:val="bottom"/>
          </w:tcPr>
          <w:p w14:paraId="54066C33" w14:textId="77777777" w:rsidR="00611BDD" w:rsidRDefault="00611BDD">
            <w:pPr>
              <w:rPr>
                <w:rFonts w:ascii="宋体"/>
              </w:rPr>
            </w:pPr>
          </w:p>
        </w:tc>
        <w:tc>
          <w:tcPr>
            <w:tcW w:w="5" w:type="pct"/>
            <w:shd w:val="clear" w:color="auto" w:fill="auto"/>
            <w:vAlign w:val="bottom"/>
          </w:tcPr>
          <w:p w14:paraId="54066C34" w14:textId="77777777" w:rsidR="00611BDD" w:rsidRDefault="00611BDD">
            <w:pPr>
              <w:rPr>
                <w:rFonts w:ascii="宋体"/>
              </w:rPr>
            </w:pPr>
          </w:p>
        </w:tc>
        <w:tc>
          <w:tcPr>
            <w:tcW w:w="50" w:type="pct"/>
            <w:shd w:val="clear" w:color="auto" w:fill="auto"/>
            <w:vAlign w:val="bottom"/>
          </w:tcPr>
          <w:p w14:paraId="54066C35" w14:textId="77777777" w:rsidR="00611BDD" w:rsidRDefault="00611BDD">
            <w:pPr>
              <w:rPr>
                <w:rFonts w:ascii="宋体"/>
              </w:rPr>
            </w:pPr>
          </w:p>
        </w:tc>
        <w:tc>
          <w:tcPr>
            <w:tcW w:w="481" w:type="pct"/>
            <w:shd w:val="clear" w:color="auto" w:fill="auto"/>
            <w:vAlign w:val="bottom"/>
          </w:tcPr>
          <w:p w14:paraId="54066C36" w14:textId="77777777" w:rsidR="00611BDD" w:rsidRDefault="00611BDD">
            <w:pPr>
              <w:rPr>
                <w:rFonts w:ascii="宋体"/>
              </w:rPr>
            </w:pPr>
          </w:p>
        </w:tc>
        <w:tc>
          <w:tcPr>
            <w:tcW w:w="5" w:type="pct"/>
            <w:shd w:val="clear" w:color="auto" w:fill="auto"/>
            <w:vAlign w:val="bottom"/>
          </w:tcPr>
          <w:p w14:paraId="54066C37" w14:textId="77777777" w:rsidR="00611BDD" w:rsidRDefault="00611BDD">
            <w:pPr>
              <w:rPr>
                <w:rFonts w:ascii="宋体"/>
              </w:rPr>
            </w:pPr>
          </w:p>
        </w:tc>
        <w:tc>
          <w:tcPr>
            <w:tcW w:w="5" w:type="pct"/>
            <w:shd w:val="clear" w:color="auto" w:fill="auto"/>
            <w:vAlign w:val="bottom"/>
          </w:tcPr>
          <w:p w14:paraId="54066C38" w14:textId="77777777" w:rsidR="00611BDD" w:rsidRDefault="00611BDD">
            <w:pPr>
              <w:rPr>
                <w:rFonts w:ascii="宋体"/>
              </w:rPr>
            </w:pPr>
          </w:p>
        </w:tc>
        <w:tc>
          <w:tcPr>
            <w:tcW w:w="26" w:type="pct"/>
            <w:shd w:val="clear" w:color="auto" w:fill="auto"/>
            <w:vAlign w:val="bottom"/>
          </w:tcPr>
          <w:p w14:paraId="54066C39" w14:textId="77777777" w:rsidR="00611BDD" w:rsidRDefault="00611BDD">
            <w:pPr>
              <w:rPr>
                <w:rFonts w:ascii="宋体"/>
              </w:rPr>
            </w:pPr>
          </w:p>
        </w:tc>
        <w:tc>
          <w:tcPr>
            <w:tcW w:w="5" w:type="pct"/>
            <w:shd w:val="clear" w:color="auto" w:fill="auto"/>
            <w:vAlign w:val="bottom"/>
          </w:tcPr>
          <w:p w14:paraId="54066C3A" w14:textId="77777777" w:rsidR="00611BDD" w:rsidRDefault="00611BDD">
            <w:pPr>
              <w:rPr>
                <w:rFonts w:ascii="宋体"/>
              </w:rPr>
            </w:pPr>
          </w:p>
        </w:tc>
        <w:tc>
          <w:tcPr>
            <w:tcW w:w="50" w:type="pct"/>
            <w:shd w:val="clear" w:color="auto" w:fill="auto"/>
            <w:vAlign w:val="bottom"/>
          </w:tcPr>
          <w:p w14:paraId="54066C3B" w14:textId="77777777" w:rsidR="00611BDD" w:rsidRDefault="00611BDD">
            <w:pPr>
              <w:rPr>
                <w:rFonts w:ascii="宋体"/>
              </w:rPr>
            </w:pPr>
          </w:p>
        </w:tc>
        <w:tc>
          <w:tcPr>
            <w:tcW w:w="511" w:type="pct"/>
            <w:shd w:val="clear" w:color="auto" w:fill="auto"/>
            <w:vAlign w:val="bottom"/>
          </w:tcPr>
          <w:p w14:paraId="54066C3C" w14:textId="77777777" w:rsidR="00611BDD" w:rsidRDefault="00611BDD">
            <w:pPr>
              <w:rPr>
                <w:rFonts w:ascii="宋体"/>
              </w:rPr>
            </w:pPr>
          </w:p>
        </w:tc>
        <w:tc>
          <w:tcPr>
            <w:tcW w:w="5" w:type="pct"/>
            <w:shd w:val="clear" w:color="auto" w:fill="auto"/>
            <w:vAlign w:val="bottom"/>
          </w:tcPr>
          <w:p w14:paraId="54066C3D" w14:textId="77777777" w:rsidR="00611BDD" w:rsidRDefault="00611BDD">
            <w:pPr>
              <w:rPr>
                <w:rFonts w:ascii="宋体"/>
              </w:rPr>
            </w:pPr>
          </w:p>
        </w:tc>
        <w:tc>
          <w:tcPr>
            <w:tcW w:w="5" w:type="pct"/>
            <w:shd w:val="clear" w:color="auto" w:fill="auto"/>
            <w:vAlign w:val="bottom"/>
          </w:tcPr>
          <w:p w14:paraId="54066C3E" w14:textId="77777777" w:rsidR="00611BDD" w:rsidRDefault="00611BDD">
            <w:pPr>
              <w:rPr>
                <w:rFonts w:ascii="宋体"/>
              </w:rPr>
            </w:pPr>
          </w:p>
        </w:tc>
        <w:tc>
          <w:tcPr>
            <w:tcW w:w="26" w:type="pct"/>
            <w:shd w:val="clear" w:color="auto" w:fill="auto"/>
            <w:vAlign w:val="bottom"/>
          </w:tcPr>
          <w:p w14:paraId="54066C3F" w14:textId="77777777" w:rsidR="00611BDD" w:rsidRDefault="00611BDD">
            <w:pPr>
              <w:rPr>
                <w:rFonts w:ascii="宋体"/>
              </w:rPr>
            </w:pPr>
          </w:p>
        </w:tc>
        <w:tc>
          <w:tcPr>
            <w:tcW w:w="5" w:type="pct"/>
            <w:shd w:val="clear" w:color="auto" w:fill="auto"/>
            <w:vAlign w:val="bottom"/>
          </w:tcPr>
          <w:p w14:paraId="54066C40" w14:textId="77777777" w:rsidR="00611BDD" w:rsidRDefault="00611BDD">
            <w:pPr>
              <w:rPr>
                <w:rFonts w:ascii="宋体"/>
              </w:rPr>
            </w:pPr>
          </w:p>
        </w:tc>
        <w:tc>
          <w:tcPr>
            <w:tcW w:w="50" w:type="pct"/>
            <w:shd w:val="clear" w:color="auto" w:fill="auto"/>
            <w:vAlign w:val="bottom"/>
          </w:tcPr>
          <w:p w14:paraId="54066C41" w14:textId="77777777" w:rsidR="00611BDD" w:rsidRDefault="00611BDD">
            <w:pPr>
              <w:rPr>
                <w:rFonts w:ascii="宋体"/>
              </w:rPr>
            </w:pPr>
          </w:p>
        </w:tc>
        <w:tc>
          <w:tcPr>
            <w:tcW w:w="496" w:type="pct"/>
            <w:shd w:val="clear" w:color="auto" w:fill="auto"/>
            <w:vAlign w:val="bottom"/>
          </w:tcPr>
          <w:p w14:paraId="54066C42" w14:textId="77777777" w:rsidR="00611BDD" w:rsidRDefault="00611BDD">
            <w:pPr>
              <w:rPr>
                <w:rFonts w:ascii="宋体"/>
              </w:rPr>
            </w:pPr>
          </w:p>
        </w:tc>
        <w:tc>
          <w:tcPr>
            <w:tcW w:w="5" w:type="pct"/>
            <w:shd w:val="clear" w:color="auto" w:fill="auto"/>
            <w:vAlign w:val="bottom"/>
          </w:tcPr>
          <w:p w14:paraId="54066C43" w14:textId="77777777" w:rsidR="00611BDD" w:rsidRDefault="00611BDD">
            <w:pPr>
              <w:rPr>
                <w:rFonts w:ascii="宋体"/>
              </w:rPr>
            </w:pPr>
          </w:p>
        </w:tc>
      </w:tr>
      <w:tr w:rsidR="00611BDD" w14:paraId="54066C47" w14:textId="77777777">
        <w:tc>
          <w:tcPr>
            <w:tcW w:w="0" w:type="auto"/>
            <w:gridSpan w:val="3"/>
            <w:shd w:val="clear" w:color="auto" w:fill="auto"/>
            <w:tcMar>
              <w:top w:w="40" w:type="dxa"/>
              <w:left w:w="20" w:type="dxa"/>
              <w:bottom w:w="40" w:type="dxa"/>
              <w:right w:w="20" w:type="dxa"/>
            </w:tcMar>
            <w:vAlign w:val="bottom"/>
          </w:tcPr>
          <w:p w14:paraId="54066C45" w14:textId="77777777" w:rsidR="00611BDD" w:rsidRDefault="002E18C7">
            <w:pPr>
              <w:textAlignment w:val="bottom"/>
            </w:pPr>
            <w:r>
              <w:rPr>
                <w:rFonts w:ascii="sans-serif" w:eastAsia="sans-serif" w:hAnsi="sans-serif" w:cs="sans-serif"/>
                <w:color w:val="000000"/>
                <w:sz w:val="20"/>
                <w:szCs w:val="20"/>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4066C46" w14:textId="77777777" w:rsidR="00611BDD" w:rsidRDefault="002E18C7">
            <w:pPr>
              <w:jc w:val="center"/>
              <w:textAlignment w:val="bottom"/>
            </w:pPr>
            <w:r>
              <w:rPr>
                <w:rFonts w:ascii="sans-serif" w:eastAsia="sans-serif" w:hAnsi="sans-serif" w:cs="sans-serif"/>
                <w:b/>
                <w:bCs/>
                <w:color w:val="000000"/>
                <w:sz w:val="20"/>
                <w:szCs w:val="20"/>
              </w:rPr>
              <w:t>January 31, 2021</w:t>
            </w:r>
          </w:p>
        </w:tc>
      </w:tr>
      <w:tr w:rsidR="00611BDD" w14:paraId="54066C52" w14:textId="77777777">
        <w:trPr>
          <w:trHeight w:val="300"/>
        </w:trPr>
        <w:tc>
          <w:tcPr>
            <w:tcW w:w="0" w:type="auto"/>
            <w:gridSpan w:val="3"/>
            <w:shd w:val="clear" w:color="auto" w:fill="auto"/>
            <w:tcMar>
              <w:top w:w="0" w:type="dxa"/>
              <w:left w:w="20" w:type="dxa"/>
              <w:bottom w:w="0" w:type="dxa"/>
              <w:right w:w="20" w:type="dxa"/>
            </w:tcMar>
            <w:vAlign w:val="bottom"/>
          </w:tcPr>
          <w:p w14:paraId="54066C48" w14:textId="77777777" w:rsidR="00611BDD" w:rsidRDefault="00611BD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4066C49" w14:textId="77777777" w:rsidR="00611BDD" w:rsidRDefault="002E18C7">
            <w:pPr>
              <w:jc w:val="center"/>
              <w:textAlignment w:val="bottom"/>
            </w:pPr>
            <w:r>
              <w:rPr>
                <w:rFonts w:ascii="sans-serif" w:eastAsia="sans-serif" w:hAnsi="sans-serif" w:cs="sans-serif"/>
                <w:b/>
                <w:bCs/>
                <w:color w:val="000000"/>
                <w:sz w:val="20"/>
                <w:szCs w:val="20"/>
              </w:rPr>
              <w:t>Amortized</w:t>
            </w:r>
            <w:r>
              <w:rPr>
                <w:rFonts w:ascii="sans-serif" w:eastAsia="sans-serif" w:hAnsi="sans-serif" w:cs="sans-serif"/>
                <w:b/>
                <w:bCs/>
                <w:color w:val="000000"/>
                <w:sz w:val="20"/>
                <w:szCs w:val="20"/>
              </w:rPr>
              <w:b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C4A" w14:textId="77777777" w:rsidR="00611BDD" w:rsidRDefault="00611BD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4066C4B" w14:textId="77777777" w:rsidR="00611BDD" w:rsidRDefault="002E18C7">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Gain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C4C" w14:textId="77777777" w:rsidR="00611BDD" w:rsidRDefault="00611BD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4066C4D" w14:textId="77777777" w:rsidR="00611BDD" w:rsidRDefault="002E18C7">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Loss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C4E" w14:textId="77777777" w:rsidR="00611BDD" w:rsidRDefault="00611BD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4066C4F" w14:textId="77777777" w:rsidR="00611BDD" w:rsidRDefault="002E18C7">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C50" w14:textId="77777777" w:rsidR="00611BDD" w:rsidRDefault="00611BDD">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4066C51" w14:textId="77777777" w:rsidR="00611BDD" w:rsidRDefault="002E18C7">
            <w:pPr>
              <w:jc w:val="center"/>
              <w:textAlignment w:val="bottom"/>
            </w:pPr>
            <w:r>
              <w:rPr>
                <w:rFonts w:ascii="sans-serif" w:eastAsia="sans-serif" w:hAnsi="sans-serif" w:cs="sans-serif"/>
                <w:b/>
                <w:bCs/>
                <w:color w:val="000000"/>
                <w:sz w:val="20"/>
                <w:szCs w:val="20"/>
              </w:rPr>
              <w:t>Reported as</w:t>
            </w:r>
          </w:p>
        </w:tc>
      </w:tr>
      <w:tr w:rsidR="00611BDD" w14:paraId="54066C5F" w14:textId="77777777">
        <w:trPr>
          <w:trHeight w:val="520"/>
        </w:trPr>
        <w:tc>
          <w:tcPr>
            <w:tcW w:w="0" w:type="auto"/>
            <w:gridSpan w:val="3"/>
            <w:shd w:val="clear" w:color="auto" w:fill="auto"/>
            <w:tcMar>
              <w:top w:w="40" w:type="dxa"/>
              <w:left w:w="20" w:type="dxa"/>
              <w:bottom w:w="40" w:type="dxa"/>
              <w:right w:w="20" w:type="dxa"/>
            </w:tcMar>
            <w:vAlign w:val="bottom"/>
          </w:tcPr>
          <w:p w14:paraId="54066C53"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4066C54" w14:textId="77777777" w:rsidR="00611BDD" w:rsidRDefault="00611BDD">
            <w:pPr>
              <w:jc w:val="center"/>
              <w:rPr>
                <w:rFonts w:ascii="宋体"/>
              </w:rPr>
            </w:pPr>
          </w:p>
        </w:tc>
        <w:tc>
          <w:tcPr>
            <w:tcW w:w="0" w:type="auto"/>
            <w:gridSpan w:val="3"/>
            <w:shd w:val="clear" w:color="auto" w:fill="auto"/>
            <w:tcMar>
              <w:top w:w="0" w:type="dxa"/>
              <w:left w:w="20" w:type="dxa"/>
              <w:bottom w:w="0" w:type="dxa"/>
              <w:right w:w="20" w:type="dxa"/>
            </w:tcMar>
            <w:vAlign w:val="bottom"/>
          </w:tcPr>
          <w:p w14:paraId="54066C55" w14:textId="77777777" w:rsidR="00611BDD" w:rsidRDefault="00611BDD">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4066C56" w14:textId="77777777" w:rsidR="00611BDD" w:rsidRDefault="00611BDD">
            <w:pPr>
              <w:jc w:val="center"/>
              <w:rPr>
                <w:rFonts w:ascii="宋体"/>
              </w:rPr>
            </w:pPr>
          </w:p>
        </w:tc>
        <w:tc>
          <w:tcPr>
            <w:tcW w:w="0" w:type="auto"/>
            <w:gridSpan w:val="3"/>
            <w:shd w:val="clear" w:color="auto" w:fill="auto"/>
            <w:tcMar>
              <w:top w:w="0" w:type="dxa"/>
              <w:left w:w="20" w:type="dxa"/>
              <w:bottom w:w="0" w:type="dxa"/>
              <w:right w:w="20" w:type="dxa"/>
            </w:tcMar>
            <w:vAlign w:val="bottom"/>
          </w:tcPr>
          <w:p w14:paraId="54066C57" w14:textId="77777777" w:rsidR="00611BDD" w:rsidRDefault="00611BDD">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4066C58" w14:textId="77777777" w:rsidR="00611BDD" w:rsidRDefault="00611BDD">
            <w:pPr>
              <w:jc w:val="center"/>
              <w:rPr>
                <w:rFonts w:ascii="宋体"/>
              </w:rPr>
            </w:pPr>
          </w:p>
        </w:tc>
        <w:tc>
          <w:tcPr>
            <w:tcW w:w="0" w:type="auto"/>
            <w:gridSpan w:val="3"/>
            <w:shd w:val="clear" w:color="auto" w:fill="auto"/>
            <w:tcMar>
              <w:top w:w="0" w:type="dxa"/>
              <w:left w:w="20" w:type="dxa"/>
              <w:bottom w:w="0" w:type="dxa"/>
              <w:right w:w="20" w:type="dxa"/>
            </w:tcMar>
            <w:vAlign w:val="bottom"/>
          </w:tcPr>
          <w:p w14:paraId="54066C59" w14:textId="77777777" w:rsidR="00611BDD" w:rsidRDefault="00611BDD">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4066C5A" w14:textId="77777777" w:rsidR="00611BDD" w:rsidRDefault="00611BDD">
            <w:pPr>
              <w:jc w:val="center"/>
              <w:rPr>
                <w:rFonts w:ascii="宋体"/>
              </w:rPr>
            </w:pPr>
          </w:p>
        </w:tc>
        <w:tc>
          <w:tcPr>
            <w:tcW w:w="0" w:type="auto"/>
            <w:gridSpan w:val="3"/>
            <w:shd w:val="clear" w:color="auto" w:fill="auto"/>
            <w:tcMar>
              <w:top w:w="0" w:type="dxa"/>
              <w:left w:w="20" w:type="dxa"/>
              <w:bottom w:w="0" w:type="dxa"/>
              <w:right w:w="20" w:type="dxa"/>
            </w:tcMar>
            <w:vAlign w:val="bottom"/>
          </w:tcPr>
          <w:p w14:paraId="54066C5B"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C5C" w14:textId="77777777" w:rsidR="00611BDD" w:rsidRDefault="002E18C7">
            <w:pPr>
              <w:jc w:val="center"/>
              <w:textAlignment w:val="bottom"/>
            </w:pPr>
            <w:r>
              <w:rPr>
                <w:rFonts w:ascii="sans-serif" w:eastAsia="sans-serif" w:hAnsi="sans-serif" w:cs="sans-serif"/>
                <w:b/>
                <w:bCs/>
                <w:color w:val="000000"/>
                <w:sz w:val="20"/>
                <w:szCs w:val="20"/>
              </w:rPr>
              <w:t>Cash Equivalents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C5D"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C5E" w14:textId="77777777" w:rsidR="00611BDD" w:rsidRDefault="002E18C7">
            <w:pPr>
              <w:jc w:val="center"/>
              <w:textAlignment w:val="bottom"/>
            </w:pPr>
            <w:r>
              <w:rPr>
                <w:rFonts w:ascii="sans-serif" w:eastAsia="sans-serif" w:hAnsi="sans-serif" w:cs="sans-serif"/>
                <w:b/>
                <w:bCs/>
                <w:color w:val="000000"/>
                <w:sz w:val="20"/>
                <w:szCs w:val="20"/>
              </w:rPr>
              <w:t>Marketable Securities</w:t>
            </w:r>
          </w:p>
        </w:tc>
      </w:tr>
      <w:tr w:rsidR="00611BDD" w14:paraId="54066C6C" w14:textId="77777777">
        <w:trPr>
          <w:trHeight w:val="60"/>
        </w:trPr>
        <w:tc>
          <w:tcPr>
            <w:tcW w:w="0" w:type="auto"/>
            <w:gridSpan w:val="3"/>
            <w:shd w:val="clear" w:color="auto" w:fill="auto"/>
            <w:tcMar>
              <w:top w:w="0" w:type="dxa"/>
              <w:left w:w="20" w:type="dxa"/>
              <w:bottom w:w="0" w:type="dxa"/>
              <w:right w:w="20" w:type="dxa"/>
            </w:tcMar>
            <w:vAlign w:val="bottom"/>
          </w:tcPr>
          <w:p w14:paraId="54066C60"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C61"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C62"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C63"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C64"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C65"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C66"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C67"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C68"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C69"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C6A"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C6B" w14:textId="77777777" w:rsidR="00611BDD" w:rsidRDefault="00611BDD">
            <w:pPr>
              <w:rPr>
                <w:rFonts w:ascii="宋体"/>
              </w:rPr>
            </w:pPr>
          </w:p>
        </w:tc>
      </w:tr>
      <w:tr w:rsidR="00611BDD" w14:paraId="54066C6F" w14:textId="77777777">
        <w:tc>
          <w:tcPr>
            <w:tcW w:w="0" w:type="auto"/>
            <w:gridSpan w:val="3"/>
            <w:shd w:val="clear" w:color="auto" w:fill="auto"/>
            <w:tcMar>
              <w:top w:w="40" w:type="dxa"/>
              <w:left w:w="20" w:type="dxa"/>
              <w:bottom w:w="40" w:type="dxa"/>
              <w:right w:w="20" w:type="dxa"/>
            </w:tcMar>
            <w:vAlign w:val="bottom"/>
          </w:tcPr>
          <w:p w14:paraId="54066C6D" w14:textId="77777777" w:rsidR="00611BDD" w:rsidRDefault="002E18C7">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54066C6E" w14:textId="77777777" w:rsidR="00611BDD" w:rsidRDefault="002E18C7">
            <w:pPr>
              <w:jc w:val="center"/>
              <w:textAlignment w:val="bottom"/>
            </w:pPr>
            <w:r>
              <w:rPr>
                <w:rFonts w:ascii="sans-serif" w:eastAsia="sans-serif" w:hAnsi="sans-serif" w:cs="sans-serif"/>
                <w:i/>
                <w:iCs/>
                <w:color w:val="000000"/>
                <w:sz w:val="20"/>
                <w:szCs w:val="20"/>
              </w:rPr>
              <w:t>(In millions)</w:t>
            </w:r>
          </w:p>
        </w:tc>
      </w:tr>
      <w:tr w:rsidR="00611BDD" w14:paraId="54066C88" w14:textId="77777777">
        <w:tc>
          <w:tcPr>
            <w:tcW w:w="0" w:type="auto"/>
            <w:gridSpan w:val="3"/>
            <w:shd w:val="clear" w:color="auto" w:fill="E2EFD9"/>
            <w:tcMar>
              <w:top w:w="40" w:type="dxa"/>
              <w:left w:w="20" w:type="dxa"/>
              <w:bottom w:w="40" w:type="dxa"/>
              <w:right w:w="20" w:type="dxa"/>
            </w:tcMar>
            <w:vAlign w:val="bottom"/>
          </w:tcPr>
          <w:p w14:paraId="54066C70" w14:textId="77777777" w:rsidR="00611BDD" w:rsidRDefault="002E18C7">
            <w:pPr>
              <w:textAlignment w:val="bottom"/>
            </w:pPr>
            <w:r>
              <w:rPr>
                <w:rFonts w:ascii="sans-serif" w:eastAsia="sans-serif" w:hAnsi="sans-serif" w:cs="sans-serif"/>
                <w:color w:val="000000"/>
                <w:sz w:val="20"/>
                <w:szCs w:val="20"/>
              </w:rPr>
              <w:t>Corporate debt securities</w:t>
            </w:r>
          </w:p>
        </w:tc>
        <w:tc>
          <w:tcPr>
            <w:tcW w:w="0" w:type="auto"/>
            <w:shd w:val="clear" w:color="auto" w:fill="E2EFD9"/>
            <w:tcMar>
              <w:top w:w="40" w:type="dxa"/>
              <w:left w:w="20" w:type="dxa"/>
              <w:bottom w:w="40" w:type="dxa"/>
              <w:right w:w="0" w:type="dxa"/>
            </w:tcMar>
            <w:vAlign w:val="bottom"/>
          </w:tcPr>
          <w:p w14:paraId="54066C71"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C72" w14:textId="77777777" w:rsidR="00611BDD" w:rsidRDefault="002E18C7">
            <w:pPr>
              <w:jc w:val="right"/>
              <w:textAlignment w:val="bottom"/>
            </w:pPr>
            <w:r>
              <w:rPr>
                <w:rFonts w:ascii="sans-serif" w:eastAsia="sans-serif" w:hAnsi="sans-serif" w:cs="sans-serif"/>
                <w:color w:val="000000"/>
                <w:sz w:val="20"/>
                <w:szCs w:val="20"/>
              </w:rPr>
              <w:t>4,442 </w:t>
            </w:r>
          </w:p>
        </w:tc>
        <w:tc>
          <w:tcPr>
            <w:tcW w:w="0" w:type="auto"/>
            <w:shd w:val="clear" w:color="auto" w:fill="E2EFD9"/>
            <w:tcMar>
              <w:top w:w="40" w:type="dxa"/>
              <w:left w:w="0" w:type="dxa"/>
              <w:bottom w:w="40" w:type="dxa"/>
              <w:right w:w="20" w:type="dxa"/>
            </w:tcMar>
            <w:vAlign w:val="bottom"/>
          </w:tcPr>
          <w:p w14:paraId="54066C7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C74"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C75"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C76" w14:textId="77777777" w:rsidR="00611BDD" w:rsidRDefault="002E18C7">
            <w:pPr>
              <w:jc w:val="right"/>
              <w:textAlignment w:val="bottom"/>
            </w:pPr>
            <w:r>
              <w:rPr>
                <w:rFonts w:ascii="sans-serif" w:eastAsia="sans-serif" w:hAnsi="sans-serif" w:cs="sans-serif"/>
                <w:color w:val="000000"/>
                <w:sz w:val="20"/>
                <w:szCs w:val="20"/>
              </w:rPr>
              <w:t>2 </w:t>
            </w:r>
          </w:p>
        </w:tc>
        <w:tc>
          <w:tcPr>
            <w:tcW w:w="0" w:type="auto"/>
            <w:shd w:val="clear" w:color="auto" w:fill="E2EFD9"/>
            <w:tcMar>
              <w:top w:w="40" w:type="dxa"/>
              <w:left w:w="0" w:type="dxa"/>
              <w:bottom w:w="40" w:type="dxa"/>
              <w:right w:w="20" w:type="dxa"/>
            </w:tcMar>
            <w:vAlign w:val="bottom"/>
          </w:tcPr>
          <w:p w14:paraId="54066C77"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C78"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C79"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C7A"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4066C7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C7C"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C7D"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C7E" w14:textId="77777777" w:rsidR="00611BDD" w:rsidRDefault="002E18C7">
            <w:pPr>
              <w:jc w:val="right"/>
              <w:textAlignment w:val="bottom"/>
            </w:pPr>
            <w:r>
              <w:rPr>
                <w:rFonts w:ascii="sans-serif" w:eastAsia="sans-serif" w:hAnsi="sans-serif" w:cs="sans-serif"/>
                <w:color w:val="000000"/>
                <w:sz w:val="20"/>
                <w:szCs w:val="20"/>
              </w:rPr>
              <w:t>4,444 </w:t>
            </w:r>
          </w:p>
        </w:tc>
        <w:tc>
          <w:tcPr>
            <w:tcW w:w="0" w:type="auto"/>
            <w:shd w:val="clear" w:color="auto" w:fill="E2EFD9"/>
            <w:tcMar>
              <w:top w:w="40" w:type="dxa"/>
              <w:left w:w="0" w:type="dxa"/>
              <w:bottom w:w="40" w:type="dxa"/>
              <w:right w:w="20" w:type="dxa"/>
            </w:tcMar>
            <w:vAlign w:val="bottom"/>
          </w:tcPr>
          <w:p w14:paraId="54066C7F"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C80"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C81"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C82" w14:textId="77777777" w:rsidR="00611BDD" w:rsidRDefault="002E18C7">
            <w:pPr>
              <w:jc w:val="right"/>
              <w:textAlignment w:val="bottom"/>
            </w:pPr>
            <w:r>
              <w:rPr>
                <w:rFonts w:ascii="sans-serif" w:eastAsia="sans-serif" w:hAnsi="sans-serif" w:cs="sans-serif"/>
                <w:color w:val="000000"/>
                <w:sz w:val="20"/>
                <w:szCs w:val="20"/>
              </w:rPr>
              <w:t>234 </w:t>
            </w:r>
          </w:p>
        </w:tc>
        <w:tc>
          <w:tcPr>
            <w:tcW w:w="0" w:type="auto"/>
            <w:shd w:val="clear" w:color="auto" w:fill="E2EFD9"/>
            <w:tcMar>
              <w:top w:w="40" w:type="dxa"/>
              <w:left w:w="0" w:type="dxa"/>
              <w:bottom w:w="40" w:type="dxa"/>
              <w:right w:w="20" w:type="dxa"/>
            </w:tcMar>
            <w:vAlign w:val="bottom"/>
          </w:tcPr>
          <w:p w14:paraId="54066C8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C84"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C85"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C86" w14:textId="77777777" w:rsidR="00611BDD" w:rsidRDefault="002E18C7">
            <w:pPr>
              <w:jc w:val="right"/>
              <w:textAlignment w:val="bottom"/>
            </w:pPr>
            <w:r>
              <w:rPr>
                <w:rFonts w:ascii="sans-serif" w:eastAsia="sans-serif" w:hAnsi="sans-serif" w:cs="sans-serif"/>
                <w:color w:val="000000"/>
                <w:sz w:val="20"/>
                <w:szCs w:val="20"/>
              </w:rPr>
              <w:t>4,210 </w:t>
            </w:r>
          </w:p>
        </w:tc>
        <w:tc>
          <w:tcPr>
            <w:tcW w:w="0" w:type="auto"/>
            <w:shd w:val="clear" w:color="auto" w:fill="E2EFD9"/>
            <w:tcMar>
              <w:top w:w="40" w:type="dxa"/>
              <w:left w:w="0" w:type="dxa"/>
              <w:bottom w:w="40" w:type="dxa"/>
              <w:right w:w="20" w:type="dxa"/>
            </w:tcMar>
            <w:vAlign w:val="bottom"/>
          </w:tcPr>
          <w:p w14:paraId="54066C87" w14:textId="77777777" w:rsidR="00611BDD" w:rsidRDefault="00611BDD">
            <w:pPr>
              <w:jc w:val="right"/>
              <w:rPr>
                <w:rFonts w:ascii="宋体"/>
              </w:rPr>
            </w:pPr>
          </w:p>
        </w:tc>
      </w:tr>
      <w:tr w:rsidR="00611BDD" w14:paraId="54066C9B" w14:textId="77777777">
        <w:tc>
          <w:tcPr>
            <w:tcW w:w="0" w:type="auto"/>
            <w:gridSpan w:val="3"/>
            <w:shd w:val="clear" w:color="auto" w:fill="FFFFFF"/>
            <w:tcMar>
              <w:top w:w="40" w:type="dxa"/>
              <w:left w:w="20" w:type="dxa"/>
              <w:bottom w:w="40" w:type="dxa"/>
              <w:right w:w="20" w:type="dxa"/>
            </w:tcMar>
            <w:vAlign w:val="bottom"/>
          </w:tcPr>
          <w:p w14:paraId="54066C89" w14:textId="77777777" w:rsidR="00611BDD" w:rsidRDefault="002E18C7">
            <w:pPr>
              <w:textAlignment w:val="bottom"/>
            </w:pPr>
            <w:r>
              <w:rPr>
                <w:rFonts w:ascii="sans-serif" w:eastAsia="sans-serif" w:hAnsi="sans-serif" w:cs="sans-serif"/>
                <w:color w:val="000000"/>
                <w:sz w:val="20"/>
                <w:szCs w:val="20"/>
              </w:rPr>
              <w:t>Debt securi</w:t>
            </w:r>
            <w:r>
              <w:rPr>
                <w:rFonts w:ascii="sans-serif" w:eastAsia="sans-serif" w:hAnsi="sans-serif" w:cs="sans-serif"/>
                <w:color w:val="000000"/>
                <w:sz w:val="20"/>
                <w:szCs w:val="20"/>
              </w:rPr>
              <w:t>ties issued by United States government agencies</w:t>
            </w:r>
          </w:p>
        </w:tc>
        <w:tc>
          <w:tcPr>
            <w:tcW w:w="0" w:type="auto"/>
            <w:gridSpan w:val="2"/>
            <w:shd w:val="clear" w:color="auto" w:fill="FFFFFF"/>
            <w:tcMar>
              <w:top w:w="40" w:type="dxa"/>
              <w:left w:w="20" w:type="dxa"/>
              <w:bottom w:w="40" w:type="dxa"/>
              <w:right w:w="0" w:type="dxa"/>
            </w:tcMar>
            <w:vAlign w:val="bottom"/>
          </w:tcPr>
          <w:p w14:paraId="54066C8A" w14:textId="77777777" w:rsidR="00611BDD" w:rsidRDefault="002E18C7">
            <w:pPr>
              <w:jc w:val="right"/>
              <w:textAlignment w:val="bottom"/>
            </w:pPr>
            <w:r>
              <w:rPr>
                <w:rFonts w:ascii="sans-serif" w:eastAsia="sans-serif" w:hAnsi="sans-serif" w:cs="sans-serif"/>
                <w:color w:val="000000"/>
                <w:sz w:val="20"/>
                <w:szCs w:val="20"/>
              </w:rPr>
              <w:t>2,975 </w:t>
            </w:r>
          </w:p>
        </w:tc>
        <w:tc>
          <w:tcPr>
            <w:tcW w:w="0" w:type="auto"/>
            <w:shd w:val="clear" w:color="auto" w:fill="FFFFFF"/>
            <w:tcMar>
              <w:top w:w="40" w:type="dxa"/>
              <w:left w:w="0" w:type="dxa"/>
              <w:bottom w:w="40" w:type="dxa"/>
              <w:right w:w="20" w:type="dxa"/>
            </w:tcMar>
            <w:vAlign w:val="bottom"/>
          </w:tcPr>
          <w:p w14:paraId="54066C8B"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C8C"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C8D" w14:textId="77777777" w:rsidR="00611BDD" w:rsidRDefault="002E18C7">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54066C8E"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C8F"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C90"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4066C91"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C92"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C93" w14:textId="77777777" w:rsidR="00611BDD" w:rsidRDefault="002E18C7">
            <w:pPr>
              <w:jc w:val="right"/>
              <w:textAlignment w:val="bottom"/>
            </w:pPr>
            <w:r>
              <w:rPr>
                <w:rFonts w:ascii="sans-serif" w:eastAsia="sans-serif" w:hAnsi="sans-serif" w:cs="sans-serif"/>
                <w:color w:val="000000"/>
                <w:sz w:val="20"/>
                <w:szCs w:val="20"/>
              </w:rPr>
              <w:t>2,976 </w:t>
            </w:r>
          </w:p>
        </w:tc>
        <w:tc>
          <w:tcPr>
            <w:tcW w:w="0" w:type="auto"/>
            <w:shd w:val="clear" w:color="auto" w:fill="FFFFFF"/>
            <w:tcMar>
              <w:top w:w="40" w:type="dxa"/>
              <w:left w:w="0" w:type="dxa"/>
              <w:bottom w:w="40" w:type="dxa"/>
              <w:right w:w="20" w:type="dxa"/>
            </w:tcMar>
            <w:vAlign w:val="bottom"/>
          </w:tcPr>
          <w:p w14:paraId="54066C94"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C95"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C96" w14:textId="77777777" w:rsidR="00611BDD" w:rsidRDefault="002E18C7">
            <w:pPr>
              <w:jc w:val="right"/>
              <w:textAlignment w:val="bottom"/>
            </w:pPr>
            <w:r>
              <w:rPr>
                <w:rFonts w:ascii="sans-serif" w:eastAsia="sans-serif" w:hAnsi="sans-serif" w:cs="sans-serif"/>
                <w:color w:val="000000"/>
                <w:sz w:val="20"/>
                <w:szCs w:val="20"/>
              </w:rPr>
              <w:t>28 </w:t>
            </w:r>
          </w:p>
        </w:tc>
        <w:tc>
          <w:tcPr>
            <w:tcW w:w="0" w:type="auto"/>
            <w:shd w:val="clear" w:color="auto" w:fill="FFFFFF"/>
            <w:tcMar>
              <w:top w:w="40" w:type="dxa"/>
              <w:left w:w="0" w:type="dxa"/>
              <w:bottom w:w="40" w:type="dxa"/>
              <w:right w:w="20" w:type="dxa"/>
            </w:tcMar>
            <w:vAlign w:val="bottom"/>
          </w:tcPr>
          <w:p w14:paraId="54066C97"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C98"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C99" w14:textId="77777777" w:rsidR="00611BDD" w:rsidRDefault="002E18C7">
            <w:pPr>
              <w:jc w:val="right"/>
              <w:textAlignment w:val="bottom"/>
            </w:pPr>
            <w:r>
              <w:rPr>
                <w:rFonts w:ascii="sans-serif" w:eastAsia="sans-serif" w:hAnsi="sans-serif" w:cs="sans-serif"/>
                <w:color w:val="000000"/>
                <w:sz w:val="20"/>
                <w:szCs w:val="20"/>
              </w:rPr>
              <w:t>2,948 </w:t>
            </w:r>
          </w:p>
        </w:tc>
        <w:tc>
          <w:tcPr>
            <w:tcW w:w="0" w:type="auto"/>
            <w:shd w:val="clear" w:color="auto" w:fill="FFFFFF"/>
            <w:tcMar>
              <w:top w:w="40" w:type="dxa"/>
              <w:left w:w="0" w:type="dxa"/>
              <w:bottom w:w="40" w:type="dxa"/>
              <w:right w:w="20" w:type="dxa"/>
            </w:tcMar>
            <w:vAlign w:val="bottom"/>
          </w:tcPr>
          <w:p w14:paraId="54066C9A" w14:textId="77777777" w:rsidR="00611BDD" w:rsidRDefault="00611BDD">
            <w:pPr>
              <w:jc w:val="right"/>
              <w:rPr>
                <w:rFonts w:ascii="宋体"/>
              </w:rPr>
            </w:pPr>
          </w:p>
        </w:tc>
      </w:tr>
      <w:tr w:rsidR="00611BDD" w14:paraId="54066CAE" w14:textId="77777777">
        <w:tc>
          <w:tcPr>
            <w:tcW w:w="0" w:type="auto"/>
            <w:gridSpan w:val="3"/>
            <w:shd w:val="clear" w:color="auto" w:fill="E2EFD9"/>
            <w:tcMar>
              <w:top w:w="40" w:type="dxa"/>
              <w:left w:w="20" w:type="dxa"/>
              <w:bottom w:w="40" w:type="dxa"/>
              <w:right w:w="20" w:type="dxa"/>
            </w:tcMar>
            <w:vAlign w:val="bottom"/>
          </w:tcPr>
          <w:p w14:paraId="54066C9C" w14:textId="77777777" w:rsidR="00611BDD" w:rsidRDefault="002E18C7">
            <w:pPr>
              <w:textAlignment w:val="bottom"/>
            </w:pPr>
            <w:r>
              <w:rPr>
                <w:rFonts w:ascii="sans-serif" w:eastAsia="sans-serif" w:hAnsi="sans-serif" w:cs="sans-serif"/>
                <w:color w:val="000000"/>
                <w:sz w:val="20"/>
                <w:szCs w:val="20"/>
              </w:rPr>
              <w:t>Debt securities issued by the United States Treasury</w:t>
            </w:r>
          </w:p>
        </w:tc>
        <w:tc>
          <w:tcPr>
            <w:tcW w:w="0" w:type="auto"/>
            <w:gridSpan w:val="2"/>
            <w:shd w:val="clear" w:color="auto" w:fill="E2EFD9"/>
            <w:tcMar>
              <w:top w:w="40" w:type="dxa"/>
              <w:left w:w="20" w:type="dxa"/>
              <w:bottom w:w="40" w:type="dxa"/>
              <w:right w:w="0" w:type="dxa"/>
            </w:tcMar>
            <w:vAlign w:val="bottom"/>
          </w:tcPr>
          <w:p w14:paraId="54066C9D" w14:textId="77777777" w:rsidR="00611BDD" w:rsidRDefault="002E18C7">
            <w:pPr>
              <w:jc w:val="right"/>
              <w:textAlignment w:val="bottom"/>
            </w:pPr>
            <w:r>
              <w:rPr>
                <w:rFonts w:ascii="sans-serif" w:eastAsia="sans-serif" w:hAnsi="sans-serif" w:cs="sans-serif"/>
                <w:color w:val="000000"/>
                <w:sz w:val="20"/>
                <w:szCs w:val="20"/>
              </w:rPr>
              <w:t>2,846 </w:t>
            </w:r>
          </w:p>
        </w:tc>
        <w:tc>
          <w:tcPr>
            <w:tcW w:w="0" w:type="auto"/>
            <w:shd w:val="clear" w:color="auto" w:fill="E2EFD9"/>
            <w:tcMar>
              <w:top w:w="40" w:type="dxa"/>
              <w:left w:w="0" w:type="dxa"/>
              <w:bottom w:w="40" w:type="dxa"/>
              <w:right w:w="20" w:type="dxa"/>
            </w:tcMar>
            <w:vAlign w:val="bottom"/>
          </w:tcPr>
          <w:p w14:paraId="54066C9E"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C9F"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CA0"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4066CA1"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CA2"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CA3"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4066CA4"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CA5"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CA6" w14:textId="77777777" w:rsidR="00611BDD" w:rsidRDefault="002E18C7">
            <w:pPr>
              <w:jc w:val="right"/>
              <w:textAlignment w:val="bottom"/>
            </w:pPr>
            <w:r>
              <w:rPr>
                <w:rFonts w:ascii="sans-serif" w:eastAsia="sans-serif" w:hAnsi="sans-serif" w:cs="sans-serif"/>
                <w:color w:val="000000"/>
                <w:sz w:val="20"/>
                <w:szCs w:val="20"/>
              </w:rPr>
              <w:t>2,846 </w:t>
            </w:r>
          </w:p>
        </w:tc>
        <w:tc>
          <w:tcPr>
            <w:tcW w:w="0" w:type="auto"/>
            <w:shd w:val="clear" w:color="auto" w:fill="E2EFD9"/>
            <w:tcMar>
              <w:top w:w="40" w:type="dxa"/>
              <w:left w:w="0" w:type="dxa"/>
              <w:bottom w:w="40" w:type="dxa"/>
              <w:right w:w="20" w:type="dxa"/>
            </w:tcMar>
            <w:vAlign w:val="bottom"/>
          </w:tcPr>
          <w:p w14:paraId="54066CA7"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CA8"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CA9" w14:textId="77777777" w:rsidR="00611BDD" w:rsidRDefault="002E18C7">
            <w:pPr>
              <w:jc w:val="right"/>
              <w:textAlignment w:val="bottom"/>
            </w:pPr>
            <w:r>
              <w:rPr>
                <w:rFonts w:ascii="sans-serif" w:eastAsia="sans-serif" w:hAnsi="sans-serif" w:cs="sans-serif"/>
                <w:color w:val="000000"/>
                <w:sz w:val="20"/>
                <w:szCs w:val="20"/>
              </w:rPr>
              <w:t>25 </w:t>
            </w:r>
          </w:p>
        </w:tc>
        <w:tc>
          <w:tcPr>
            <w:tcW w:w="0" w:type="auto"/>
            <w:shd w:val="clear" w:color="auto" w:fill="E2EFD9"/>
            <w:tcMar>
              <w:top w:w="40" w:type="dxa"/>
              <w:left w:w="0" w:type="dxa"/>
              <w:bottom w:w="40" w:type="dxa"/>
              <w:right w:w="20" w:type="dxa"/>
            </w:tcMar>
            <w:vAlign w:val="bottom"/>
          </w:tcPr>
          <w:p w14:paraId="54066CA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CAB"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CAC" w14:textId="77777777" w:rsidR="00611BDD" w:rsidRDefault="002E18C7">
            <w:pPr>
              <w:jc w:val="right"/>
              <w:textAlignment w:val="bottom"/>
            </w:pPr>
            <w:r>
              <w:rPr>
                <w:rFonts w:ascii="sans-serif" w:eastAsia="sans-serif" w:hAnsi="sans-serif" w:cs="sans-serif"/>
                <w:color w:val="000000"/>
                <w:sz w:val="20"/>
                <w:szCs w:val="20"/>
              </w:rPr>
              <w:t>2,821 </w:t>
            </w:r>
          </w:p>
        </w:tc>
        <w:tc>
          <w:tcPr>
            <w:tcW w:w="0" w:type="auto"/>
            <w:shd w:val="clear" w:color="auto" w:fill="E2EFD9"/>
            <w:tcMar>
              <w:top w:w="40" w:type="dxa"/>
              <w:left w:w="0" w:type="dxa"/>
              <w:bottom w:w="40" w:type="dxa"/>
              <w:right w:w="20" w:type="dxa"/>
            </w:tcMar>
            <w:vAlign w:val="bottom"/>
          </w:tcPr>
          <w:p w14:paraId="54066CAD" w14:textId="77777777" w:rsidR="00611BDD" w:rsidRDefault="00611BDD">
            <w:pPr>
              <w:jc w:val="right"/>
              <w:rPr>
                <w:rFonts w:ascii="宋体"/>
              </w:rPr>
            </w:pPr>
          </w:p>
        </w:tc>
      </w:tr>
      <w:tr w:rsidR="00611BDD" w14:paraId="54066CC1" w14:textId="77777777">
        <w:tc>
          <w:tcPr>
            <w:tcW w:w="0" w:type="auto"/>
            <w:gridSpan w:val="3"/>
            <w:shd w:val="clear" w:color="auto" w:fill="FFFFFF"/>
            <w:tcMar>
              <w:top w:w="40" w:type="dxa"/>
              <w:left w:w="20" w:type="dxa"/>
              <w:bottom w:w="40" w:type="dxa"/>
              <w:right w:w="20" w:type="dxa"/>
            </w:tcMar>
            <w:vAlign w:val="bottom"/>
          </w:tcPr>
          <w:p w14:paraId="54066CAF" w14:textId="77777777" w:rsidR="00611BDD" w:rsidRDefault="002E18C7">
            <w:pPr>
              <w:textAlignment w:val="bottom"/>
            </w:pPr>
            <w:r>
              <w:rPr>
                <w:rFonts w:ascii="sans-serif" w:eastAsia="sans-serif" w:hAnsi="sans-serif" w:cs="sans-serif"/>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54066CB0" w14:textId="77777777" w:rsidR="00611BDD" w:rsidRDefault="002E18C7">
            <w:pPr>
              <w:jc w:val="right"/>
              <w:textAlignment w:val="bottom"/>
            </w:pPr>
            <w:r>
              <w:rPr>
                <w:rFonts w:ascii="sans-serif" w:eastAsia="sans-serif" w:hAnsi="sans-serif" w:cs="sans-serif"/>
                <w:color w:val="000000"/>
                <w:sz w:val="20"/>
                <w:szCs w:val="20"/>
              </w:rPr>
              <w:t>705 </w:t>
            </w:r>
          </w:p>
        </w:tc>
        <w:tc>
          <w:tcPr>
            <w:tcW w:w="0" w:type="auto"/>
            <w:shd w:val="clear" w:color="auto" w:fill="FFFFFF"/>
            <w:tcMar>
              <w:top w:w="40" w:type="dxa"/>
              <w:left w:w="0" w:type="dxa"/>
              <w:bottom w:w="40" w:type="dxa"/>
              <w:right w:w="20" w:type="dxa"/>
            </w:tcMar>
            <w:vAlign w:val="bottom"/>
          </w:tcPr>
          <w:p w14:paraId="54066CB1"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CB2"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CB3"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4066CB4"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CB5"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CB6"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4066CB7"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CB8"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CB9" w14:textId="77777777" w:rsidR="00611BDD" w:rsidRDefault="002E18C7">
            <w:pPr>
              <w:jc w:val="right"/>
              <w:textAlignment w:val="bottom"/>
            </w:pPr>
            <w:r>
              <w:rPr>
                <w:rFonts w:ascii="sans-serif" w:eastAsia="sans-serif" w:hAnsi="sans-serif" w:cs="sans-serif"/>
                <w:color w:val="000000"/>
                <w:sz w:val="20"/>
                <w:szCs w:val="20"/>
              </w:rPr>
              <w:t>705 </w:t>
            </w:r>
          </w:p>
        </w:tc>
        <w:tc>
          <w:tcPr>
            <w:tcW w:w="0" w:type="auto"/>
            <w:shd w:val="clear" w:color="auto" w:fill="FFFFFF"/>
            <w:tcMar>
              <w:top w:w="40" w:type="dxa"/>
              <w:left w:w="0" w:type="dxa"/>
              <w:bottom w:w="40" w:type="dxa"/>
              <w:right w:w="20" w:type="dxa"/>
            </w:tcMar>
            <w:vAlign w:val="bottom"/>
          </w:tcPr>
          <w:p w14:paraId="54066CBA"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CBB"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CBC" w14:textId="77777777" w:rsidR="00611BDD" w:rsidRDefault="002E18C7">
            <w:pPr>
              <w:jc w:val="right"/>
              <w:textAlignment w:val="bottom"/>
            </w:pPr>
            <w:r>
              <w:rPr>
                <w:rFonts w:ascii="sans-serif" w:eastAsia="sans-serif" w:hAnsi="sans-serif" w:cs="sans-serif"/>
                <w:color w:val="000000"/>
                <w:sz w:val="20"/>
                <w:szCs w:val="20"/>
              </w:rPr>
              <w:t>37 </w:t>
            </w:r>
          </w:p>
        </w:tc>
        <w:tc>
          <w:tcPr>
            <w:tcW w:w="0" w:type="auto"/>
            <w:shd w:val="clear" w:color="auto" w:fill="FFFFFF"/>
            <w:tcMar>
              <w:top w:w="40" w:type="dxa"/>
              <w:left w:w="0" w:type="dxa"/>
              <w:bottom w:w="40" w:type="dxa"/>
              <w:right w:w="20" w:type="dxa"/>
            </w:tcMar>
            <w:vAlign w:val="bottom"/>
          </w:tcPr>
          <w:p w14:paraId="54066CBD"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CBE"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CBF" w14:textId="77777777" w:rsidR="00611BDD" w:rsidRDefault="002E18C7">
            <w:pPr>
              <w:jc w:val="right"/>
              <w:textAlignment w:val="bottom"/>
            </w:pPr>
            <w:r>
              <w:rPr>
                <w:rFonts w:ascii="sans-serif" w:eastAsia="sans-serif" w:hAnsi="sans-serif" w:cs="sans-serif"/>
                <w:color w:val="000000"/>
                <w:sz w:val="20"/>
                <w:szCs w:val="20"/>
              </w:rPr>
              <w:t>668 </w:t>
            </w:r>
          </w:p>
        </w:tc>
        <w:tc>
          <w:tcPr>
            <w:tcW w:w="0" w:type="auto"/>
            <w:shd w:val="clear" w:color="auto" w:fill="FFFFFF"/>
            <w:tcMar>
              <w:top w:w="40" w:type="dxa"/>
              <w:left w:w="0" w:type="dxa"/>
              <w:bottom w:w="40" w:type="dxa"/>
              <w:right w:w="20" w:type="dxa"/>
            </w:tcMar>
            <w:vAlign w:val="bottom"/>
          </w:tcPr>
          <w:p w14:paraId="54066CC0" w14:textId="77777777" w:rsidR="00611BDD" w:rsidRDefault="00611BDD">
            <w:pPr>
              <w:jc w:val="right"/>
              <w:rPr>
                <w:rFonts w:ascii="宋体"/>
              </w:rPr>
            </w:pPr>
          </w:p>
        </w:tc>
      </w:tr>
      <w:tr w:rsidR="00611BDD" w14:paraId="54066CD4" w14:textId="77777777">
        <w:tc>
          <w:tcPr>
            <w:tcW w:w="0" w:type="auto"/>
            <w:gridSpan w:val="3"/>
            <w:shd w:val="clear" w:color="auto" w:fill="E2EFD9"/>
            <w:tcMar>
              <w:top w:w="40" w:type="dxa"/>
              <w:left w:w="20" w:type="dxa"/>
              <w:bottom w:w="40" w:type="dxa"/>
              <w:right w:w="20" w:type="dxa"/>
            </w:tcMar>
            <w:vAlign w:val="bottom"/>
          </w:tcPr>
          <w:p w14:paraId="54066CC2" w14:textId="77777777" w:rsidR="00611BDD" w:rsidRDefault="002E18C7">
            <w:pPr>
              <w:textAlignment w:val="bottom"/>
            </w:pPr>
            <w:r>
              <w:rPr>
                <w:rFonts w:ascii="sans-serif" w:eastAsia="sans-serif" w:hAnsi="sans-serif" w:cs="sans-serif"/>
                <w:color w:val="000000"/>
                <w:sz w:val="20"/>
                <w:szCs w:val="20"/>
              </w:rPr>
              <w:t>Money market funds</w:t>
            </w:r>
          </w:p>
        </w:tc>
        <w:tc>
          <w:tcPr>
            <w:tcW w:w="0" w:type="auto"/>
            <w:gridSpan w:val="2"/>
            <w:shd w:val="clear" w:color="auto" w:fill="E2EFD9"/>
            <w:tcMar>
              <w:top w:w="40" w:type="dxa"/>
              <w:left w:w="20" w:type="dxa"/>
              <w:bottom w:w="40" w:type="dxa"/>
              <w:right w:w="0" w:type="dxa"/>
            </w:tcMar>
            <w:vAlign w:val="bottom"/>
          </w:tcPr>
          <w:p w14:paraId="54066CC3" w14:textId="77777777" w:rsidR="00611BDD" w:rsidRDefault="002E18C7">
            <w:pPr>
              <w:jc w:val="right"/>
              <w:textAlignment w:val="bottom"/>
            </w:pPr>
            <w:r>
              <w:rPr>
                <w:rFonts w:ascii="sans-serif" w:eastAsia="sans-serif" w:hAnsi="sans-serif" w:cs="sans-serif"/>
                <w:color w:val="000000"/>
                <w:sz w:val="20"/>
                <w:szCs w:val="20"/>
              </w:rPr>
              <w:t>313 </w:t>
            </w:r>
          </w:p>
        </w:tc>
        <w:tc>
          <w:tcPr>
            <w:tcW w:w="0" w:type="auto"/>
            <w:shd w:val="clear" w:color="auto" w:fill="E2EFD9"/>
            <w:tcMar>
              <w:top w:w="40" w:type="dxa"/>
              <w:left w:w="0" w:type="dxa"/>
              <w:bottom w:w="40" w:type="dxa"/>
              <w:right w:w="20" w:type="dxa"/>
            </w:tcMar>
            <w:vAlign w:val="bottom"/>
          </w:tcPr>
          <w:p w14:paraId="54066CC4"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CC5"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CC6"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4066CC7"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CC8"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CC9"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4066CC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CCB"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CCC" w14:textId="77777777" w:rsidR="00611BDD" w:rsidRDefault="002E18C7">
            <w:pPr>
              <w:jc w:val="right"/>
              <w:textAlignment w:val="bottom"/>
            </w:pPr>
            <w:r>
              <w:rPr>
                <w:rFonts w:ascii="sans-serif" w:eastAsia="sans-serif" w:hAnsi="sans-serif" w:cs="sans-serif"/>
                <w:color w:val="000000"/>
                <w:sz w:val="20"/>
                <w:szCs w:val="20"/>
              </w:rPr>
              <w:t>313 </w:t>
            </w:r>
          </w:p>
        </w:tc>
        <w:tc>
          <w:tcPr>
            <w:tcW w:w="0" w:type="auto"/>
            <w:shd w:val="clear" w:color="auto" w:fill="E2EFD9"/>
            <w:tcMar>
              <w:top w:w="40" w:type="dxa"/>
              <w:left w:w="0" w:type="dxa"/>
              <w:bottom w:w="40" w:type="dxa"/>
              <w:right w:w="20" w:type="dxa"/>
            </w:tcMar>
            <w:vAlign w:val="bottom"/>
          </w:tcPr>
          <w:p w14:paraId="54066CCD"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CCE"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CCF" w14:textId="77777777" w:rsidR="00611BDD" w:rsidRDefault="002E18C7">
            <w:pPr>
              <w:jc w:val="right"/>
              <w:textAlignment w:val="bottom"/>
            </w:pPr>
            <w:r>
              <w:rPr>
                <w:rFonts w:ascii="sans-serif" w:eastAsia="sans-serif" w:hAnsi="sans-serif" w:cs="sans-serif"/>
                <w:color w:val="000000"/>
                <w:sz w:val="20"/>
                <w:szCs w:val="20"/>
              </w:rPr>
              <w:t>313 </w:t>
            </w:r>
          </w:p>
        </w:tc>
        <w:tc>
          <w:tcPr>
            <w:tcW w:w="0" w:type="auto"/>
            <w:shd w:val="clear" w:color="auto" w:fill="E2EFD9"/>
            <w:tcMar>
              <w:top w:w="40" w:type="dxa"/>
              <w:left w:w="0" w:type="dxa"/>
              <w:bottom w:w="40" w:type="dxa"/>
              <w:right w:w="20" w:type="dxa"/>
            </w:tcMar>
            <w:vAlign w:val="bottom"/>
          </w:tcPr>
          <w:p w14:paraId="54066CD0"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CD1"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CD2"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4066CD3" w14:textId="77777777" w:rsidR="00611BDD" w:rsidRDefault="00611BDD">
            <w:pPr>
              <w:jc w:val="right"/>
              <w:rPr>
                <w:rFonts w:ascii="宋体"/>
              </w:rPr>
            </w:pPr>
          </w:p>
        </w:tc>
      </w:tr>
      <w:tr w:rsidR="00611BDD" w14:paraId="54066CE7" w14:textId="77777777">
        <w:tc>
          <w:tcPr>
            <w:tcW w:w="0" w:type="auto"/>
            <w:gridSpan w:val="3"/>
            <w:shd w:val="clear" w:color="auto" w:fill="FFFFFF"/>
            <w:tcMar>
              <w:top w:w="40" w:type="dxa"/>
              <w:left w:w="20" w:type="dxa"/>
              <w:bottom w:w="40" w:type="dxa"/>
              <w:right w:w="20" w:type="dxa"/>
            </w:tcMar>
            <w:vAlign w:val="bottom"/>
          </w:tcPr>
          <w:p w14:paraId="54066CD5" w14:textId="77777777" w:rsidR="00611BDD" w:rsidRDefault="002E18C7">
            <w:pPr>
              <w:textAlignment w:val="bottom"/>
            </w:pPr>
            <w:r>
              <w:rPr>
                <w:rFonts w:ascii="sans-serif" w:eastAsia="sans-serif" w:hAnsi="sans-serif" w:cs="sans-serif"/>
                <w:color w:val="000000"/>
                <w:sz w:val="20"/>
                <w:szCs w:val="20"/>
              </w:rPr>
              <w:t>Foreign government bonds</w:t>
            </w:r>
          </w:p>
        </w:tc>
        <w:tc>
          <w:tcPr>
            <w:tcW w:w="0" w:type="auto"/>
            <w:gridSpan w:val="2"/>
            <w:shd w:val="clear" w:color="auto" w:fill="FFFFFF"/>
            <w:tcMar>
              <w:top w:w="40" w:type="dxa"/>
              <w:left w:w="20" w:type="dxa"/>
              <w:bottom w:w="40" w:type="dxa"/>
              <w:right w:w="0" w:type="dxa"/>
            </w:tcMar>
            <w:vAlign w:val="bottom"/>
          </w:tcPr>
          <w:p w14:paraId="54066CD6" w14:textId="77777777" w:rsidR="00611BDD" w:rsidRDefault="002E18C7">
            <w:pPr>
              <w:jc w:val="right"/>
              <w:textAlignment w:val="bottom"/>
            </w:pPr>
            <w:r>
              <w:rPr>
                <w:rFonts w:ascii="sans-serif" w:eastAsia="sans-serif" w:hAnsi="sans-serif" w:cs="sans-serif"/>
                <w:color w:val="000000"/>
                <w:sz w:val="20"/>
                <w:szCs w:val="20"/>
              </w:rPr>
              <w:t>67 </w:t>
            </w:r>
          </w:p>
        </w:tc>
        <w:tc>
          <w:tcPr>
            <w:tcW w:w="0" w:type="auto"/>
            <w:shd w:val="clear" w:color="auto" w:fill="FFFFFF"/>
            <w:tcMar>
              <w:top w:w="40" w:type="dxa"/>
              <w:left w:w="0" w:type="dxa"/>
              <w:bottom w:w="40" w:type="dxa"/>
              <w:right w:w="20" w:type="dxa"/>
            </w:tcMar>
            <w:vAlign w:val="bottom"/>
          </w:tcPr>
          <w:p w14:paraId="54066CD7"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CD8"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CD9"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4066CDA"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CDB"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CDC"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4066CDD"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CDE"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CDF" w14:textId="77777777" w:rsidR="00611BDD" w:rsidRDefault="002E18C7">
            <w:pPr>
              <w:jc w:val="right"/>
              <w:textAlignment w:val="bottom"/>
            </w:pPr>
            <w:r>
              <w:rPr>
                <w:rFonts w:ascii="sans-serif" w:eastAsia="sans-serif" w:hAnsi="sans-serif" w:cs="sans-serif"/>
                <w:color w:val="000000"/>
                <w:sz w:val="20"/>
                <w:szCs w:val="20"/>
              </w:rPr>
              <w:t>67 </w:t>
            </w:r>
          </w:p>
        </w:tc>
        <w:tc>
          <w:tcPr>
            <w:tcW w:w="0" w:type="auto"/>
            <w:shd w:val="clear" w:color="auto" w:fill="FFFFFF"/>
            <w:tcMar>
              <w:top w:w="40" w:type="dxa"/>
              <w:left w:w="0" w:type="dxa"/>
              <w:bottom w:w="40" w:type="dxa"/>
              <w:right w:w="20" w:type="dxa"/>
            </w:tcMar>
            <w:vAlign w:val="bottom"/>
          </w:tcPr>
          <w:p w14:paraId="54066CE0"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CE1"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CE2"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4066CE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CE4"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CE5" w14:textId="77777777" w:rsidR="00611BDD" w:rsidRDefault="002E18C7">
            <w:pPr>
              <w:jc w:val="right"/>
              <w:textAlignment w:val="bottom"/>
            </w:pPr>
            <w:r>
              <w:rPr>
                <w:rFonts w:ascii="sans-serif" w:eastAsia="sans-serif" w:hAnsi="sans-serif" w:cs="sans-serif"/>
                <w:color w:val="000000"/>
                <w:sz w:val="20"/>
                <w:szCs w:val="20"/>
              </w:rPr>
              <w:t>67 </w:t>
            </w:r>
          </w:p>
        </w:tc>
        <w:tc>
          <w:tcPr>
            <w:tcW w:w="0" w:type="auto"/>
            <w:shd w:val="clear" w:color="auto" w:fill="FFFFFF"/>
            <w:tcMar>
              <w:top w:w="40" w:type="dxa"/>
              <w:left w:w="0" w:type="dxa"/>
              <w:bottom w:w="40" w:type="dxa"/>
              <w:right w:w="20" w:type="dxa"/>
            </w:tcMar>
            <w:vAlign w:val="bottom"/>
          </w:tcPr>
          <w:p w14:paraId="54066CE6" w14:textId="77777777" w:rsidR="00611BDD" w:rsidRDefault="00611BDD">
            <w:pPr>
              <w:jc w:val="right"/>
              <w:rPr>
                <w:rFonts w:ascii="宋体"/>
              </w:rPr>
            </w:pPr>
          </w:p>
        </w:tc>
      </w:tr>
      <w:tr w:rsidR="00611BDD" w14:paraId="54066CF4" w14:textId="77777777">
        <w:trPr>
          <w:hidden/>
        </w:trPr>
        <w:tc>
          <w:tcPr>
            <w:tcW w:w="0" w:type="auto"/>
            <w:gridSpan w:val="3"/>
            <w:shd w:val="clear" w:color="auto" w:fill="auto"/>
            <w:vAlign w:val="bottom"/>
          </w:tcPr>
          <w:p w14:paraId="54066CE8" w14:textId="77777777" w:rsidR="00611BDD" w:rsidRDefault="00611BDD">
            <w:pPr>
              <w:rPr>
                <w:rFonts w:ascii="宋体"/>
                <w:vanish/>
              </w:rPr>
            </w:pPr>
          </w:p>
        </w:tc>
        <w:tc>
          <w:tcPr>
            <w:tcW w:w="0" w:type="auto"/>
            <w:gridSpan w:val="3"/>
            <w:shd w:val="clear" w:color="auto" w:fill="auto"/>
            <w:vAlign w:val="bottom"/>
          </w:tcPr>
          <w:p w14:paraId="54066CE9" w14:textId="77777777" w:rsidR="00611BDD" w:rsidRDefault="00611BDD">
            <w:pPr>
              <w:rPr>
                <w:rFonts w:ascii="宋体"/>
                <w:vanish/>
              </w:rPr>
            </w:pPr>
          </w:p>
        </w:tc>
        <w:tc>
          <w:tcPr>
            <w:tcW w:w="0" w:type="auto"/>
            <w:gridSpan w:val="3"/>
            <w:shd w:val="clear" w:color="auto" w:fill="auto"/>
            <w:vAlign w:val="bottom"/>
          </w:tcPr>
          <w:p w14:paraId="54066CEA" w14:textId="77777777" w:rsidR="00611BDD" w:rsidRDefault="00611BDD">
            <w:pPr>
              <w:rPr>
                <w:rFonts w:ascii="宋体"/>
                <w:vanish/>
              </w:rPr>
            </w:pPr>
          </w:p>
        </w:tc>
        <w:tc>
          <w:tcPr>
            <w:tcW w:w="0" w:type="auto"/>
            <w:gridSpan w:val="3"/>
            <w:shd w:val="clear" w:color="auto" w:fill="auto"/>
            <w:vAlign w:val="bottom"/>
          </w:tcPr>
          <w:p w14:paraId="54066CEB" w14:textId="77777777" w:rsidR="00611BDD" w:rsidRDefault="00611BDD">
            <w:pPr>
              <w:rPr>
                <w:rFonts w:ascii="宋体"/>
                <w:vanish/>
              </w:rPr>
            </w:pPr>
          </w:p>
        </w:tc>
        <w:tc>
          <w:tcPr>
            <w:tcW w:w="0" w:type="auto"/>
            <w:gridSpan w:val="3"/>
            <w:shd w:val="clear" w:color="auto" w:fill="auto"/>
            <w:vAlign w:val="bottom"/>
          </w:tcPr>
          <w:p w14:paraId="54066CEC" w14:textId="77777777" w:rsidR="00611BDD" w:rsidRDefault="00611BDD">
            <w:pPr>
              <w:rPr>
                <w:rFonts w:ascii="宋体"/>
                <w:vanish/>
              </w:rPr>
            </w:pPr>
          </w:p>
        </w:tc>
        <w:tc>
          <w:tcPr>
            <w:tcW w:w="0" w:type="auto"/>
            <w:gridSpan w:val="3"/>
            <w:shd w:val="clear" w:color="auto" w:fill="auto"/>
            <w:vAlign w:val="bottom"/>
          </w:tcPr>
          <w:p w14:paraId="54066CED" w14:textId="77777777" w:rsidR="00611BDD" w:rsidRDefault="00611BDD">
            <w:pPr>
              <w:rPr>
                <w:rFonts w:ascii="宋体"/>
                <w:vanish/>
              </w:rPr>
            </w:pPr>
          </w:p>
        </w:tc>
        <w:tc>
          <w:tcPr>
            <w:tcW w:w="0" w:type="auto"/>
            <w:gridSpan w:val="3"/>
            <w:shd w:val="clear" w:color="auto" w:fill="auto"/>
            <w:vAlign w:val="bottom"/>
          </w:tcPr>
          <w:p w14:paraId="54066CEE" w14:textId="77777777" w:rsidR="00611BDD" w:rsidRDefault="00611BDD">
            <w:pPr>
              <w:rPr>
                <w:rFonts w:ascii="宋体"/>
                <w:vanish/>
              </w:rPr>
            </w:pPr>
          </w:p>
        </w:tc>
        <w:tc>
          <w:tcPr>
            <w:tcW w:w="0" w:type="auto"/>
            <w:gridSpan w:val="3"/>
            <w:shd w:val="clear" w:color="auto" w:fill="auto"/>
            <w:vAlign w:val="bottom"/>
          </w:tcPr>
          <w:p w14:paraId="54066CEF" w14:textId="77777777" w:rsidR="00611BDD" w:rsidRDefault="00611BDD">
            <w:pPr>
              <w:rPr>
                <w:rFonts w:ascii="宋体"/>
                <w:vanish/>
              </w:rPr>
            </w:pPr>
          </w:p>
        </w:tc>
        <w:tc>
          <w:tcPr>
            <w:tcW w:w="0" w:type="auto"/>
            <w:gridSpan w:val="3"/>
            <w:shd w:val="clear" w:color="auto" w:fill="auto"/>
            <w:vAlign w:val="bottom"/>
          </w:tcPr>
          <w:p w14:paraId="54066CF0" w14:textId="77777777" w:rsidR="00611BDD" w:rsidRDefault="00611BDD">
            <w:pPr>
              <w:rPr>
                <w:rFonts w:ascii="宋体"/>
                <w:vanish/>
              </w:rPr>
            </w:pPr>
          </w:p>
        </w:tc>
        <w:tc>
          <w:tcPr>
            <w:tcW w:w="0" w:type="auto"/>
            <w:gridSpan w:val="3"/>
            <w:shd w:val="clear" w:color="auto" w:fill="auto"/>
            <w:vAlign w:val="bottom"/>
          </w:tcPr>
          <w:p w14:paraId="54066CF1" w14:textId="77777777" w:rsidR="00611BDD" w:rsidRDefault="00611BDD">
            <w:pPr>
              <w:rPr>
                <w:rFonts w:ascii="宋体"/>
                <w:vanish/>
              </w:rPr>
            </w:pPr>
          </w:p>
        </w:tc>
        <w:tc>
          <w:tcPr>
            <w:tcW w:w="0" w:type="auto"/>
            <w:gridSpan w:val="3"/>
            <w:shd w:val="clear" w:color="auto" w:fill="auto"/>
            <w:vAlign w:val="bottom"/>
          </w:tcPr>
          <w:p w14:paraId="54066CF2" w14:textId="77777777" w:rsidR="00611BDD" w:rsidRDefault="00611BDD">
            <w:pPr>
              <w:rPr>
                <w:rFonts w:ascii="宋体"/>
                <w:vanish/>
              </w:rPr>
            </w:pPr>
          </w:p>
        </w:tc>
        <w:tc>
          <w:tcPr>
            <w:tcW w:w="0" w:type="auto"/>
            <w:gridSpan w:val="3"/>
            <w:shd w:val="clear" w:color="auto" w:fill="auto"/>
            <w:vAlign w:val="bottom"/>
          </w:tcPr>
          <w:p w14:paraId="54066CF3" w14:textId="77777777" w:rsidR="00611BDD" w:rsidRDefault="00611BDD">
            <w:pPr>
              <w:rPr>
                <w:rFonts w:ascii="宋体"/>
                <w:vanish/>
              </w:rPr>
            </w:pPr>
          </w:p>
        </w:tc>
      </w:tr>
      <w:tr w:rsidR="00611BDD" w14:paraId="54066D01" w14:textId="77777777">
        <w:trPr>
          <w:hidden/>
        </w:trPr>
        <w:tc>
          <w:tcPr>
            <w:tcW w:w="0" w:type="auto"/>
            <w:gridSpan w:val="3"/>
            <w:shd w:val="clear" w:color="auto" w:fill="auto"/>
            <w:vAlign w:val="bottom"/>
          </w:tcPr>
          <w:p w14:paraId="54066CF5" w14:textId="77777777" w:rsidR="00611BDD" w:rsidRDefault="00611BDD">
            <w:pPr>
              <w:rPr>
                <w:rFonts w:ascii="宋体"/>
                <w:vanish/>
              </w:rPr>
            </w:pPr>
          </w:p>
        </w:tc>
        <w:tc>
          <w:tcPr>
            <w:tcW w:w="0" w:type="auto"/>
            <w:gridSpan w:val="3"/>
            <w:shd w:val="clear" w:color="auto" w:fill="auto"/>
            <w:vAlign w:val="bottom"/>
          </w:tcPr>
          <w:p w14:paraId="54066CF6" w14:textId="77777777" w:rsidR="00611BDD" w:rsidRDefault="00611BDD">
            <w:pPr>
              <w:rPr>
                <w:rFonts w:ascii="宋体"/>
                <w:vanish/>
              </w:rPr>
            </w:pPr>
          </w:p>
        </w:tc>
        <w:tc>
          <w:tcPr>
            <w:tcW w:w="0" w:type="auto"/>
            <w:gridSpan w:val="3"/>
            <w:shd w:val="clear" w:color="auto" w:fill="auto"/>
            <w:vAlign w:val="bottom"/>
          </w:tcPr>
          <w:p w14:paraId="54066CF7" w14:textId="77777777" w:rsidR="00611BDD" w:rsidRDefault="00611BDD">
            <w:pPr>
              <w:rPr>
                <w:rFonts w:ascii="宋体"/>
                <w:vanish/>
              </w:rPr>
            </w:pPr>
          </w:p>
        </w:tc>
        <w:tc>
          <w:tcPr>
            <w:tcW w:w="0" w:type="auto"/>
            <w:gridSpan w:val="3"/>
            <w:shd w:val="clear" w:color="auto" w:fill="auto"/>
            <w:vAlign w:val="bottom"/>
          </w:tcPr>
          <w:p w14:paraId="54066CF8" w14:textId="77777777" w:rsidR="00611BDD" w:rsidRDefault="00611BDD">
            <w:pPr>
              <w:rPr>
                <w:rFonts w:ascii="宋体"/>
                <w:vanish/>
              </w:rPr>
            </w:pPr>
          </w:p>
        </w:tc>
        <w:tc>
          <w:tcPr>
            <w:tcW w:w="0" w:type="auto"/>
            <w:gridSpan w:val="3"/>
            <w:shd w:val="clear" w:color="auto" w:fill="auto"/>
            <w:vAlign w:val="bottom"/>
          </w:tcPr>
          <w:p w14:paraId="54066CF9" w14:textId="77777777" w:rsidR="00611BDD" w:rsidRDefault="00611BDD">
            <w:pPr>
              <w:rPr>
                <w:rFonts w:ascii="宋体"/>
                <w:vanish/>
              </w:rPr>
            </w:pPr>
          </w:p>
        </w:tc>
        <w:tc>
          <w:tcPr>
            <w:tcW w:w="0" w:type="auto"/>
            <w:gridSpan w:val="3"/>
            <w:shd w:val="clear" w:color="auto" w:fill="auto"/>
            <w:vAlign w:val="bottom"/>
          </w:tcPr>
          <w:p w14:paraId="54066CFA" w14:textId="77777777" w:rsidR="00611BDD" w:rsidRDefault="00611BDD">
            <w:pPr>
              <w:rPr>
                <w:rFonts w:ascii="宋体"/>
                <w:vanish/>
              </w:rPr>
            </w:pPr>
          </w:p>
        </w:tc>
        <w:tc>
          <w:tcPr>
            <w:tcW w:w="0" w:type="auto"/>
            <w:gridSpan w:val="3"/>
            <w:shd w:val="clear" w:color="auto" w:fill="auto"/>
            <w:vAlign w:val="bottom"/>
          </w:tcPr>
          <w:p w14:paraId="54066CFB" w14:textId="77777777" w:rsidR="00611BDD" w:rsidRDefault="00611BDD">
            <w:pPr>
              <w:rPr>
                <w:rFonts w:ascii="宋体"/>
                <w:vanish/>
              </w:rPr>
            </w:pPr>
          </w:p>
        </w:tc>
        <w:tc>
          <w:tcPr>
            <w:tcW w:w="0" w:type="auto"/>
            <w:gridSpan w:val="3"/>
            <w:shd w:val="clear" w:color="auto" w:fill="auto"/>
            <w:vAlign w:val="bottom"/>
          </w:tcPr>
          <w:p w14:paraId="54066CFC" w14:textId="77777777" w:rsidR="00611BDD" w:rsidRDefault="00611BDD">
            <w:pPr>
              <w:rPr>
                <w:rFonts w:ascii="宋体"/>
                <w:vanish/>
              </w:rPr>
            </w:pPr>
          </w:p>
        </w:tc>
        <w:tc>
          <w:tcPr>
            <w:tcW w:w="0" w:type="auto"/>
            <w:gridSpan w:val="3"/>
            <w:shd w:val="clear" w:color="auto" w:fill="auto"/>
            <w:vAlign w:val="bottom"/>
          </w:tcPr>
          <w:p w14:paraId="54066CFD" w14:textId="77777777" w:rsidR="00611BDD" w:rsidRDefault="00611BDD">
            <w:pPr>
              <w:rPr>
                <w:rFonts w:ascii="宋体"/>
                <w:vanish/>
              </w:rPr>
            </w:pPr>
          </w:p>
        </w:tc>
        <w:tc>
          <w:tcPr>
            <w:tcW w:w="0" w:type="auto"/>
            <w:gridSpan w:val="3"/>
            <w:shd w:val="clear" w:color="auto" w:fill="auto"/>
            <w:vAlign w:val="bottom"/>
          </w:tcPr>
          <w:p w14:paraId="54066CFE" w14:textId="77777777" w:rsidR="00611BDD" w:rsidRDefault="00611BDD">
            <w:pPr>
              <w:rPr>
                <w:rFonts w:ascii="宋体"/>
                <w:vanish/>
              </w:rPr>
            </w:pPr>
          </w:p>
        </w:tc>
        <w:tc>
          <w:tcPr>
            <w:tcW w:w="0" w:type="auto"/>
            <w:gridSpan w:val="3"/>
            <w:shd w:val="clear" w:color="auto" w:fill="auto"/>
            <w:vAlign w:val="bottom"/>
          </w:tcPr>
          <w:p w14:paraId="54066CFF" w14:textId="77777777" w:rsidR="00611BDD" w:rsidRDefault="00611BDD">
            <w:pPr>
              <w:rPr>
                <w:rFonts w:ascii="宋体"/>
                <w:vanish/>
              </w:rPr>
            </w:pPr>
          </w:p>
        </w:tc>
        <w:tc>
          <w:tcPr>
            <w:tcW w:w="0" w:type="auto"/>
            <w:gridSpan w:val="3"/>
            <w:shd w:val="clear" w:color="auto" w:fill="auto"/>
            <w:vAlign w:val="bottom"/>
          </w:tcPr>
          <w:p w14:paraId="54066D00" w14:textId="77777777" w:rsidR="00611BDD" w:rsidRDefault="00611BDD">
            <w:pPr>
              <w:rPr>
                <w:rFonts w:ascii="宋体"/>
                <w:vanish/>
              </w:rPr>
            </w:pPr>
          </w:p>
        </w:tc>
      </w:tr>
      <w:tr w:rsidR="00611BDD" w14:paraId="54066D1A" w14:textId="77777777">
        <w:tc>
          <w:tcPr>
            <w:tcW w:w="0" w:type="auto"/>
            <w:gridSpan w:val="3"/>
            <w:shd w:val="clear" w:color="auto" w:fill="E2EFD9"/>
            <w:tcMar>
              <w:top w:w="40" w:type="dxa"/>
              <w:left w:w="20" w:type="dxa"/>
              <w:bottom w:w="40" w:type="dxa"/>
              <w:right w:w="20" w:type="dxa"/>
            </w:tcMar>
            <w:vAlign w:val="bottom"/>
          </w:tcPr>
          <w:p w14:paraId="54066D02" w14:textId="77777777" w:rsidR="00611BDD" w:rsidRDefault="002E18C7">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D03"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D04" w14:textId="77777777" w:rsidR="00611BDD" w:rsidRDefault="002E18C7">
            <w:pPr>
              <w:jc w:val="right"/>
              <w:textAlignment w:val="bottom"/>
            </w:pPr>
            <w:r>
              <w:rPr>
                <w:rFonts w:ascii="sans-serif" w:eastAsia="sans-serif" w:hAnsi="sans-serif" w:cs="sans-serif"/>
                <w:color w:val="000000"/>
                <w:sz w:val="20"/>
                <w:szCs w:val="20"/>
              </w:rPr>
              <w:t>11,348 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D05"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D06"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D07"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D08" w14:textId="77777777" w:rsidR="00611BDD" w:rsidRDefault="002E18C7">
            <w:pPr>
              <w:jc w:val="right"/>
              <w:textAlignment w:val="bottom"/>
            </w:pPr>
            <w:r>
              <w:rPr>
                <w:rFonts w:ascii="sans-serif" w:eastAsia="sans-serif" w:hAnsi="sans-serif" w:cs="sans-serif"/>
                <w:color w:val="000000"/>
                <w:sz w:val="20"/>
                <w:szCs w:val="20"/>
              </w:rPr>
              <w:t>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D0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D0A"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D0B"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D0C" w14:textId="77777777" w:rsidR="00611BDD" w:rsidRDefault="002E18C7">
            <w:pPr>
              <w:jc w:val="right"/>
              <w:textAlignment w:val="bottom"/>
            </w:pPr>
            <w:r>
              <w:rPr>
                <w:rFonts w:ascii="sans-serif" w:eastAsia="sans-serif" w:hAnsi="sans-serif" w:cs="sans-serif"/>
                <w:color w:val="000000"/>
                <w:sz w:val="20"/>
                <w:szCs w:val="20"/>
              </w:rPr>
              <w:t>—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D0D"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D0E"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D0F"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D10" w14:textId="77777777" w:rsidR="00611BDD" w:rsidRDefault="002E18C7">
            <w:pPr>
              <w:jc w:val="right"/>
              <w:textAlignment w:val="bottom"/>
            </w:pPr>
            <w:r>
              <w:rPr>
                <w:rFonts w:ascii="sans-serif" w:eastAsia="sans-serif" w:hAnsi="sans-serif" w:cs="sans-serif"/>
                <w:color w:val="000000"/>
                <w:sz w:val="20"/>
                <w:szCs w:val="20"/>
              </w:rPr>
              <w:t>11,351 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D11"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D12"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D13"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D14" w14:textId="77777777" w:rsidR="00611BDD" w:rsidRDefault="002E18C7">
            <w:pPr>
              <w:jc w:val="right"/>
              <w:textAlignment w:val="bottom"/>
            </w:pPr>
            <w:r>
              <w:rPr>
                <w:rFonts w:ascii="sans-serif" w:eastAsia="sans-serif" w:hAnsi="sans-serif" w:cs="sans-serif"/>
                <w:color w:val="000000"/>
                <w:sz w:val="20"/>
                <w:szCs w:val="20"/>
              </w:rPr>
              <w:t>637 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D15"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D16"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D17"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D18" w14:textId="77777777" w:rsidR="00611BDD" w:rsidRDefault="002E18C7">
            <w:pPr>
              <w:jc w:val="right"/>
              <w:textAlignment w:val="bottom"/>
            </w:pPr>
            <w:r>
              <w:rPr>
                <w:rFonts w:ascii="sans-serif" w:eastAsia="sans-serif" w:hAnsi="sans-serif" w:cs="sans-serif"/>
                <w:color w:val="000000"/>
                <w:sz w:val="20"/>
                <w:szCs w:val="20"/>
              </w:rPr>
              <w:t>10,714 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D19" w14:textId="77777777" w:rsidR="00611BDD" w:rsidRDefault="00611BDD">
            <w:pPr>
              <w:jc w:val="right"/>
              <w:rPr>
                <w:rFonts w:ascii="宋体"/>
              </w:rPr>
            </w:pPr>
          </w:p>
        </w:tc>
      </w:tr>
    </w:tbl>
    <w:p w14:paraId="54066D1B" w14:textId="77777777" w:rsidR="00611BDD" w:rsidRDefault="002E18C7">
      <w:pPr>
        <w:spacing w:before="180" w:after="180"/>
        <w:jc w:val="both"/>
      </w:pPr>
      <w:r>
        <w:rPr>
          <w:rFonts w:ascii="sans-serif" w:eastAsia="sans-serif" w:hAnsi="sans-serif" w:cs="sans-serif"/>
          <w:color w:val="000000"/>
          <w:sz w:val="20"/>
          <w:szCs w:val="20"/>
        </w:rPr>
        <w:t xml:space="preserve">Net realized gains and unrealized gains and losses were not significant for all periods presented. </w:t>
      </w:r>
    </w:p>
    <w:p w14:paraId="54066D1C" w14:textId="77777777" w:rsidR="00611BDD" w:rsidRDefault="002E18C7">
      <w:pPr>
        <w:spacing w:before="180" w:after="180"/>
        <w:jc w:val="both"/>
      </w:pPr>
      <w:r>
        <w:rPr>
          <w:rFonts w:ascii="sans-serif" w:eastAsia="sans-serif" w:hAnsi="sans-serif" w:cs="sans-serif"/>
          <w:color w:val="000000"/>
          <w:sz w:val="20"/>
          <w:szCs w:val="20"/>
        </w:rPr>
        <w:t>The amortized cost and estimated fair value of cash equivalents and marketable secu</w:t>
      </w:r>
      <w:r>
        <w:rPr>
          <w:rFonts w:ascii="sans-serif" w:eastAsia="sans-serif" w:hAnsi="sans-serif" w:cs="sans-serif"/>
          <w:color w:val="000000"/>
          <w:sz w:val="20"/>
          <w:szCs w:val="20"/>
        </w:rPr>
        <w:t>rities as of August 1, 2021 and January 31, 2021 are shown below by contractual maturity.</w:t>
      </w:r>
    </w:p>
    <w:tbl>
      <w:tblPr>
        <w:tblW w:w="5000" w:type="pct"/>
        <w:tblCellMar>
          <w:top w:w="15" w:type="dxa"/>
          <w:left w:w="15" w:type="dxa"/>
          <w:bottom w:w="15" w:type="dxa"/>
          <w:right w:w="15" w:type="dxa"/>
        </w:tblCellMar>
        <w:tblLook w:val="04A0" w:firstRow="1" w:lastRow="0" w:firstColumn="1" w:lastColumn="0" w:noHBand="0" w:noVBand="1"/>
      </w:tblPr>
      <w:tblGrid>
        <w:gridCol w:w="37"/>
        <w:gridCol w:w="3563"/>
        <w:gridCol w:w="36"/>
        <w:gridCol w:w="123"/>
        <w:gridCol w:w="950"/>
        <w:gridCol w:w="36"/>
        <w:gridCol w:w="36"/>
        <w:gridCol w:w="36"/>
        <w:gridCol w:w="36"/>
        <w:gridCol w:w="123"/>
        <w:gridCol w:w="890"/>
        <w:gridCol w:w="36"/>
        <w:gridCol w:w="36"/>
        <w:gridCol w:w="36"/>
        <w:gridCol w:w="36"/>
        <w:gridCol w:w="123"/>
        <w:gridCol w:w="950"/>
        <w:gridCol w:w="36"/>
        <w:gridCol w:w="36"/>
        <w:gridCol w:w="36"/>
        <w:gridCol w:w="36"/>
        <w:gridCol w:w="123"/>
        <w:gridCol w:w="950"/>
        <w:gridCol w:w="36"/>
      </w:tblGrid>
      <w:tr w:rsidR="00611BDD" w14:paraId="54066D35" w14:textId="77777777">
        <w:tc>
          <w:tcPr>
            <w:tcW w:w="50" w:type="pct"/>
            <w:shd w:val="clear" w:color="auto" w:fill="auto"/>
            <w:vAlign w:val="bottom"/>
          </w:tcPr>
          <w:p w14:paraId="54066D1D" w14:textId="77777777" w:rsidR="00611BDD" w:rsidRDefault="00611BDD">
            <w:pPr>
              <w:rPr>
                <w:rFonts w:ascii="宋体"/>
              </w:rPr>
            </w:pPr>
          </w:p>
        </w:tc>
        <w:tc>
          <w:tcPr>
            <w:tcW w:w="2189" w:type="pct"/>
            <w:shd w:val="clear" w:color="auto" w:fill="auto"/>
            <w:vAlign w:val="bottom"/>
          </w:tcPr>
          <w:p w14:paraId="54066D1E" w14:textId="77777777" w:rsidR="00611BDD" w:rsidRDefault="00611BDD">
            <w:pPr>
              <w:rPr>
                <w:rFonts w:ascii="宋体"/>
              </w:rPr>
            </w:pPr>
          </w:p>
        </w:tc>
        <w:tc>
          <w:tcPr>
            <w:tcW w:w="5" w:type="pct"/>
            <w:shd w:val="clear" w:color="auto" w:fill="auto"/>
            <w:vAlign w:val="bottom"/>
          </w:tcPr>
          <w:p w14:paraId="54066D1F" w14:textId="77777777" w:rsidR="00611BDD" w:rsidRDefault="00611BDD">
            <w:pPr>
              <w:rPr>
                <w:rFonts w:ascii="宋体"/>
              </w:rPr>
            </w:pPr>
          </w:p>
        </w:tc>
        <w:tc>
          <w:tcPr>
            <w:tcW w:w="50" w:type="pct"/>
            <w:shd w:val="clear" w:color="auto" w:fill="auto"/>
            <w:vAlign w:val="bottom"/>
          </w:tcPr>
          <w:p w14:paraId="54066D20" w14:textId="77777777" w:rsidR="00611BDD" w:rsidRDefault="00611BDD">
            <w:pPr>
              <w:rPr>
                <w:rFonts w:ascii="宋体"/>
              </w:rPr>
            </w:pPr>
          </w:p>
        </w:tc>
        <w:tc>
          <w:tcPr>
            <w:tcW w:w="610" w:type="pct"/>
            <w:shd w:val="clear" w:color="auto" w:fill="auto"/>
            <w:vAlign w:val="bottom"/>
          </w:tcPr>
          <w:p w14:paraId="54066D21" w14:textId="77777777" w:rsidR="00611BDD" w:rsidRDefault="00611BDD">
            <w:pPr>
              <w:rPr>
                <w:rFonts w:ascii="宋体"/>
              </w:rPr>
            </w:pPr>
          </w:p>
        </w:tc>
        <w:tc>
          <w:tcPr>
            <w:tcW w:w="5" w:type="pct"/>
            <w:shd w:val="clear" w:color="auto" w:fill="auto"/>
            <w:vAlign w:val="bottom"/>
          </w:tcPr>
          <w:p w14:paraId="54066D22" w14:textId="77777777" w:rsidR="00611BDD" w:rsidRDefault="00611BDD">
            <w:pPr>
              <w:rPr>
                <w:rFonts w:ascii="宋体"/>
              </w:rPr>
            </w:pPr>
          </w:p>
        </w:tc>
        <w:tc>
          <w:tcPr>
            <w:tcW w:w="5" w:type="pct"/>
            <w:shd w:val="clear" w:color="auto" w:fill="auto"/>
            <w:vAlign w:val="bottom"/>
          </w:tcPr>
          <w:p w14:paraId="54066D23" w14:textId="77777777" w:rsidR="00611BDD" w:rsidRDefault="00611BDD">
            <w:pPr>
              <w:rPr>
                <w:rFonts w:ascii="宋体"/>
              </w:rPr>
            </w:pPr>
          </w:p>
        </w:tc>
        <w:tc>
          <w:tcPr>
            <w:tcW w:w="26" w:type="pct"/>
            <w:shd w:val="clear" w:color="auto" w:fill="auto"/>
            <w:vAlign w:val="bottom"/>
          </w:tcPr>
          <w:p w14:paraId="54066D24" w14:textId="77777777" w:rsidR="00611BDD" w:rsidRDefault="00611BDD">
            <w:pPr>
              <w:rPr>
                <w:rFonts w:ascii="宋体"/>
              </w:rPr>
            </w:pPr>
          </w:p>
        </w:tc>
        <w:tc>
          <w:tcPr>
            <w:tcW w:w="5" w:type="pct"/>
            <w:shd w:val="clear" w:color="auto" w:fill="auto"/>
            <w:vAlign w:val="bottom"/>
          </w:tcPr>
          <w:p w14:paraId="54066D25" w14:textId="77777777" w:rsidR="00611BDD" w:rsidRDefault="00611BDD">
            <w:pPr>
              <w:rPr>
                <w:rFonts w:ascii="宋体"/>
              </w:rPr>
            </w:pPr>
          </w:p>
        </w:tc>
        <w:tc>
          <w:tcPr>
            <w:tcW w:w="50" w:type="pct"/>
            <w:shd w:val="clear" w:color="auto" w:fill="auto"/>
            <w:vAlign w:val="bottom"/>
          </w:tcPr>
          <w:p w14:paraId="54066D26" w14:textId="77777777" w:rsidR="00611BDD" w:rsidRDefault="00611BDD">
            <w:pPr>
              <w:rPr>
                <w:rFonts w:ascii="宋体"/>
              </w:rPr>
            </w:pPr>
          </w:p>
        </w:tc>
        <w:tc>
          <w:tcPr>
            <w:tcW w:w="610" w:type="pct"/>
            <w:shd w:val="clear" w:color="auto" w:fill="auto"/>
            <w:vAlign w:val="bottom"/>
          </w:tcPr>
          <w:p w14:paraId="54066D27" w14:textId="77777777" w:rsidR="00611BDD" w:rsidRDefault="00611BDD">
            <w:pPr>
              <w:rPr>
                <w:rFonts w:ascii="宋体"/>
              </w:rPr>
            </w:pPr>
          </w:p>
        </w:tc>
        <w:tc>
          <w:tcPr>
            <w:tcW w:w="5" w:type="pct"/>
            <w:shd w:val="clear" w:color="auto" w:fill="auto"/>
            <w:vAlign w:val="bottom"/>
          </w:tcPr>
          <w:p w14:paraId="54066D28" w14:textId="77777777" w:rsidR="00611BDD" w:rsidRDefault="00611BDD">
            <w:pPr>
              <w:rPr>
                <w:rFonts w:ascii="宋体"/>
              </w:rPr>
            </w:pPr>
          </w:p>
        </w:tc>
        <w:tc>
          <w:tcPr>
            <w:tcW w:w="5" w:type="pct"/>
            <w:shd w:val="clear" w:color="auto" w:fill="auto"/>
            <w:vAlign w:val="bottom"/>
          </w:tcPr>
          <w:p w14:paraId="54066D29" w14:textId="77777777" w:rsidR="00611BDD" w:rsidRDefault="00611BDD">
            <w:pPr>
              <w:rPr>
                <w:rFonts w:ascii="宋体"/>
              </w:rPr>
            </w:pPr>
          </w:p>
        </w:tc>
        <w:tc>
          <w:tcPr>
            <w:tcW w:w="19" w:type="pct"/>
            <w:shd w:val="clear" w:color="auto" w:fill="auto"/>
            <w:vAlign w:val="bottom"/>
          </w:tcPr>
          <w:p w14:paraId="54066D2A" w14:textId="77777777" w:rsidR="00611BDD" w:rsidRDefault="00611BDD">
            <w:pPr>
              <w:rPr>
                <w:rFonts w:ascii="宋体"/>
              </w:rPr>
            </w:pPr>
          </w:p>
        </w:tc>
        <w:tc>
          <w:tcPr>
            <w:tcW w:w="5" w:type="pct"/>
            <w:shd w:val="clear" w:color="auto" w:fill="auto"/>
            <w:vAlign w:val="bottom"/>
          </w:tcPr>
          <w:p w14:paraId="54066D2B" w14:textId="77777777" w:rsidR="00611BDD" w:rsidRDefault="00611BDD">
            <w:pPr>
              <w:rPr>
                <w:rFonts w:ascii="宋体"/>
              </w:rPr>
            </w:pPr>
          </w:p>
        </w:tc>
        <w:tc>
          <w:tcPr>
            <w:tcW w:w="50" w:type="pct"/>
            <w:shd w:val="clear" w:color="auto" w:fill="auto"/>
            <w:vAlign w:val="bottom"/>
          </w:tcPr>
          <w:p w14:paraId="54066D2C" w14:textId="77777777" w:rsidR="00611BDD" w:rsidRDefault="00611BDD">
            <w:pPr>
              <w:rPr>
                <w:rFonts w:ascii="宋体"/>
              </w:rPr>
            </w:pPr>
          </w:p>
        </w:tc>
        <w:tc>
          <w:tcPr>
            <w:tcW w:w="610" w:type="pct"/>
            <w:shd w:val="clear" w:color="auto" w:fill="auto"/>
            <w:vAlign w:val="bottom"/>
          </w:tcPr>
          <w:p w14:paraId="54066D2D" w14:textId="77777777" w:rsidR="00611BDD" w:rsidRDefault="00611BDD">
            <w:pPr>
              <w:rPr>
                <w:rFonts w:ascii="宋体"/>
              </w:rPr>
            </w:pPr>
          </w:p>
        </w:tc>
        <w:tc>
          <w:tcPr>
            <w:tcW w:w="5" w:type="pct"/>
            <w:shd w:val="clear" w:color="auto" w:fill="auto"/>
            <w:vAlign w:val="bottom"/>
          </w:tcPr>
          <w:p w14:paraId="54066D2E" w14:textId="77777777" w:rsidR="00611BDD" w:rsidRDefault="00611BDD">
            <w:pPr>
              <w:rPr>
                <w:rFonts w:ascii="宋体"/>
              </w:rPr>
            </w:pPr>
          </w:p>
        </w:tc>
        <w:tc>
          <w:tcPr>
            <w:tcW w:w="5" w:type="pct"/>
            <w:shd w:val="clear" w:color="auto" w:fill="auto"/>
            <w:vAlign w:val="bottom"/>
          </w:tcPr>
          <w:p w14:paraId="54066D2F" w14:textId="77777777" w:rsidR="00611BDD" w:rsidRDefault="00611BDD">
            <w:pPr>
              <w:rPr>
                <w:rFonts w:ascii="宋体"/>
              </w:rPr>
            </w:pPr>
          </w:p>
        </w:tc>
        <w:tc>
          <w:tcPr>
            <w:tcW w:w="19" w:type="pct"/>
            <w:shd w:val="clear" w:color="auto" w:fill="auto"/>
            <w:vAlign w:val="bottom"/>
          </w:tcPr>
          <w:p w14:paraId="54066D30" w14:textId="77777777" w:rsidR="00611BDD" w:rsidRDefault="00611BDD">
            <w:pPr>
              <w:rPr>
                <w:rFonts w:ascii="宋体"/>
              </w:rPr>
            </w:pPr>
          </w:p>
        </w:tc>
        <w:tc>
          <w:tcPr>
            <w:tcW w:w="5" w:type="pct"/>
            <w:shd w:val="clear" w:color="auto" w:fill="auto"/>
            <w:vAlign w:val="bottom"/>
          </w:tcPr>
          <w:p w14:paraId="54066D31" w14:textId="77777777" w:rsidR="00611BDD" w:rsidRDefault="00611BDD">
            <w:pPr>
              <w:rPr>
                <w:rFonts w:ascii="宋体"/>
              </w:rPr>
            </w:pPr>
          </w:p>
        </w:tc>
        <w:tc>
          <w:tcPr>
            <w:tcW w:w="50" w:type="pct"/>
            <w:shd w:val="clear" w:color="auto" w:fill="auto"/>
            <w:vAlign w:val="bottom"/>
          </w:tcPr>
          <w:p w14:paraId="54066D32" w14:textId="77777777" w:rsidR="00611BDD" w:rsidRDefault="00611BDD">
            <w:pPr>
              <w:rPr>
                <w:rFonts w:ascii="宋体"/>
              </w:rPr>
            </w:pPr>
          </w:p>
        </w:tc>
        <w:tc>
          <w:tcPr>
            <w:tcW w:w="610" w:type="pct"/>
            <w:shd w:val="clear" w:color="auto" w:fill="auto"/>
            <w:vAlign w:val="bottom"/>
          </w:tcPr>
          <w:p w14:paraId="54066D33" w14:textId="77777777" w:rsidR="00611BDD" w:rsidRDefault="00611BDD">
            <w:pPr>
              <w:rPr>
                <w:rFonts w:ascii="宋体"/>
              </w:rPr>
            </w:pPr>
          </w:p>
        </w:tc>
        <w:tc>
          <w:tcPr>
            <w:tcW w:w="5" w:type="pct"/>
            <w:shd w:val="clear" w:color="auto" w:fill="auto"/>
            <w:vAlign w:val="bottom"/>
          </w:tcPr>
          <w:p w14:paraId="54066D34" w14:textId="77777777" w:rsidR="00611BDD" w:rsidRDefault="00611BDD">
            <w:pPr>
              <w:rPr>
                <w:rFonts w:ascii="宋体"/>
              </w:rPr>
            </w:pPr>
          </w:p>
        </w:tc>
      </w:tr>
      <w:tr w:rsidR="00611BDD" w14:paraId="54066D3A" w14:textId="77777777">
        <w:tc>
          <w:tcPr>
            <w:tcW w:w="0" w:type="auto"/>
            <w:gridSpan w:val="3"/>
            <w:shd w:val="clear" w:color="auto" w:fill="auto"/>
            <w:tcMar>
              <w:top w:w="0" w:type="dxa"/>
              <w:left w:w="20" w:type="dxa"/>
              <w:bottom w:w="0" w:type="dxa"/>
              <w:right w:w="20" w:type="dxa"/>
            </w:tcMar>
            <w:vAlign w:val="bottom"/>
          </w:tcPr>
          <w:p w14:paraId="54066D36" w14:textId="77777777" w:rsidR="00611BDD" w:rsidRDefault="00611BDD">
            <w:pPr>
              <w:rPr>
                <w:rFonts w:ascii="宋体"/>
              </w:rPr>
            </w:pPr>
          </w:p>
        </w:tc>
        <w:tc>
          <w:tcPr>
            <w:tcW w:w="0" w:type="auto"/>
            <w:gridSpan w:val="9"/>
            <w:shd w:val="clear" w:color="auto" w:fill="auto"/>
            <w:tcMar>
              <w:top w:w="40" w:type="dxa"/>
              <w:left w:w="20" w:type="dxa"/>
              <w:bottom w:w="40" w:type="dxa"/>
              <w:right w:w="20" w:type="dxa"/>
            </w:tcMar>
            <w:vAlign w:val="bottom"/>
          </w:tcPr>
          <w:p w14:paraId="54066D37" w14:textId="77777777" w:rsidR="00611BDD" w:rsidRDefault="002E18C7">
            <w:pPr>
              <w:jc w:val="center"/>
              <w:textAlignment w:val="bottom"/>
            </w:pPr>
            <w:r>
              <w:rPr>
                <w:rFonts w:ascii="sans-serif" w:eastAsia="sans-serif" w:hAnsi="sans-serif" w:cs="sans-serif"/>
                <w:b/>
                <w:bCs/>
                <w:color w:val="000000"/>
                <w:sz w:val="20"/>
                <w:szCs w:val="20"/>
              </w:rPr>
              <w:t>August 1, 2021</w:t>
            </w:r>
          </w:p>
        </w:tc>
        <w:tc>
          <w:tcPr>
            <w:tcW w:w="0" w:type="auto"/>
            <w:gridSpan w:val="3"/>
            <w:shd w:val="clear" w:color="auto" w:fill="auto"/>
            <w:tcMar>
              <w:top w:w="0" w:type="dxa"/>
              <w:left w:w="20" w:type="dxa"/>
              <w:bottom w:w="0" w:type="dxa"/>
              <w:right w:w="20" w:type="dxa"/>
            </w:tcMar>
            <w:vAlign w:val="bottom"/>
          </w:tcPr>
          <w:p w14:paraId="54066D38" w14:textId="77777777" w:rsidR="00611BDD" w:rsidRDefault="00611BDD">
            <w:pPr>
              <w:rPr>
                <w:rFonts w:ascii="宋体"/>
              </w:rPr>
            </w:pPr>
          </w:p>
        </w:tc>
        <w:tc>
          <w:tcPr>
            <w:tcW w:w="0" w:type="auto"/>
            <w:gridSpan w:val="9"/>
            <w:shd w:val="clear" w:color="auto" w:fill="auto"/>
            <w:tcMar>
              <w:top w:w="40" w:type="dxa"/>
              <w:left w:w="20" w:type="dxa"/>
              <w:bottom w:w="40" w:type="dxa"/>
              <w:right w:w="20" w:type="dxa"/>
            </w:tcMar>
            <w:vAlign w:val="bottom"/>
          </w:tcPr>
          <w:p w14:paraId="54066D39" w14:textId="77777777" w:rsidR="00611BDD" w:rsidRDefault="002E18C7">
            <w:pPr>
              <w:jc w:val="center"/>
              <w:textAlignment w:val="bottom"/>
            </w:pPr>
            <w:r>
              <w:rPr>
                <w:rFonts w:ascii="sans-serif" w:eastAsia="sans-serif" w:hAnsi="sans-serif" w:cs="sans-serif"/>
                <w:b/>
                <w:bCs/>
                <w:color w:val="000000"/>
                <w:sz w:val="20"/>
                <w:szCs w:val="20"/>
              </w:rPr>
              <w:t>January 31, 2021</w:t>
            </w:r>
          </w:p>
        </w:tc>
      </w:tr>
      <w:tr w:rsidR="00611BDD" w14:paraId="54066D43" w14:textId="77777777">
        <w:tc>
          <w:tcPr>
            <w:tcW w:w="0" w:type="auto"/>
            <w:gridSpan w:val="3"/>
            <w:shd w:val="clear" w:color="auto" w:fill="auto"/>
            <w:tcMar>
              <w:top w:w="0" w:type="dxa"/>
              <w:left w:w="20" w:type="dxa"/>
              <w:bottom w:w="0" w:type="dxa"/>
              <w:right w:w="20" w:type="dxa"/>
            </w:tcMar>
            <w:vAlign w:val="bottom"/>
          </w:tcPr>
          <w:p w14:paraId="54066D3B"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D3C" w14:textId="77777777" w:rsidR="00611BDD" w:rsidRDefault="002E18C7">
            <w:pPr>
              <w:jc w:val="center"/>
              <w:textAlignment w:val="bottom"/>
            </w:pPr>
            <w:r>
              <w:rPr>
                <w:rFonts w:ascii="sans-serif" w:eastAsia="sans-serif" w:hAnsi="sans-serif" w:cs="sans-serif"/>
                <w:b/>
                <w:bCs/>
                <w:color w:val="000000"/>
                <w:sz w:val="20"/>
                <w:szCs w:val="20"/>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D3D"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D3E" w14:textId="77777777" w:rsidR="00611BDD" w:rsidRDefault="002E18C7">
            <w:pPr>
              <w:jc w:val="center"/>
              <w:textAlignment w:val="bottom"/>
            </w:pPr>
            <w:r>
              <w:rPr>
                <w:rFonts w:ascii="sans-serif" w:eastAsia="sans-serif" w:hAnsi="sans-serif" w:cs="sans-serif"/>
                <w:b/>
                <w:bCs/>
                <w:color w:val="000000"/>
                <w:sz w:val="20"/>
                <w:szCs w:val="20"/>
              </w:rPr>
              <w:t>Estimated Fair Value</w:t>
            </w:r>
          </w:p>
        </w:tc>
        <w:tc>
          <w:tcPr>
            <w:tcW w:w="0" w:type="auto"/>
            <w:gridSpan w:val="3"/>
            <w:shd w:val="clear" w:color="auto" w:fill="auto"/>
            <w:tcMar>
              <w:top w:w="0" w:type="dxa"/>
              <w:left w:w="20" w:type="dxa"/>
              <w:bottom w:w="0" w:type="dxa"/>
              <w:right w:w="20" w:type="dxa"/>
            </w:tcMar>
            <w:vAlign w:val="bottom"/>
          </w:tcPr>
          <w:p w14:paraId="54066D3F"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D40" w14:textId="77777777" w:rsidR="00611BDD" w:rsidRDefault="002E18C7">
            <w:pPr>
              <w:jc w:val="center"/>
              <w:textAlignment w:val="bottom"/>
            </w:pPr>
            <w:r>
              <w:rPr>
                <w:rFonts w:ascii="sans-serif" w:eastAsia="sans-serif" w:hAnsi="sans-serif" w:cs="sans-serif"/>
                <w:b/>
                <w:bCs/>
                <w:color w:val="000000"/>
                <w:sz w:val="20"/>
                <w:szCs w:val="20"/>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D41"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D42" w14:textId="77777777" w:rsidR="00611BDD" w:rsidRDefault="002E18C7">
            <w:pPr>
              <w:jc w:val="center"/>
              <w:textAlignment w:val="bottom"/>
            </w:pPr>
            <w:r>
              <w:rPr>
                <w:rFonts w:ascii="sans-serif" w:eastAsia="sans-serif" w:hAnsi="sans-serif" w:cs="sans-serif"/>
                <w:b/>
                <w:bCs/>
                <w:color w:val="000000"/>
                <w:sz w:val="20"/>
                <w:szCs w:val="20"/>
              </w:rPr>
              <w:t>Estimated Fair Value</w:t>
            </w:r>
          </w:p>
        </w:tc>
      </w:tr>
      <w:tr w:rsidR="00611BDD" w14:paraId="54066D4C" w14:textId="77777777">
        <w:trPr>
          <w:trHeight w:val="60"/>
        </w:trPr>
        <w:tc>
          <w:tcPr>
            <w:tcW w:w="0" w:type="auto"/>
            <w:gridSpan w:val="3"/>
            <w:shd w:val="clear" w:color="auto" w:fill="auto"/>
            <w:tcMar>
              <w:top w:w="0" w:type="dxa"/>
              <w:left w:w="20" w:type="dxa"/>
              <w:bottom w:w="0" w:type="dxa"/>
              <w:right w:w="20" w:type="dxa"/>
            </w:tcMar>
            <w:vAlign w:val="bottom"/>
          </w:tcPr>
          <w:p w14:paraId="54066D44"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D45"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D46"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D47"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D48"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D49"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D4A"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D4B" w14:textId="77777777" w:rsidR="00611BDD" w:rsidRDefault="00611BDD">
            <w:pPr>
              <w:rPr>
                <w:rFonts w:ascii="宋体"/>
              </w:rPr>
            </w:pPr>
          </w:p>
        </w:tc>
      </w:tr>
      <w:tr w:rsidR="00611BDD" w14:paraId="54066D4F" w14:textId="77777777">
        <w:tc>
          <w:tcPr>
            <w:tcW w:w="0" w:type="auto"/>
            <w:gridSpan w:val="3"/>
            <w:shd w:val="clear" w:color="auto" w:fill="auto"/>
            <w:tcMar>
              <w:top w:w="0" w:type="dxa"/>
              <w:left w:w="20" w:type="dxa"/>
              <w:bottom w:w="0" w:type="dxa"/>
              <w:right w:w="20" w:type="dxa"/>
            </w:tcMar>
            <w:vAlign w:val="bottom"/>
          </w:tcPr>
          <w:p w14:paraId="54066D4D" w14:textId="77777777" w:rsidR="00611BDD" w:rsidRDefault="00611BDD">
            <w:pPr>
              <w:rPr>
                <w:rFonts w:ascii="宋体"/>
              </w:rPr>
            </w:pPr>
          </w:p>
        </w:tc>
        <w:tc>
          <w:tcPr>
            <w:tcW w:w="0" w:type="auto"/>
            <w:gridSpan w:val="21"/>
            <w:shd w:val="clear" w:color="auto" w:fill="auto"/>
            <w:tcMar>
              <w:top w:w="40" w:type="dxa"/>
              <w:left w:w="20" w:type="dxa"/>
              <w:bottom w:w="40" w:type="dxa"/>
              <w:right w:w="20" w:type="dxa"/>
            </w:tcMar>
            <w:vAlign w:val="bottom"/>
          </w:tcPr>
          <w:p w14:paraId="54066D4E" w14:textId="77777777" w:rsidR="00611BDD" w:rsidRDefault="002E18C7">
            <w:pPr>
              <w:jc w:val="center"/>
              <w:textAlignment w:val="bottom"/>
            </w:pPr>
            <w:r>
              <w:rPr>
                <w:rFonts w:ascii="sans-serif" w:eastAsia="sans-serif" w:hAnsi="sans-serif" w:cs="sans-serif"/>
                <w:i/>
                <w:iCs/>
                <w:color w:val="000000"/>
                <w:sz w:val="20"/>
                <w:szCs w:val="20"/>
              </w:rPr>
              <w:t>(In millions)</w:t>
            </w:r>
          </w:p>
        </w:tc>
      </w:tr>
      <w:tr w:rsidR="00611BDD" w14:paraId="54066D60" w14:textId="77777777">
        <w:tc>
          <w:tcPr>
            <w:tcW w:w="0" w:type="auto"/>
            <w:gridSpan w:val="3"/>
            <w:shd w:val="clear" w:color="auto" w:fill="E2EFD9"/>
            <w:tcMar>
              <w:top w:w="40" w:type="dxa"/>
              <w:left w:w="20" w:type="dxa"/>
              <w:bottom w:w="40" w:type="dxa"/>
              <w:right w:w="20" w:type="dxa"/>
            </w:tcMar>
            <w:vAlign w:val="bottom"/>
          </w:tcPr>
          <w:p w14:paraId="54066D50" w14:textId="77777777" w:rsidR="00611BDD" w:rsidRDefault="002E18C7">
            <w:pPr>
              <w:textAlignment w:val="bottom"/>
            </w:pPr>
            <w:r>
              <w:rPr>
                <w:rFonts w:ascii="sans-serif" w:eastAsia="sans-serif" w:hAnsi="sans-serif" w:cs="sans-serif"/>
                <w:color w:val="000000"/>
                <w:sz w:val="20"/>
                <w:szCs w:val="20"/>
              </w:rPr>
              <w:t>Less than one year</w:t>
            </w:r>
          </w:p>
        </w:tc>
        <w:tc>
          <w:tcPr>
            <w:tcW w:w="0" w:type="auto"/>
            <w:shd w:val="clear" w:color="auto" w:fill="E2EFD9"/>
            <w:tcMar>
              <w:top w:w="40" w:type="dxa"/>
              <w:left w:w="20" w:type="dxa"/>
              <w:bottom w:w="40" w:type="dxa"/>
              <w:right w:w="0" w:type="dxa"/>
            </w:tcMar>
            <w:vAlign w:val="bottom"/>
          </w:tcPr>
          <w:p w14:paraId="54066D51"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D52" w14:textId="77777777" w:rsidR="00611BDD" w:rsidRDefault="002E18C7">
            <w:pPr>
              <w:jc w:val="right"/>
              <w:textAlignment w:val="bottom"/>
            </w:pPr>
            <w:r>
              <w:rPr>
                <w:rFonts w:ascii="sans-serif" w:eastAsia="sans-serif" w:hAnsi="sans-serif" w:cs="sans-serif"/>
                <w:color w:val="000000"/>
                <w:sz w:val="20"/>
                <w:szCs w:val="20"/>
              </w:rPr>
              <w:t>17,390 </w:t>
            </w:r>
          </w:p>
        </w:tc>
        <w:tc>
          <w:tcPr>
            <w:tcW w:w="0" w:type="auto"/>
            <w:shd w:val="clear" w:color="auto" w:fill="E2EFD9"/>
            <w:tcMar>
              <w:top w:w="40" w:type="dxa"/>
              <w:left w:w="0" w:type="dxa"/>
              <w:bottom w:w="40" w:type="dxa"/>
              <w:right w:w="20" w:type="dxa"/>
            </w:tcMar>
            <w:vAlign w:val="bottom"/>
          </w:tcPr>
          <w:p w14:paraId="54066D5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D54"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D55"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D56" w14:textId="77777777" w:rsidR="00611BDD" w:rsidRDefault="002E18C7">
            <w:pPr>
              <w:jc w:val="right"/>
              <w:textAlignment w:val="bottom"/>
            </w:pPr>
            <w:r>
              <w:rPr>
                <w:rFonts w:ascii="sans-serif" w:eastAsia="sans-serif" w:hAnsi="sans-serif" w:cs="sans-serif"/>
                <w:color w:val="000000"/>
                <w:sz w:val="20"/>
                <w:szCs w:val="20"/>
              </w:rPr>
              <w:t>17,391 </w:t>
            </w:r>
          </w:p>
        </w:tc>
        <w:tc>
          <w:tcPr>
            <w:tcW w:w="0" w:type="auto"/>
            <w:shd w:val="clear" w:color="auto" w:fill="E2EFD9"/>
            <w:tcMar>
              <w:top w:w="40" w:type="dxa"/>
              <w:left w:w="0" w:type="dxa"/>
              <w:bottom w:w="40" w:type="dxa"/>
              <w:right w:w="20" w:type="dxa"/>
            </w:tcMar>
            <w:vAlign w:val="bottom"/>
          </w:tcPr>
          <w:p w14:paraId="54066D57"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D58"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D59"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D5A" w14:textId="77777777" w:rsidR="00611BDD" w:rsidRDefault="002E18C7">
            <w:pPr>
              <w:jc w:val="right"/>
              <w:textAlignment w:val="bottom"/>
            </w:pPr>
            <w:r>
              <w:rPr>
                <w:rFonts w:ascii="sans-serif" w:eastAsia="sans-serif" w:hAnsi="sans-serif" w:cs="sans-serif"/>
                <w:color w:val="000000"/>
                <w:sz w:val="20"/>
                <w:szCs w:val="20"/>
              </w:rPr>
              <w:t>10,782 </w:t>
            </w:r>
          </w:p>
        </w:tc>
        <w:tc>
          <w:tcPr>
            <w:tcW w:w="0" w:type="auto"/>
            <w:shd w:val="clear" w:color="auto" w:fill="E2EFD9"/>
            <w:tcMar>
              <w:top w:w="40" w:type="dxa"/>
              <w:left w:w="0" w:type="dxa"/>
              <w:bottom w:w="40" w:type="dxa"/>
              <w:right w:w="20" w:type="dxa"/>
            </w:tcMar>
            <w:vAlign w:val="bottom"/>
          </w:tcPr>
          <w:p w14:paraId="54066D5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D5C"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D5D"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D5E" w14:textId="77777777" w:rsidR="00611BDD" w:rsidRDefault="002E18C7">
            <w:pPr>
              <w:jc w:val="right"/>
              <w:textAlignment w:val="bottom"/>
            </w:pPr>
            <w:r>
              <w:rPr>
                <w:rFonts w:ascii="sans-serif" w:eastAsia="sans-serif" w:hAnsi="sans-serif" w:cs="sans-serif"/>
                <w:color w:val="000000"/>
                <w:sz w:val="20"/>
                <w:szCs w:val="20"/>
              </w:rPr>
              <w:t>10,783 </w:t>
            </w:r>
          </w:p>
        </w:tc>
        <w:tc>
          <w:tcPr>
            <w:tcW w:w="0" w:type="auto"/>
            <w:shd w:val="clear" w:color="auto" w:fill="E2EFD9"/>
            <w:tcMar>
              <w:top w:w="40" w:type="dxa"/>
              <w:left w:w="0" w:type="dxa"/>
              <w:bottom w:w="40" w:type="dxa"/>
              <w:right w:w="20" w:type="dxa"/>
            </w:tcMar>
            <w:vAlign w:val="bottom"/>
          </w:tcPr>
          <w:p w14:paraId="54066D5F" w14:textId="77777777" w:rsidR="00611BDD" w:rsidRDefault="00611BDD">
            <w:pPr>
              <w:jc w:val="right"/>
              <w:rPr>
                <w:rFonts w:ascii="宋体"/>
              </w:rPr>
            </w:pPr>
          </w:p>
        </w:tc>
      </w:tr>
      <w:tr w:rsidR="00611BDD" w14:paraId="54066D6D" w14:textId="77777777">
        <w:tc>
          <w:tcPr>
            <w:tcW w:w="0" w:type="auto"/>
            <w:gridSpan w:val="3"/>
            <w:shd w:val="clear" w:color="auto" w:fill="FFFFFF"/>
            <w:tcMar>
              <w:top w:w="40" w:type="dxa"/>
              <w:left w:w="20" w:type="dxa"/>
              <w:bottom w:w="40" w:type="dxa"/>
              <w:right w:w="20" w:type="dxa"/>
            </w:tcMar>
            <w:vAlign w:val="bottom"/>
          </w:tcPr>
          <w:p w14:paraId="54066D61" w14:textId="77777777" w:rsidR="00611BDD" w:rsidRDefault="002E18C7">
            <w:pPr>
              <w:textAlignment w:val="bottom"/>
            </w:pPr>
            <w:r>
              <w:rPr>
                <w:rFonts w:ascii="sans-serif" w:eastAsia="sans-serif" w:hAnsi="sans-serif" w:cs="sans-serif"/>
                <w:color w:val="000000"/>
                <w:sz w:val="20"/>
                <w:szCs w:val="20"/>
              </w:rPr>
              <w:t>Due in 1 - 5 years</w:t>
            </w:r>
          </w:p>
        </w:tc>
        <w:tc>
          <w:tcPr>
            <w:tcW w:w="0" w:type="auto"/>
            <w:gridSpan w:val="2"/>
            <w:shd w:val="clear" w:color="auto" w:fill="FFFFFF"/>
            <w:tcMar>
              <w:top w:w="40" w:type="dxa"/>
              <w:left w:w="20" w:type="dxa"/>
              <w:bottom w:w="40" w:type="dxa"/>
              <w:right w:w="0" w:type="dxa"/>
            </w:tcMar>
            <w:vAlign w:val="bottom"/>
          </w:tcPr>
          <w:p w14:paraId="54066D62" w14:textId="77777777" w:rsidR="00611BDD" w:rsidRDefault="002E18C7">
            <w:pPr>
              <w:jc w:val="right"/>
              <w:textAlignment w:val="bottom"/>
            </w:pPr>
            <w:r>
              <w:rPr>
                <w:rFonts w:ascii="sans-serif" w:eastAsia="sans-serif" w:hAnsi="sans-serif" w:cs="sans-serif"/>
                <w:color w:val="000000"/>
                <w:sz w:val="20"/>
                <w:szCs w:val="20"/>
              </w:rPr>
              <w:t>1,970 </w:t>
            </w:r>
          </w:p>
        </w:tc>
        <w:tc>
          <w:tcPr>
            <w:tcW w:w="0" w:type="auto"/>
            <w:shd w:val="clear" w:color="auto" w:fill="FFFFFF"/>
            <w:tcMar>
              <w:top w:w="40" w:type="dxa"/>
              <w:left w:w="0" w:type="dxa"/>
              <w:bottom w:w="40" w:type="dxa"/>
              <w:right w:w="20" w:type="dxa"/>
            </w:tcMar>
            <w:vAlign w:val="bottom"/>
          </w:tcPr>
          <w:p w14:paraId="54066D6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D64"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D65" w14:textId="77777777" w:rsidR="00611BDD" w:rsidRDefault="002E18C7">
            <w:pPr>
              <w:jc w:val="right"/>
              <w:textAlignment w:val="bottom"/>
            </w:pPr>
            <w:r>
              <w:rPr>
                <w:rFonts w:ascii="sans-serif" w:eastAsia="sans-serif" w:hAnsi="sans-serif" w:cs="sans-serif"/>
                <w:color w:val="000000"/>
                <w:sz w:val="20"/>
                <w:szCs w:val="20"/>
              </w:rPr>
              <w:t>1,972 </w:t>
            </w:r>
          </w:p>
        </w:tc>
        <w:tc>
          <w:tcPr>
            <w:tcW w:w="0" w:type="auto"/>
            <w:shd w:val="clear" w:color="auto" w:fill="FFFFFF"/>
            <w:tcMar>
              <w:top w:w="40" w:type="dxa"/>
              <w:left w:w="0" w:type="dxa"/>
              <w:bottom w:w="40" w:type="dxa"/>
              <w:right w:w="20" w:type="dxa"/>
            </w:tcMar>
            <w:vAlign w:val="bottom"/>
          </w:tcPr>
          <w:p w14:paraId="54066D6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D67"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D68" w14:textId="77777777" w:rsidR="00611BDD" w:rsidRDefault="002E18C7">
            <w:pPr>
              <w:jc w:val="right"/>
              <w:textAlignment w:val="bottom"/>
            </w:pPr>
            <w:r>
              <w:rPr>
                <w:rFonts w:ascii="sans-serif" w:eastAsia="sans-serif" w:hAnsi="sans-serif" w:cs="sans-serif"/>
                <w:color w:val="000000"/>
                <w:sz w:val="20"/>
                <w:szCs w:val="20"/>
              </w:rPr>
              <w:t>566 </w:t>
            </w:r>
          </w:p>
        </w:tc>
        <w:tc>
          <w:tcPr>
            <w:tcW w:w="0" w:type="auto"/>
            <w:shd w:val="clear" w:color="auto" w:fill="FFFFFF"/>
            <w:tcMar>
              <w:top w:w="40" w:type="dxa"/>
              <w:left w:w="0" w:type="dxa"/>
              <w:bottom w:w="40" w:type="dxa"/>
              <w:right w:w="20" w:type="dxa"/>
            </w:tcMar>
            <w:vAlign w:val="bottom"/>
          </w:tcPr>
          <w:p w14:paraId="54066D6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D6A"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D6B" w14:textId="77777777" w:rsidR="00611BDD" w:rsidRDefault="002E18C7">
            <w:pPr>
              <w:jc w:val="right"/>
              <w:textAlignment w:val="bottom"/>
            </w:pPr>
            <w:r>
              <w:rPr>
                <w:rFonts w:ascii="sans-serif" w:eastAsia="sans-serif" w:hAnsi="sans-serif" w:cs="sans-serif"/>
                <w:color w:val="000000"/>
                <w:sz w:val="20"/>
                <w:szCs w:val="20"/>
              </w:rPr>
              <w:t>568 </w:t>
            </w:r>
          </w:p>
        </w:tc>
        <w:tc>
          <w:tcPr>
            <w:tcW w:w="0" w:type="auto"/>
            <w:shd w:val="clear" w:color="auto" w:fill="FFFFFF"/>
            <w:tcMar>
              <w:top w:w="40" w:type="dxa"/>
              <w:left w:w="0" w:type="dxa"/>
              <w:bottom w:w="40" w:type="dxa"/>
              <w:right w:w="20" w:type="dxa"/>
            </w:tcMar>
            <w:vAlign w:val="bottom"/>
          </w:tcPr>
          <w:p w14:paraId="54066D6C" w14:textId="77777777" w:rsidR="00611BDD" w:rsidRDefault="00611BDD">
            <w:pPr>
              <w:jc w:val="right"/>
              <w:rPr>
                <w:rFonts w:ascii="宋体"/>
              </w:rPr>
            </w:pPr>
          </w:p>
        </w:tc>
      </w:tr>
      <w:tr w:rsidR="00611BDD" w14:paraId="54066D76" w14:textId="77777777">
        <w:trPr>
          <w:hidden/>
        </w:trPr>
        <w:tc>
          <w:tcPr>
            <w:tcW w:w="0" w:type="auto"/>
            <w:gridSpan w:val="3"/>
            <w:shd w:val="clear" w:color="auto" w:fill="auto"/>
            <w:vAlign w:val="bottom"/>
          </w:tcPr>
          <w:p w14:paraId="54066D6E" w14:textId="77777777" w:rsidR="00611BDD" w:rsidRDefault="00611BDD">
            <w:pPr>
              <w:rPr>
                <w:rFonts w:ascii="宋体"/>
                <w:vanish/>
              </w:rPr>
            </w:pPr>
          </w:p>
        </w:tc>
        <w:tc>
          <w:tcPr>
            <w:tcW w:w="0" w:type="auto"/>
            <w:gridSpan w:val="3"/>
            <w:shd w:val="clear" w:color="auto" w:fill="auto"/>
            <w:vAlign w:val="bottom"/>
          </w:tcPr>
          <w:p w14:paraId="54066D6F" w14:textId="77777777" w:rsidR="00611BDD" w:rsidRDefault="00611BDD">
            <w:pPr>
              <w:rPr>
                <w:rFonts w:ascii="宋体"/>
                <w:vanish/>
              </w:rPr>
            </w:pPr>
          </w:p>
        </w:tc>
        <w:tc>
          <w:tcPr>
            <w:tcW w:w="0" w:type="auto"/>
            <w:gridSpan w:val="3"/>
            <w:shd w:val="clear" w:color="auto" w:fill="auto"/>
            <w:vAlign w:val="bottom"/>
          </w:tcPr>
          <w:p w14:paraId="54066D70" w14:textId="77777777" w:rsidR="00611BDD" w:rsidRDefault="00611BDD">
            <w:pPr>
              <w:rPr>
                <w:rFonts w:ascii="宋体"/>
                <w:vanish/>
              </w:rPr>
            </w:pPr>
          </w:p>
        </w:tc>
        <w:tc>
          <w:tcPr>
            <w:tcW w:w="0" w:type="auto"/>
            <w:gridSpan w:val="3"/>
            <w:shd w:val="clear" w:color="auto" w:fill="auto"/>
            <w:vAlign w:val="bottom"/>
          </w:tcPr>
          <w:p w14:paraId="54066D71" w14:textId="77777777" w:rsidR="00611BDD" w:rsidRDefault="00611BDD">
            <w:pPr>
              <w:rPr>
                <w:rFonts w:ascii="宋体"/>
                <w:vanish/>
              </w:rPr>
            </w:pPr>
          </w:p>
        </w:tc>
        <w:tc>
          <w:tcPr>
            <w:tcW w:w="0" w:type="auto"/>
            <w:gridSpan w:val="3"/>
            <w:shd w:val="clear" w:color="auto" w:fill="auto"/>
            <w:vAlign w:val="bottom"/>
          </w:tcPr>
          <w:p w14:paraId="54066D72" w14:textId="77777777" w:rsidR="00611BDD" w:rsidRDefault="00611BDD">
            <w:pPr>
              <w:rPr>
                <w:rFonts w:ascii="宋体"/>
                <w:vanish/>
              </w:rPr>
            </w:pPr>
          </w:p>
        </w:tc>
        <w:tc>
          <w:tcPr>
            <w:tcW w:w="0" w:type="auto"/>
            <w:gridSpan w:val="3"/>
            <w:shd w:val="clear" w:color="auto" w:fill="auto"/>
            <w:vAlign w:val="bottom"/>
          </w:tcPr>
          <w:p w14:paraId="54066D73" w14:textId="77777777" w:rsidR="00611BDD" w:rsidRDefault="00611BDD">
            <w:pPr>
              <w:rPr>
                <w:rFonts w:ascii="宋体"/>
                <w:vanish/>
              </w:rPr>
            </w:pPr>
          </w:p>
        </w:tc>
        <w:tc>
          <w:tcPr>
            <w:tcW w:w="0" w:type="auto"/>
            <w:gridSpan w:val="3"/>
            <w:shd w:val="clear" w:color="auto" w:fill="auto"/>
            <w:vAlign w:val="bottom"/>
          </w:tcPr>
          <w:p w14:paraId="54066D74" w14:textId="77777777" w:rsidR="00611BDD" w:rsidRDefault="00611BDD">
            <w:pPr>
              <w:rPr>
                <w:rFonts w:ascii="宋体"/>
                <w:vanish/>
              </w:rPr>
            </w:pPr>
          </w:p>
        </w:tc>
        <w:tc>
          <w:tcPr>
            <w:tcW w:w="0" w:type="auto"/>
            <w:gridSpan w:val="3"/>
            <w:shd w:val="clear" w:color="auto" w:fill="auto"/>
            <w:vAlign w:val="bottom"/>
          </w:tcPr>
          <w:p w14:paraId="54066D75" w14:textId="77777777" w:rsidR="00611BDD" w:rsidRDefault="00611BDD">
            <w:pPr>
              <w:rPr>
                <w:rFonts w:ascii="宋体"/>
                <w:vanish/>
              </w:rPr>
            </w:pPr>
          </w:p>
        </w:tc>
      </w:tr>
      <w:tr w:rsidR="00611BDD" w14:paraId="54066D87" w14:textId="77777777">
        <w:tc>
          <w:tcPr>
            <w:tcW w:w="0" w:type="auto"/>
            <w:gridSpan w:val="3"/>
            <w:shd w:val="clear" w:color="auto" w:fill="E2EFD9"/>
            <w:tcMar>
              <w:top w:w="40" w:type="dxa"/>
              <w:left w:w="20" w:type="dxa"/>
              <w:bottom w:w="40" w:type="dxa"/>
              <w:right w:w="20" w:type="dxa"/>
            </w:tcMar>
            <w:vAlign w:val="bottom"/>
          </w:tcPr>
          <w:p w14:paraId="54066D77" w14:textId="77777777" w:rsidR="00611BDD" w:rsidRDefault="002E18C7">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D78"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D79" w14:textId="77777777" w:rsidR="00611BDD" w:rsidRDefault="002E18C7">
            <w:pPr>
              <w:jc w:val="right"/>
              <w:textAlignment w:val="bottom"/>
            </w:pPr>
            <w:r>
              <w:rPr>
                <w:rFonts w:ascii="sans-serif" w:eastAsia="sans-serif" w:hAnsi="sans-serif" w:cs="sans-serif"/>
                <w:color w:val="000000"/>
                <w:sz w:val="20"/>
                <w:szCs w:val="20"/>
              </w:rPr>
              <w:t>19,360 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D7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D7B"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D7C"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D7D" w14:textId="77777777" w:rsidR="00611BDD" w:rsidRDefault="002E18C7">
            <w:pPr>
              <w:jc w:val="right"/>
              <w:textAlignment w:val="bottom"/>
            </w:pPr>
            <w:r>
              <w:rPr>
                <w:rFonts w:ascii="sans-serif" w:eastAsia="sans-serif" w:hAnsi="sans-serif" w:cs="sans-serif"/>
                <w:color w:val="000000"/>
                <w:sz w:val="20"/>
                <w:szCs w:val="20"/>
              </w:rPr>
              <w:t>19,363 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D7E"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D7F"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D80"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D81" w14:textId="77777777" w:rsidR="00611BDD" w:rsidRDefault="002E18C7">
            <w:pPr>
              <w:jc w:val="right"/>
              <w:textAlignment w:val="bottom"/>
            </w:pPr>
            <w:r>
              <w:rPr>
                <w:rFonts w:ascii="sans-serif" w:eastAsia="sans-serif" w:hAnsi="sans-serif" w:cs="sans-serif"/>
                <w:color w:val="000000"/>
                <w:sz w:val="20"/>
                <w:szCs w:val="20"/>
              </w:rPr>
              <w:t>11,348 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D82"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D83"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D84"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D85" w14:textId="77777777" w:rsidR="00611BDD" w:rsidRDefault="002E18C7">
            <w:pPr>
              <w:jc w:val="right"/>
              <w:textAlignment w:val="bottom"/>
            </w:pPr>
            <w:r>
              <w:rPr>
                <w:rFonts w:ascii="sans-serif" w:eastAsia="sans-serif" w:hAnsi="sans-serif" w:cs="sans-serif"/>
                <w:color w:val="000000"/>
                <w:sz w:val="20"/>
                <w:szCs w:val="20"/>
              </w:rPr>
              <w:t>11,351 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D86" w14:textId="77777777" w:rsidR="00611BDD" w:rsidRDefault="00611BDD">
            <w:pPr>
              <w:jc w:val="right"/>
              <w:rPr>
                <w:rFonts w:ascii="宋体"/>
              </w:rPr>
            </w:pPr>
          </w:p>
        </w:tc>
      </w:tr>
    </w:tbl>
    <w:p w14:paraId="54066D88" w14:textId="77777777" w:rsidR="00611BDD" w:rsidRDefault="002E18C7">
      <w:pPr>
        <w:spacing w:before="240" w:after="120"/>
        <w:jc w:val="both"/>
      </w:pPr>
      <w:r>
        <w:rPr>
          <w:rFonts w:ascii="sans-serif" w:eastAsia="sans-serif" w:hAnsi="sans-serif" w:cs="sans-serif"/>
          <w:b/>
          <w:bCs/>
          <w:color w:val="76B900"/>
          <w:sz w:val="22"/>
          <w:szCs w:val="22"/>
        </w:rPr>
        <w:t>Note 8 – Fair Value of Financial Assets and Liabilities</w:t>
      </w:r>
    </w:p>
    <w:p w14:paraId="54066D89" w14:textId="77777777" w:rsidR="00611BDD" w:rsidRDefault="002E18C7">
      <w:pPr>
        <w:spacing w:after="180"/>
        <w:jc w:val="both"/>
      </w:pPr>
      <w:r>
        <w:rPr>
          <w:rFonts w:ascii="sans-serif" w:eastAsia="sans-serif" w:hAnsi="sans-serif" w:cs="sans-serif"/>
          <w:color w:val="000000"/>
          <w:sz w:val="20"/>
          <w:szCs w:val="20"/>
        </w:rPr>
        <w:t>The fair values of our financial assets and liabilities</w:t>
      </w:r>
      <w:r>
        <w:rPr>
          <w:rFonts w:ascii="sans-serif" w:eastAsia="sans-serif" w:hAnsi="sans-serif" w:cs="sans-serif"/>
          <w:color w:val="000000"/>
          <w:sz w:val="20"/>
          <w:szCs w:val="20"/>
        </w:rPr>
        <w:t xml:space="preserve"> are determined using quoted market prices of identical assets or quoted market prices of similar assets from active markets. We review fair value hierarchy classification on a quarterly basis.</w:t>
      </w:r>
    </w:p>
    <w:p w14:paraId="54066D8A" w14:textId="77777777" w:rsidR="00611BDD" w:rsidRDefault="002E18C7">
      <w:pPr>
        <w:spacing w:after="180"/>
        <w:jc w:val="center"/>
      </w:pPr>
      <w:r>
        <w:rPr>
          <w:rFonts w:ascii="sans-serif" w:eastAsia="sans-serif" w:hAnsi="sans-serif" w:cs="sans-serif"/>
          <w:color w:val="000000"/>
          <w:sz w:val="20"/>
          <w:szCs w:val="20"/>
        </w:rPr>
        <w:t>14</w:t>
      </w:r>
    </w:p>
    <w:p w14:paraId="54066D8B" w14:textId="77777777" w:rsidR="00611BDD" w:rsidRDefault="002E18C7">
      <w:r>
        <w:pict w14:anchorId="54067C32">
          <v:rect id="_x0000_i1038" style="width:415.3pt;height:1.5pt" o:hralign="center" o:hrstd="t" o:hr="t" fillcolor="#a0a0a0" stroked="f"/>
        </w:pict>
      </w:r>
    </w:p>
    <w:p w14:paraId="54066D8C" w14:textId="77777777" w:rsidR="00611BDD" w:rsidRDefault="002E18C7">
      <w:pPr>
        <w:jc w:val="center"/>
      </w:pPr>
      <w:r>
        <w:rPr>
          <w:rFonts w:ascii="sans-serif" w:eastAsia="sans-serif" w:hAnsi="sans-serif" w:cs="sans-serif"/>
          <w:b/>
          <w:bCs/>
          <w:color w:val="000000"/>
          <w:sz w:val="20"/>
          <w:szCs w:val="20"/>
        </w:rPr>
        <w:t>NVIDIA CORPORATION AND SUBSIDIARIES</w:t>
      </w:r>
    </w:p>
    <w:p w14:paraId="54066D8D" w14:textId="77777777" w:rsidR="00611BDD" w:rsidRDefault="002E18C7">
      <w:pPr>
        <w:jc w:val="center"/>
      </w:pPr>
      <w:r>
        <w:rPr>
          <w:rFonts w:ascii="sans-serif" w:eastAsia="sans-serif" w:hAnsi="sans-serif" w:cs="sans-serif"/>
          <w:b/>
          <w:bCs/>
          <w:color w:val="000000"/>
          <w:sz w:val="20"/>
          <w:szCs w:val="20"/>
        </w:rPr>
        <w:t xml:space="preserve">NOTES TO </w:t>
      </w:r>
      <w:r>
        <w:rPr>
          <w:rFonts w:ascii="sans-serif" w:eastAsia="sans-serif" w:hAnsi="sans-serif" w:cs="sans-serif"/>
          <w:b/>
          <w:bCs/>
          <w:color w:val="000000"/>
          <w:sz w:val="20"/>
          <w:szCs w:val="20"/>
        </w:rPr>
        <w:t>CONDENSED CONSOLIDATED FINANCIAL STATEMENTS (Continued)</w:t>
      </w:r>
    </w:p>
    <w:p w14:paraId="54066D8E" w14:textId="77777777" w:rsidR="00611BDD" w:rsidRDefault="002E18C7">
      <w:pPr>
        <w:jc w:val="center"/>
      </w:pPr>
      <w:r>
        <w:rPr>
          <w:rFonts w:ascii="sans-serif" w:eastAsia="sans-serif" w:hAnsi="sans-serif" w:cs="sans-serif"/>
          <w:b/>
          <w:bCs/>
          <w:color w:val="000000"/>
          <w:sz w:val="20"/>
          <w:szCs w:val="20"/>
        </w:rPr>
        <w:t>(Unaudited)</w:t>
      </w:r>
    </w:p>
    <w:p w14:paraId="54066D8F" w14:textId="77777777" w:rsidR="00611BDD" w:rsidRDefault="00611BDD">
      <w:pPr>
        <w:spacing w:after="180"/>
        <w:jc w:val="both"/>
      </w:pPr>
    </w:p>
    <w:p w14:paraId="54066D90" w14:textId="77777777" w:rsidR="00611BDD" w:rsidRDefault="00611BDD">
      <w:pPr>
        <w:spacing w:after="180"/>
        <w:jc w:val="both"/>
      </w:pPr>
    </w:p>
    <w:tbl>
      <w:tblPr>
        <w:tblW w:w="5000" w:type="pct"/>
        <w:tblCellMar>
          <w:top w:w="15" w:type="dxa"/>
          <w:left w:w="15" w:type="dxa"/>
          <w:bottom w:w="15" w:type="dxa"/>
          <w:right w:w="15" w:type="dxa"/>
        </w:tblCellMar>
        <w:tblLook w:val="04A0" w:firstRow="1" w:lastRow="0" w:firstColumn="1" w:lastColumn="0" w:noHBand="0" w:noVBand="1"/>
      </w:tblPr>
      <w:tblGrid>
        <w:gridCol w:w="45"/>
        <w:gridCol w:w="3685"/>
        <w:gridCol w:w="39"/>
        <w:gridCol w:w="56"/>
        <w:gridCol w:w="1041"/>
        <w:gridCol w:w="36"/>
        <w:gridCol w:w="36"/>
        <w:gridCol w:w="36"/>
        <w:gridCol w:w="36"/>
        <w:gridCol w:w="122"/>
        <w:gridCol w:w="1438"/>
        <w:gridCol w:w="36"/>
        <w:gridCol w:w="36"/>
        <w:gridCol w:w="36"/>
        <w:gridCol w:w="36"/>
        <w:gridCol w:w="123"/>
        <w:gridCol w:w="1463"/>
        <w:gridCol w:w="36"/>
      </w:tblGrid>
      <w:tr w:rsidR="00611BDD" w14:paraId="54066DA3" w14:textId="77777777">
        <w:tc>
          <w:tcPr>
            <w:tcW w:w="50" w:type="pct"/>
            <w:shd w:val="clear" w:color="auto" w:fill="auto"/>
            <w:vAlign w:val="bottom"/>
          </w:tcPr>
          <w:p w14:paraId="54066D91" w14:textId="77777777" w:rsidR="00611BDD" w:rsidRDefault="00611BDD">
            <w:pPr>
              <w:rPr>
                <w:rFonts w:ascii="宋体"/>
              </w:rPr>
            </w:pPr>
          </w:p>
        </w:tc>
        <w:tc>
          <w:tcPr>
            <w:tcW w:w="2232" w:type="pct"/>
            <w:shd w:val="clear" w:color="auto" w:fill="auto"/>
            <w:vAlign w:val="bottom"/>
          </w:tcPr>
          <w:p w14:paraId="54066D92" w14:textId="77777777" w:rsidR="00611BDD" w:rsidRDefault="00611BDD">
            <w:pPr>
              <w:rPr>
                <w:rFonts w:ascii="宋体"/>
              </w:rPr>
            </w:pPr>
          </w:p>
        </w:tc>
        <w:tc>
          <w:tcPr>
            <w:tcW w:w="5" w:type="pct"/>
            <w:shd w:val="clear" w:color="auto" w:fill="auto"/>
            <w:vAlign w:val="bottom"/>
          </w:tcPr>
          <w:p w14:paraId="54066D93" w14:textId="77777777" w:rsidR="00611BDD" w:rsidRDefault="00611BDD">
            <w:pPr>
              <w:rPr>
                <w:rFonts w:ascii="宋体"/>
              </w:rPr>
            </w:pPr>
          </w:p>
        </w:tc>
        <w:tc>
          <w:tcPr>
            <w:tcW w:w="50" w:type="pct"/>
            <w:shd w:val="clear" w:color="auto" w:fill="auto"/>
            <w:vAlign w:val="bottom"/>
          </w:tcPr>
          <w:p w14:paraId="54066D94" w14:textId="77777777" w:rsidR="00611BDD" w:rsidRDefault="00611BDD">
            <w:pPr>
              <w:rPr>
                <w:rFonts w:ascii="宋体"/>
              </w:rPr>
            </w:pPr>
          </w:p>
        </w:tc>
        <w:tc>
          <w:tcPr>
            <w:tcW w:w="654" w:type="pct"/>
            <w:shd w:val="clear" w:color="auto" w:fill="auto"/>
            <w:vAlign w:val="bottom"/>
          </w:tcPr>
          <w:p w14:paraId="54066D95" w14:textId="77777777" w:rsidR="00611BDD" w:rsidRDefault="00611BDD">
            <w:pPr>
              <w:rPr>
                <w:rFonts w:ascii="宋体"/>
              </w:rPr>
            </w:pPr>
          </w:p>
        </w:tc>
        <w:tc>
          <w:tcPr>
            <w:tcW w:w="5" w:type="pct"/>
            <w:shd w:val="clear" w:color="auto" w:fill="auto"/>
            <w:vAlign w:val="bottom"/>
          </w:tcPr>
          <w:p w14:paraId="54066D96" w14:textId="77777777" w:rsidR="00611BDD" w:rsidRDefault="00611BDD">
            <w:pPr>
              <w:rPr>
                <w:rFonts w:ascii="宋体"/>
              </w:rPr>
            </w:pPr>
          </w:p>
        </w:tc>
        <w:tc>
          <w:tcPr>
            <w:tcW w:w="5" w:type="pct"/>
            <w:shd w:val="clear" w:color="auto" w:fill="auto"/>
            <w:vAlign w:val="bottom"/>
          </w:tcPr>
          <w:p w14:paraId="54066D97" w14:textId="77777777" w:rsidR="00611BDD" w:rsidRDefault="00611BDD">
            <w:pPr>
              <w:rPr>
                <w:rFonts w:ascii="宋体"/>
              </w:rPr>
            </w:pPr>
          </w:p>
        </w:tc>
        <w:tc>
          <w:tcPr>
            <w:tcW w:w="26" w:type="pct"/>
            <w:shd w:val="clear" w:color="auto" w:fill="auto"/>
            <w:vAlign w:val="bottom"/>
          </w:tcPr>
          <w:p w14:paraId="54066D98" w14:textId="77777777" w:rsidR="00611BDD" w:rsidRDefault="00611BDD">
            <w:pPr>
              <w:rPr>
                <w:rFonts w:ascii="宋体"/>
              </w:rPr>
            </w:pPr>
          </w:p>
        </w:tc>
        <w:tc>
          <w:tcPr>
            <w:tcW w:w="5" w:type="pct"/>
            <w:shd w:val="clear" w:color="auto" w:fill="auto"/>
            <w:vAlign w:val="bottom"/>
          </w:tcPr>
          <w:p w14:paraId="54066D99" w14:textId="77777777" w:rsidR="00611BDD" w:rsidRDefault="00611BDD">
            <w:pPr>
              <w:rPr>
                <w:rFonts w:ascii="宋体"/>
              </w:rPr>
            </w:pPr>
          </w:p>
        </w:tc>
        <w:tc>
          <w:tcPr>
            <w:tcW w:w="50" w:type="pct"/>
            <w:shd w:val="clear" w:color="auto" w:fill="auto"/>
            <w:vAlign w:val="bottom"/>
          </w:tcPr>
          <w:p w14:paraId="54066D9A" w14:textId="77777777" w:rsidR="00611BDD" w:rsidRDefault="00611BDD">
            <w:pPr>
              <w:rPr>
                <w:rFonts w:ascii="宋体"/>
              </w:rPr>
            </w:pPr>
          </w:p>
        </w:tc>
        <w:tc>
          <w:tcPr>
            <w:tcW w:w="902" w:type="pct"/>
            <w:shd w:val="clear" w:color="auto" w:fill="auto"/>
            <w:vAlign w:val="bottom"/>
          </w:tcPr>
          <w:p w14:paraId="54066D9B" w14:textId="77777777" w:rsidR="00611BDD" w:rsidRDefault="00611BDD">
            <w:pPr>
              <w:rPr>
                <w:rFonts w:ascii="宋体"/>
              </w:rPr>
            </w:pPr>
          </w:p>
        </w:tc>
        <w:tc>
          <w:tcPr>
            <w:tcW w:w="5" w:type="pct"/>
            <w:shd w:val="clear" w:color="auto" w:fill="auto"/>
            <w:vAlign w:val="bottom"/>
          </w:tcPr>
          <w:p w14:paraId="54066D9C" w14:textId="77777777" w:rsidR="00611BDD" w:rsidRDefault="00611BDD">
            <w:pPr>
              <w:rPr>
                <w:rFonts w:ascii="宋体"/>
              </w:rPr>
            </w:pPr>
          </w:p>
        </w:tc>
        <w:tc>
          <w:tcPr>
            <w:tcW w:w="5" w:type="pct"/>
            <w:shd w:val="clear" w:color="auto" w:fill="auto"/>
            <w:vAlign w:val="bottom"/>
          </w:tcPr>
          <w:p w14:paraId="54066D9D" w14:textId="77777777" w:rsidR="00611BDD" w:rsidRDefault="00611BDD">
            <w:pPr>
              <w:rPr>
                <w:rFonts w:ascii="宋体"/>
              </w:rPr>
            </w:pPr>
          </w:p>
        </w:tc>
        <w:tc>
          <w:tcPr>
            <w:tcW w:w="41" w:type="pct"/>
            <w:shd w:val="clear" w:color="auto" w:fill="auto"/>
            <w:vAlign w:val="bottom"/>
          </w:tcPr>
          <w:p w14:paraId="54066D9E" w14:textId="77777777" w:rsidR="00611BDD" w:rsidRDefault="00611BDD">
            <w:pPr>
              <w:rPr>
                <w:rFonts w:ascii="宋体"/>
              </w:rPr>
            </w:pPr>
          </w:p>
        </w:tc>
        <w:tc>
          <w:tcPr>
            <w:tcW w:w="5" w:type="pct"/>
            <w:shd w:val="clear" w:color="auto" w:fill="auto"/>
            <w:vAlign w:val="bottom"/>
          </w:tcPr>
          <w:p w14:paraId="54066D9F" w14:textId="77777777" w:rsidR="00611BDD" w:rsidRDefault="00611BDD">
            <w:pPr>
              <w:rPr>
                <w:rFonts w:ascii="宋体"/>
              </w:rPr>
            </w:pPr>
          </w:p>
        </w:tc>
        <w:tc>
          <w:tcPr>
            <w:tcW w:w="50" w:type="pct"/>
            <w:shd w:val="clear" w:color="auto" w:fill="auto"/>
            <w:vAlign w:val="bottom"/>
          </w:tcPr>
          <w:p w14:paraId="54066DA0" w14:textId="77777777" w:rsidR="00611BDD" w:rsidRDefault="00611BDD">
            <w:pPr>
              <w:rPr>
                <w:rFonts w:ascii="宋体"/>
              </w:rPr>
            </w:pPr>
          </w:p>
        </w:tc>
        <w:tc>
          <w:tcPr>
            <w:tcW w:w="902" w:type="pct"/>
            <w:shd w:val="clear" w:color="auto" w:fill="auto"/>
            <w:vAlign w:val="bottom"/>
          </w:tcPr>
          <w:p w14:paraId="54066DA1" w14:textId="77777777" w:rsidR="00611BDD" w:rsidRDefault="00611BDD">
            <w:pPr>
              <w:rPr>
                <w:rFonts w:ascii="宋体"/>
              </w:rPr>
            </w:pPr>
          </w:p>
        </w:tc>
        <w:tc>
          <w:tcPr>
            <w:tcW w:w="5" w:type="pct"/>
            <w:shd w:val="clear" w:color="auto" w:fill="auto"/>
            <w:vAlign w:val="bottom"/>
          </w:tcPr>
          <w:p w14:paraId="54066DA2" w14:textId="77777777" w:rsidR="00611BDD" w:rsidRDefault="00611BDD">
            <w:pPr>
              <w:rPr>
                <w:rFonts w:ascii="宋体"/>
              </w:rPr>
            </w:pPr>
          </w:p>
        </w:tc>
      </w:tr>
      <w:tr w:rsidR="00611BDD" w14:paraId="54066DA7" w14:textId="77777777">
        <w:tc>
          <w:tcPr>
            <w:tcW w:w="0" w:type="auto"/>
            <w:gridSpan w:val="6"/>
            <w:shd w:val="clear" w:color="auto" w:fill="auto"/>
            <w:tcMar>
              <w:top w:w="0" w:type="dxa"/>
              <w:left w:w="20" w:type="dxa"/>
              <w:bottom w:w="0" w:type="dxa"/>
              <w:right w:w="20" w:type="dxa"/>
            </w:tcMar>
            <w:vAlign w:val="bottom"/>
          </w:tcPr>
          <w:p w14:paraId="54066DA4"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DA5" w14:textId="77777777" w:rsidR="00611BDD" w:rsidRDefault="00611BDD">
            <w:pPr>
              <w:rPr>
                <w:rFonts w:ascii="宋体"/>
              </w:rPr>
            </w:pPr>
          </w:p>
        </w:tc>
        <w:tc>
          <w:tcPr>
            <w:tcW w:w="0" w:type="auto"/>
            <w:gridSpan w:val="9"/>
            <w:shd w:val="clear" w:color="auto" w:fill="auto"/>
            <w:tcMar>
              <w:top w:w="40" w:type="dxa"/>
              <w:left w:w="20" w:type="dxa"/>
              <w:bottom w:w="40" w:type="dxa"/>
              <w:right w:w="20" w:type="dxa"/>
            </w:tcMar>
            <w:vAlign w:val="bottom"/>
          </w:tcPr>
          <w:p w14:paraId="54066DA6" w14:textId="77777777" w:rsidR="00611BDD" w:rsidRDefault="002E18C7">
            <w:pPr>
              <w:jc w:val="center"/>
              <w:textAlignment w:val="bottom"/>
            </w:pPr>
            <w:r>
              <w:rPr>
                <w:rFonts w:ascii="sans-serif" w:eastAsia="sans-serif" w:hAnsi="sans-serif" w:cs="sans-serif"/>
                <w:b/>
                <w:bCs/>
                <w:color w:val="000000"/>
                <w:sz w:val="20"/>
                <w:szCs w:val="20"/>
              </w:rPr>
              <w:t>Fair Value at</w:t>
            </w:r>
          </w:p>
        </w:tc>
      </w:tr>
      <w:tr w:rsidR="00611BDD" w14:paraId="54066DAE" w14:textId="77777777">
        <w:tc>
          <w:tcPr>
            <w:tcW w:w="0" w:type="auto"/>
            <w:gridSpan w:val="3"/>
            <w:shd w:val="clear" w:color="auto" w:fill="auto"/>
            <w:tcMar>
              <w:top w:w="0" w:type="dxa"/>
              <w:left w:w="20" w:type="dxa"/>
              <w:bottom w:w="0" w:type="dxa"/>
              <w:right w:w="20" w:type="dxa"/>
            </w:tcMar>
            <w:vAlign w:val="bottom"/>
          </w:tcPr>
          <w:p w14:paraId="54066DA8"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6DA9" w14:textId="77777777" w:rsidR="00611BDD" w:rsidRDefault="002E18C7">
            <w:pPr>
              <w:jc w:val="center"/>
              <w:textAlignment w:val="bottom"/>
            </w:pPr>
            <w:r>
              <w:rPr>
                <w:rFonts w:ascii="sans-serif" w:eastAsia="sans-serif" w:hAnsi="sans-serif" w:cs="sans-serif"/>
                <w:b/>
                <w:bCs/>
                <w:color w:val="000000"/>
                <w:sz w:val="20"/>
                <w:szCs w:val="20"/>
              </w:rPr>
              <w:t>Pricing Category</w:t>
            </w:r>
          </w:p>
        </w:tc>
        <w:tc>
          <w:tcPr>
            <w:tcW w:w="0" w:type="auto"/>
            <w:gridSpan w:val="3"/>
            <w:shd w:val="clear" w:color="auto" w:fill="auto"/>
            <w:tcMar>
              <w:top w:w="0" w:type="dxa"/>
              <w:left w:w="20" w:type="dxa"/>
              <w:bottom w:w="0" w:type="dxa"/>
              <w:right w:w="20" w:type="dxa"/>
            </w:tcMar>
            <w:vAlign w:val="bottom"/>
          </w:tcPr>
          <w:p w14:paraId="54066DAA"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DAB" w14:textId="77777777" w:rsidR="00611BDD" w:rsidRDefault="002E18C7">
            <w:pPr>
              <w:jc w:val="center"/>
              <w:textAlignment w:val="bottom"/>
            </w:pPr>
            <w:r>
              <w:rPr>
                <w:rFonts w:ascii="sans-serif" w:eastAsia="sans-serif" w:hAnsi="sans-serif" w:cs="sans-serif"/>
                <w:b/>
                <w:bCs/>
                <w:color w:val="000000"/>
                <w:sz w:val="20"/>
                <w:szCs w:val="20"/>
              </w:rPr>
              <w:t>August 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DAC"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DAD" w14:textId="77777777" w:rsidR="00611BDD" w:rsidRDefault="002E18C7">
            <w:pPr>
              <w:jc w:val="center"/>
              <w:textAlignment w:val="bottom"/>
            </w:pPr>
            <w:r>
              <w:rPr>
                <w:rFonts w:ascii="sans-serif" w:eastAsia="sans-serif" w:hAnsi="sans-serif" w:cs="sans-serif"/>
                <w:b/>
                <w:bCs/>
                <w:color w:val="000000"/>
                <w:sz w:val="20"/>
                <w:szCs w:val="20"/>
              </w:rPr>
              <w:t>January 31, 2021</w:t>
            </w:r>
          </w:p>
        </w:tc>
      </w:tr>
      <w:tr w:rsidR="00611BDD" w14:paraId="54066DB5" w14:textId="77777777">
        <w:trPr>
          <w:trHeight w:val="60"/>
        </w:trPr>
        <w:tc>
          <w:tcPr>
            <w:tcW w:w="0" w:type="auto"/>
            <w:gridSpan w:val="3"/>
            <w:shd w:val="clear" w:color="auto" w:fill="auto"/>
            <w:tcMar>
              <w:top w:w="0" w:type="dxa"/>
              <w:left w:w="20" w:type="dxa"/>
              <w:bottom w:w="0" w:type="dxa"/>
              <w:right w:w="20" w:type="dxa"/>
            </w:tcMar>
            <w:vAlign w:val="bottom"/>
          </w:tcPr>
          <w:p w14:paraId="54066DAF"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DB0"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DB1"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DB2"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DB3"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DB4" w14:textId="77777777" w:rsidR="00611BDD" w:rsidRDefault="00611BDD">
            <w:pPr>
              <w:rPr>
                <w:rFonts w:ascii="宋体"/>
              </w:rPr>
            </w:pPr>
          </w:p>
        </w:tc>
      </w:tr>
      <w:tr w:rsidR="00611BDD" w14:paraId="54066DBA" w14:textId="77777777">
        <w:tc>
          <w:tcPr>
            <w:tcW w:w="0" w:type="auto"/>
            <w:gridSpan w:val="3"/>
            <w:shd w:val="clear" w:color="auto" w:fill="auto"/>
            <w:tcMar>
              <w:top w:w="0" w:type="dxa"/>
              <w:left w:w="20" w:type="dxa"/>
              <w:bottom w:w="0" w:type="dxa"/>
              <w:right w:w="20" w:type="dxa"/>
            </w:tcMar>
            <w:vAlign w:val="bottom"/>
          </w:tcPr>
          <w:p w14:paraId="54066DB6"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DB7"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DB8" w14:textId="77777777" w:rsidR="00611BDD" w:rsidRDefault="00611BDD">
            <w:pPr>
              <w:rPr>
                <w:rFonts w:ascii="宋体"/>
              </w:rPr>
            </w:pPr>
          </w:p>
        </w:tc>
        <w:tc>
          <w:tcPr>
            <w:tcW w:w="0" w:type="auto"/>
            <w:gridSpan w:val="9"/>
            <w:shd w:val="clear" w:color="auto" w:fill="auto"/>
            <w:tcMar>
              <w:top w:w="40" w:type="dxa"/>
              <w:left w:w="20" w:type="dxa"/>
              <w:bottom w:w="40" w:type="dxa"/>
              <w:right w:w="20" w:type="dxa"/>
            </w:tcMar>
            <w:vAlign w:val="bottom"/>
          </w:tcPr>
          <w:p w14:paraId="54066DB9" w14:textId="77777777" w:rsidR="00611BDD" w:rsidRDefault="002E18C7">
            <w:pPr>
              <w:jc w:val="center"/>
              <w:textAlignment w:val="bottom"/>
            </w:pPr>
            <w:r>
              <w:rPr>
                <w:rFonts w:ascii="sans-serif" w:eastAsia="sans-serif" w:hAnsi="sans-serif" w:cs="sans-serif"/>
                <w:i/>
                <w:iCs/>
                <w:color w:val="000000"/>
                <w:sz w:val="20"/>
                <w:szCs w:val="20"/>
              </w:rPr>
              <w:t>(In millions)</w:t>
            </w:r>
          </w:p>
        </w:tc>
      </w:tr>
      <w:tr w:rsidR="00611BDD" w14:paraId="54066DC1" w14:textId="77777777">
        <w:tc>
          <w:tcPr>
            <w:tcW w:w="0" w:type="auto"/>
            <w:gridSpan w:val="3"/>
            <w:shd w:val="clear" w:color="auto" w:fill="FFFFFF"/>
            <w:tcMar>
              <w:top w:w="40" w:type="dxa"/>
              <w:left w:w="20" w:type="dxa"/>
              <w:bottom w:w="40" w:type="dxa"/>
              <w:right w:w="20" w:type="dxa"/>
            </w:tcMar>
            <w:vAlign w:val="bottom"/>
          </w:tcPr>
          <w:p w14:paraId="54066DBB" w14:textId="77777777" w:rsidR="00611BDD" w:rsidRDefault="002E18C7">
            <w:pPr>
              <w:textAlignment w:val="bottom"/>
            </w:pPr>
            <w:r>
              <w:rPr>
                <w:rFonts w:ascii="sans-serif" w:eastAsia="sans-serif" w:hAnsi="sans-serif" w:cs="sans-serif"/>
                <w:b/>
                <w:bCs/>
                <w:color w:val="000000"/>
                <w:sz w:val="20"/>
                <w:szCs w:val="20"/>
              </w:rPr>
              <w:t>Assets</w:t>
            </w:r>
          </w:p>
        </w:tc>
        <w:tc>
          <w:tcPr>
            <w:tcW w:w="0" w:type="auto"/>
            <w:gridSpan w:val="3"/>
            <w:shd w:val="clear" w:color="auto" w:fill="FFFFFF"/>
            <w:tcMar>
              <w:top w:w="0" w:type="dxa"/>
              <w:left w:w="20" w:type="dxa"/>
              <w:bottom w:w="0" w:type="dxa"/>
              <w:right w:w="20" w:type="dxa"/>
            </w:tcMar>
            <w:vAlign w:val="bottom"/>
          </w:tcPr>
          <w:p w14:paraId="54066DBC"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DBD"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DBE"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DBF"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DC0" w14:textId="77777777" w:rsidR="00611BDD" w:rsidRDefault="00611BDD">
            <w:pPr>
              <w:rPr>
                <w:rFonts w:ascii="宋体"/>
              </w:rPr>
            </w:pPr>
          </w:p>
        </w:tc>
      </w:tr>
      <w:tr w:rsidR="00611BDD" w14:paraId="54066DC8" w14:textId="77777777">
        <w:tc>
          <w:tcPr>
            <w:tcW w:w="0" w:type="auto"/>
            <w:gridSpan w:val="3"/>
            <w:shd w:val="clear" w:color="auto" w:fill="E2EFD9"/>
            <w:tcMar>
              <w:top w:w="40" w:type="dxa"/>
              <w:left w:w="20" w:type="dxa"/>
              <w:bottom w:w="40" w:type="dxa"/>
              <w:right w:w="20" w:type="dxa"/>
            </w:tcMar>
            <w:vAlign w:val="bottom"/>
          </w:tcPr>
          <w:p w14:paraId="54066DC2" w14:textId="77777777" w:rsidR="00611BDD" w:rsidRDefault="002E18C7">
            <w:pPr>
              <w:textAlignment w:val="bottom"/>
            </w:pPr>
            <w:r>
              <w:rPr>
                <w:rFonts w:ascii="sans-serif" w:eastAsia="sans-serif" w:hAnsi="sans-serif" w:cs="sans-serif"/>
                <w:color w:val="000000"/>
                <w:sz w:val="20"/>
                <w:szCs w:val="20"/>
              </w:rPr>
              <w:t>Cash equivalents and marketable securities:</w:t>
            </w:r>
          </w:p>
        </w:tc>
        <w:tc>
          <w:tcPr>
            <w:tcW w:w="0" w:type="auto"/>
            <w:gridSpan w:val="3"/>
            <w:shd w:val="clear" w:color="auto" w:fill="E2EFD9"/>
            <w:tcMar>
              <w:top w:w="0" w:type="dxa"/>
              <w:left w:w="20" w:type="dxa"/>
              <w:bottom w:w="0" w:type="dxa"/>
              <w:right w:w="20" w:type="dxa"/>
            </w:tcMar>
            <w:vAlign w:val="bottom"/>
          </w:tcPr>
          <w:p w14:paraId="54066DC3"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DC4"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DC5"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DC6"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DC7" w14:textId="77777777" w:rsidR="00611BDD" w:rsidRDefault="00611BDD">
            <w:pPr>
              <w:rPr>
                <w:rFonts w:ascii="宋体"/>
              </w:rPr>
            </w:pPr>
          </w:p>
        </w:tc>
      </w:tr>
      <w:tr w:rsidR="00611BDD" w14:paraId="54066DD3" w14:textId="77777777">
        <w:tc>
          <w:tcPr>
            <w:tcW w:w="0" w:type="auto"/>
            <w:gridSpan w:val="3"/>
            <w:shd w:val="clear" w:color="auto" w:fill="FFFFFF"/>
            <w:tcMar>
              <w:top w:w="40" w:type="dxa"/>
              <w:left w:w="200" w:type="dxa"/>
              <w:bottom w:w="40" w:type="dxa"/>
              <w:right w:w="20" w:type="dxa"/>
            </w:tcMar>
            <w:vAlign w:val="bottom"/>
          </w:tcPr>
          <w:p w14:paraId="54066DC9" w14:textId="77777777" w:rsidR="00611BDD" w:rsidRDefault="002E18C7">
            <w:pPr>
              <w:textAlignment w:val="bottom"/>
            </w:pPr>
            <w:r>
              <w:rPr>
                <w:rFonts w:ascii="sans-serif" w:eastAsia="sans-serif" w:hAnsi="sans-serif" w:cs="sans-serif"/>
                <w:color w:val="000000"/>
                <w:sz w:val="20"/>
                <w:szCs w:val="20"/>
              </w:rPr>
              <w:t>Money market funds</w:t>
            </w:r>
          </w:p>
        </w:tc>
        <w:tc>
          <w:tcPr>
            <w:tcW w:w="0" w:type="auto"/>
            <w:gridSpan w:val="3"/>
            <w:shd w:val="clear" w:color="auto" w:fill="FFFFFF"/>
            <w:tcMar>
              <w:top w:w="40" w:type="dxa"/>
              <w:left w:w="20" w:type="dxa"/>
              <w:bottom w:w="40" w:type="dxa"/>
              <w:right w:w="20" w:type="dxa"/>
            </w:tcMar>
            <w:vAlign w:val="bottom"/>
          </w:tcPr>
          <w:p w14:paraId="54066DCA" w14:textId="77777777" w:rsidR="00611BDD" w:rsidRDefault="002E18C7">
            <w:pPr>
              <w:jc w:val="center"/>
              <w:textAlignment w:val="bottom"/>
            </w:pPr>
            <w:r>
              <w:rPr>
                <w:rFonts w:ascii="sans-serif" w:eastAsia="sans-serif" w:hAnsi="sans-serif" w:cs="sans-serif"/>
                <w:color w:val="000000"/>
                <w:sz w:val="20"/>
                <w:szCs w:val="20"/>
              </w:rPr>
              <w:t>Level 1</w:t>
            </w:r>
          </w:p>
        </w:tc>
        <w:tc>
          <w:tcPr>
            <w:tcW w:w="0" w:type="auto"/>
            <w:gridSpan w:val="3"/>
            <w:shd w:val="clear" w:color="auto" w:fill="FFFFFF"/>
            <w:tcMar>
              <w:top w:w="0" w:type="dxa"/>
              <w:left w:w="20" w:type="dxa"/>
              <w:bottom w:w="0" w:type="dxa"/>
              <w:right w:w="20" w:type="dxa"/>
            </w:tcMar>
            <w:vAlign w:val="bottom"/>
          </w:tcPr>
          <w:p w14:paraId="54066DCB"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DCC"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DCD" w14:textId="77777777" w:rsidR="00611BDD" w:rsidRDefault="002E18C7">
            <w:pPr>
              <w:jc w:val="right"/>
              <w:textAlignment w:val="bottom"/>
            </w:pPr>
            <w:r>
              <w:rPr>
                <w:rFonts w:ascii="sans-serif" w:eastAsia="sans-serif" w:hAnsi="sans-serif" w:cs="sans-serif"/>
                <w:color w:val="000000"/>
                <w:sz w:val="20"/>
                <w:szCs w:val="20"/>
              </w:rPr>
              <w:t>2,097 </w:t>
            </w:r>
          </w:p>
        </w:tc>
        <w:tc>
          <w:tcPr>
            <w:tcW w:w="0" w:type="auto"/>
            <w:shd w:val="clear" w:color="auto" w:fill="FFFFFF"/>
            <w:tcMar>
              <w:top w:w="40" w:type="dxa"/>
              <w:left w:w="0" w:type="dxa"/>
              <w:bottom w:w="40" w:type="dxa"/>
              <w:right w:w="20" w:type="dxa"/>
            </w:tcMar>
            <w:vAlign w:val="bottom"/>
          </w:tcPr>
          <w:p w14:paraId="54066DCE"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DCF"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DD0"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DD1" w14:textId="77777777" w:rsidR="00611BDD" w:rsidRDefault="002E18C7">
            <w:pPr>
              <w:jc w:val="right"/>
              <w:textAlignment w:val="bottom"/>
            </w:pPr>
            <w:r>
              <w:rPr>
                <w:rFonts w:ascii="sans-serif" w:eastAsia="sans-serif" w:hAnsi="sans-serif" w:cs="sans-serif"/>
                <w:color w:val="000000"/>
                <w:sz w:val="20"/>
                <w:szCs w:val="20"/>
              </w:rPr>
              <w:t>313 </w:t>
            </w:r>
          </w:p>
        </w:tc>
        <w:tc>
          <w:tcPr>
            <w:tcW w:w="0" w:type="auto"/>
            <w:shd w:val="clear" w:color="auto" w:fill="FFFFFF"/>
            <w:tcMar>
              <w:top w:w="40" w:type="dxa"/>
              <w:left w:w="0" w:type="dxa"/>
              <w:bottom w:w="40" w:type="dxa"/>
              <w:right w:w="20" w:type="dxa"/>
            </w:tcMar>
            <w:vAlign w:val="bottom"/>
          </w:tcPr>
          <w:p w14:paraId="54066DD2" w14:textId="77777777" w:rsidR="00611BDD" w:rsidRDefault="00611BDD">
            <w:pPr>
              <w:jc w:val="right"/>
              <w:rPr>
                <w:rFonts w:ascii="宋体"/>
              </w:rPr>
            </w:pPr>
          </w:p>
        </w:tc>
      </w:tr>
      <w:tr w:rsidR="00611BDD" w14:paraId="54066DDE" w14:textId="77777777">
        <w:tc>
          <w:tcPr>
            <w:tcW w:w="0" w:type="auto"/>
            <w:gridSpan w:val="3"/>
            <w:shd w:val="clear" w:color="auto" w:fill="E2EFD9"/>
            <w:tcMar>
              <w:top w:w="40" w:type="dxa"/>
              <w:left w:w="200" w:type="dxa"/>
              <w:bottom w:w="40" w:type="dxa"/>
              <w:right w:w="20" w:type="dxa"/>
            </w:tcMar>
            <w:vAlign w:val="bottom"/>
          </w:tcPr>
          <w:p w14:paraId="54066DD4" w14:textId="77777777" w:rsidR="00611BDD" w:rsidRDefault="002E18C7">
            <w:pPr>
              <w:textAlignment w:val="bottom"/>
            </w:pPr>
            <w:r>
              <w:rPr>
                <w:rFonts w:ascii="sans-serif" w:eastAsia="sans-serif" w:hAnsi="sans-serif" w:cs="sans-serif"/>
                <w:color w:val="000000"/>
                <w:sz w:val="20"/>
                <w:szCs w:val="20"/>
              </w:rPr>
              <w:t>Corporate debt securities</w:t>
            </w:r>
          </w:p>
        </w:tc>
        <w:tc>
          <w:tcPr>
            <w:tcW w:w="0" w:type="auto"/>
            <w:gridSpan w:val="3"/>
            <w:shd w:val="clear" w:color="auto" w:fill="E2EFD9"/>
            <w:tcMar>
              <w:top w:w="40" w:type="dxa"/>
              <w:left w:w="20" w:type="dxa"/>
              <w:bottom w:w="40" w:type="dxa"/>
              <w:right w:w="20" w:type="dxa"/>
            </w:tcMar>
            <w:vAlign w:val="bottom"/>
          </w:tcPr>
          <w:p w14:paraId="54066DD5" w14:textId="77777777" w:rsidR="00611BDD" w:rsidRDefault="002E18C7">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54066DD6"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DD7"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DD8" w14:textId="77777777" w:rsidR="00611BDD" w:rsidRDefault="002E18C7">
            <w:pPr>
              <w:jc w:val="right"/>
              <w:textAlignment w:val="bottom"/>
            </w:pPr>
            <w:r>
              <w:rPr>
                <w:rFonts w:ascii="sans-serif" w:eastAsia="sans-serif" w:hAnsi="sans-serif" w:cs="sans-serif"/>
                <w:color w:val="000000"/>
                <w:sz w:val="20"/>
                <w:szCs w:val="20"/>
              </w:rPr>
              <w:t>8,611 </w:t>
            </w:r>
          </w:p>
        </w:tc>
        <w:tc>
          <w:tcPr>
            <w:tcW w:w="0" w:type="auto"/>
            <w:shd w:val="clear" w:color="auto" w:fill="E2EFD9"/>
            <w:tcMar>
              <w:top w:w="40" w:type="dxa"/>
              <w:left w:w="0" w:type="dxa"/>
              <w:bottom w:w="40" w:type="dxa"/>
              <w:right w:w="20" w:type="dxa"/>
            </w:tcMar>
            <w:vAlign w:val="bottom"/>
          </w:tcPr>
          <w:p w14:paraId="54066DD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DDA"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DDB"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DDC" w14:textId="77777777" w:rsidR="00611BDD" w:rsidRDefault="002E18C7">
            <w:pPr>
              <w:jc w:val="right"/>
              <w:textAlignment w:val="bottom"/>
            </w:pPr>
            <w:r>
              <w:rPr>
                <w:rFonts w:ascii="sans-serif" w:eastAsia="sans-serif" w:hAnsi="sans-serif" w:cs="sans-serif"/>
                <w:color w:val="000000"/>
                <w:sz w:val="20"/>
                <w:szCs w:val="20"/>
              </w:rPr>
              <w:t>4,444 </w:t>
            </w:r>
          </w:p>
        </w:tc>
        <w:tc>
          <w:tcPr>
            <w:tcW w:w="0" w:type="auto"/>
            <w:shd w:val="clear" w:color="auto" w:fill="E2EFD9"/>
            <w:tcMar>
              <w:top w:w="40" w:type="dxa"/>
              <w:left w:w="0" w:type="dxa"/>
              <w:bottom w:w="40" w:type="dxa"/>
              <w:right w:w="20" w:type="dxa"/>
            </w:tcMar>
            <w:vAlign w:val="bottom"/>
          </w:tcPr>
          <w:p w14:paraId="54066DDD" w14:textId="77777777" w:rsidR="00611BDD" w:rsidRDefault="00611BDD">
            <w:pPr>
              <w:jc w:val="right"/>
              <w:rPr>
                <w:rFonts w:ascii="宋体"/>
              </w:rPr>
            </w:pPr>
          </w:p>
        </w:tc>
      </w:tr>
      <w:tr w:rsidR="00611BDD" w14:paraId="54066DE9" w14:textId="77777777">
        <w:tc>
          <w:tcPr>
            <w:tcW w:w="0" w:type="auto"/>
            <w:gridSpan w:val="3"/>
            <w:shd w:val="clear" w:color="auto" w:fill="FFFFFF"/>
            <w:tcMar>
              <w:top w:w="40" w:type="dxa"/>
              <w:left w:w="200" w:type="dxa"/>
              <w:bottom w:w="40" w:type="dxa"/>
              <w:right w:w="20" w:type="dxa"/>
            </w:tcMar>
            <w:vAlign w:val="bottom"/>
          </w:tcPr>
          <w:p w14:paraId="54066DDF" w14:textId="77777777" w:rsidR="00611BDD" w:rsidRDefault="002E18C7">
            <w:pPr>
              <w:textAlignment w:val="bottom"/>
            </w:pPr>
            <w:r>
              <w:rPr>
                <w:rFonts w:ascii="sans-serif" w:eastAsia="sans-serif" w:hAnsi="sans-serif" w:cs="sans-serif"/>
                <w:color w:val="000000"/>
                <w:sz w:val="20"/>
                <w:szCs w:val="20"/>
              </w:rPr>
              <w:t>Debt securities issued by the United States Treasury</w:t>
            </w:r>
          </w:p>
        </w:tc>
        <w:tc>
          <w:tcPr>
            <w:tcW w:w="0" w:type="auto"/>
            <w:gridSpan w:val="3"/>
            <w:shd w:val="clear" w:color="auto" w:fill="FFFFFF"/>
            <w:tcMar>
              <w:top w:w="40" w:type="dxa"/>
              <w:left w:w="20" w:type="dxa"/>
              <w:bottom w:w="40" w:type="dxa"/>
              <w:right w:w="20" w:type="dxa"/>
            </w:tcMar>
            <w:vAlign w:val="bottom"/>
          </w:tcPr>
          <w:p w14:paraId="54066DE0" w14:textId="77777777" w:rsidR="00611BDD" w:rsidRDefault="002E18C7">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54066DE1"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DE2"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DE3" w14:textId="77777777" w:rsidR="00611BDD" w:rsidRDefault="002E18C7">
            <w:pPr>
              <w:jc w:val="right"/>
              <w:textAlignment w:val="bottom"/>
            </w:pPr>
            <w:r>
              <w:rPr>
                <w:rFonts w:ascii="sans-serif" w:eastAsia="sans-serif" w:hAnsi="sans-serif" w:cs="sans-serif"/>
                <w:color w:val="000000"/>
                <w:sz w:val="20"/>
                <w:szCs w:val="20"/>
              </w:rPr>
              <w:t>5,080 </w:t>
            </w:r>
          </w:p>
        </w:tc>
        <w:tc>
          <w:tcPr>
            <w:tcW w:w="0" w:type="auto"/>
            <w:shd w:val="clear" w:color="auto" w:fill="FFFFFF"/>
            <w:tcMar>
              <w:top w:w="40" w:type="dxa"/>
              <w:left w:w="0" w:type="dxa"/>
              <w:bottom w:w="40" w:type="dxa"/>
              <w:right w:w="20" w:type="dxa"/>
            </w:tcMar>
            <w:vAlign w:val="bottom"/>
          </w:tcPr>
          <w:p w14:paraId="54066DE4"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DE5"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DE6"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DE7" w14:textId="77777777" w:rsidR="00611BDD" w:rsidRDefault="002E18C7">
            <w:pPr>
              <w:jc w:val="right"/>
              <w:textAlignment w:val="bottom"/>
            </w:pPr>
            <w:r>
              <w:rPr>
                <w:rFonts w:ascii="sans-serif" w:eastAsia="sans-serif" w:hAnsi="sans-serif" w:cs="sans-serif"/>
                <w:color w:val="000000"/>
                <w:sz w:val="20"/>
                <w:szCs w:val="20"/>
              </w:rPr>
              <w:t>2,846 </w:t>
            </w:r>
          </w:p>
        </w:tc>
        <w:tc>
          <w:tcPr>
            <w:tcW w:w="0" w:type="auto"/>
            <w:shd w:val="clear" w:color="auto" w:fill="FFFFFF"/>
            <w:tcMar>
              <w:top w:w="40" w:type="dxa"/>
              <w:left w:w="0" w:type="dxa"/>
              <w:bottom w:w="40" w:type="dxa"/>
              <w:right w:w="20" w:type="dxa"/>
            </w:tcMar>
            <w:vAlign w:val="bottom"/>
          </w:tcPr>
          <w:p w14:paraId="54066DE8" w14:textId="77777777" w:rsidR="00611BDD" w:rsidRDefault="00611BDD">
            <w:pPr>
              <w:jc w:val="right"/>
              <w:rPr>
                <w:rFonts w:ascii="宋体"/>
              </w:rPr>
            </w:pPr>
          </w:p>
        </w:tc>
      </w:tr>
      <w:tr w:rsidR="00611BDD" w14:paraId="54066DF4" w14:textId="77777777">
        <w:tc>
          <w:tcPr>
            <w:tcW w:w="0" w:type="auto"/>
            <w:gridSpan w:val="3"/>
            <w:shd w:val="clear" w:color="auto" w:fill="E2EFD9"/>
            <w:tcMar>
              <w:top w:w="40" w:type="dxa"/>
              <w:left w:w="200" w:type="dxa"/>
              <w:bottom w:w="40" w:type="dxa"/>
              <w:right w:w="20" w:type="dxa"/>
            </w:tcMar>
            <w:vAlign w:val="bottom"/>
          </w:tcPr>
          <w:p w14:paraId="54066DEA" w14:textId="77777777" w:rsidR="00611BDD" w:rsidRDefault="002E18C7">
            <w:pPr>
              <w:textAlignment w:val="bottom"/>
            </w:pPr>
            <w:r>
              <w:rPr>
                <w:rFonts w:ascii="sans-serif" w:eastAsia="sans-serif" w:hAnsi="sans-serif" w:cs="sans-serif"/>
                <w:color w:val="000000"/>
                <w:sz w:val="20"/>
                <w:szCs w:val="20"/>
              </w:rPr>
              <w:t>Debt securities issued by United States government agencies</w:t>
            </w:r>
          </w:p>
        </w:tc>
        <w:tc>
          <w:tcPr>
            <w:tcW w:w="0" w:type="auto"/>
            <w:gridSpan w:val="3"/>
            <w:shd w:val="clear" w:color="auto" w:fill="E2EFD9"/>
            <w:tcMar>
              <w:top w:w="40" w:type="dxa"/>
              <w:left w:w="20" w:type="dxa"/>
              <w:bottom w:w="40" w:type="dxa"/>
              <w:right w:w="20" w:type="dxa"/>
            </w:tcMar>
            <w:vAlign w:val="bottom"/>
          </w:tcPr>
          <w:p w14:paraId="54066DEB" w14:textId="77777777" w:rsidR="00611BDD" w:rsidRDefault="002E18C7">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54066DEC"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DED"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DEE" w14:textId="77777777" w:rsidR="00611BDD" w:rsidRDefault="002E18C7">
            <w:pPr>
              <w:jc w:val="right"/>
              <w:textAlignment w:val="bottom"/>
            </w:pPr>
            <w:r>
              <w:rPr>
                <w:rFonts w:ascii="sans-serif" w:eastAsia="sans-serif" w:hAnsi="sans-serif" w:cs="sans-serif"/>
                <w:color w:val="000000"/>
                <w:sz w:val="20"/>
                <w:szCs w:val="20"/>
              </w:rPr>
              <w:t>2,372 </w:t>
            </w:r>
          </w:p>
        </w:tc>
        <w:tc>
          <w:tcPr>
            <w:tcW w:w="0" w:type="auto"/>
            <w:shd w:val="clear" w:color="auto" w:fill="E2EFD9"/>
            <w:tcMar>
              <w:top w:w="40" w:type="dxa"/>
              <w:left w:w="0" w:type="dxa"/>
              <w:bottom w:w="40" w:type="dxa"/>
              <w:right w:w="20" w:type="dxa"/>
            </w:tcMar>
            <w:vAlign w:val="bottom"/>
          </w:tcPr>
          <w:p w14:paraId="54066DEF"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DF0"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DF1"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DF2" w14:textId="77777777" w:rsidR="00611BDD" w:rsidRDefault="002E18C7">
            <w:pPr>
              <w:jc w:val="right"/>
              <w:textAlignment w:val="bottom"/>
            </w:pPr>
            <w:r>
              <w:rPr>
                <w:rFonts w:ascii="sans-serif" w:eastAsia="sans-serif" w:hAnsi="sans-serif" w:cs="sans-serif"/>
                <w:color w:val="000000"/>
                <w:sz w:val="20"/>
                <w:szCs w:val="20"/>
              </w:rPr>
              <w:t>2,976 </w:t>
            </w:r>
          </w:p>
        </w:tc>
        <w:tc>
          <w:tcPr>
            <w:tcW w:w="0" w:type="auto"/>
            <w:shd w:val="clear" w:color="auto" w:fill="E2EFD9"/>
            <w:tcMar>
              <w:top w:w="40" w:type="dxa"/>
              <w:left w:w="0" w:type="dxa"/>
              <w:bottom w:w="40" w:type="dxa"/>
              <w:right w:w="20" w:type="dxa"/>
            </w:tcMar>
            <w:vAlign w:val="bottom"/>
          </w:tcPr>
          <w:p w14:paraId="54066DF3" w14:textId="77777777" w:rsidR="00611BDD" w:rsidRDefault="00611BDD">
            <w:pPr>
              <w:jc w:val="right"/>
              <w:rPr>
                <w:rFonts w:ascii="宋体"/>
              </w:rPr>
            </w:pPr>
          </w:p>
        </w:tc>
      </w:tr>
      <w:tr w:rsidR="00611BDD" w14:paraId="54066DFF" w14:textId="77777777">
        <w:tc>
          <w:tcPr>
            <w:tcW w:w="0" w:type="auto"/>
            <w:gridSpan w:val="3"/>
            <w:shd w:val="clear" w:color="auto" w:fill="FFFFFF"/>
            <w:tcMar>
              <w:top w:w="40" w:type="dxa"/>
              <w:left w:w="200" w:type="dxa"/>
              <w:bottom w:w="40" w:type="dxa"/>
              <w:right w:w="20" w:type="dxa"/>
            </w:tcMar>
            <w:vAlign w:val="bottom"/>
          </w:tcPr>
          <w:p w14:paraId="54066DF5" w14:textId="77777777" w:rsidR="00611BDD" w:rsidRDefault="002E18C7">
            <w:pPr>
              <w:textAlignment w:val="bottom"/>
            </w:pPr>
            <w:r>
              <w:rPr>
                <w:rFonts w:ascii="sans-serif" w:eastAsia="sans-serif" w:hAnsi="sans-serif" w:cs="sans-serif"/>
                <w:color w:val="000000"/>
                <w:sz w:val="20"/>
                <w:szCs w:val="20"/>
              </w:rPr>
              <w:t>Certificates of deposit</w:t>
            </w:r>
          </w:p>
        </w:tc>
        <w:tc>
          <w:tcPr>
            <w:tcW w:w="0" w:type="auto"/>
            <w:gridSpan w:val="3"/>
            <w:shd w:val="clear" w:color="auto" w:fill="FFFFFF"/>
            <w:tcMar>
              <w:top w:w="40" w:type="dxa"/>
              <w:left w:w="20" w:type="dxa"/>
              <w:bottom w:w="40" w:type="dxa"/>
              <w:right w:w="20" w:type="dxa"/>
            </w:tcMar>
            <w:vAlign w:val="bottom"/>
          </w:tcPr>
          <w:p w14:paraId="54066DF6" w14:textId="77777777" w:rsidR="00611BDD" w:rsidRDefault="002E18C7">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54066DF7"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DF8"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DF9" w14:textId="77777777" w:rsidR="00611BDD" w:rsidRDefault="002E18C7">
            <w:pPr>
              <w:jc w:val="right"/>
              <w:textAlignment w:val="bottom"/>
            </w:pPr>
            <w:r>
              <w:rPr>
                <w:rFonts w:ascii="sans-serif" w:eastAsia="sans-serif" w:hAnsi="sans-serif" w:cs="sans-serif"/>
                <w:color w:val="000000"/>
                <w:sz w:val="20"/>
                <w:szCs w:val="20"/>
              </w:rPr>
              <w:t>962 </w:t>
            </w:r>
          </w:p>
        </w:tc>
        <w:tc>
          <w:tcPr>
            <w:tcW w:w="0" w:type="auto"/>
            <w:shd w:val="clear" w:color="auto" w:fill="FFFFFF"/>
            <w:tcMar>
              <w:top w:w="40" w:type="dxa"/>
              <w:left w:w="0" w:type="dxa"/>
              <w:bottom w:w="40" w:type="dxa"/>
              <w:right w:w="20" w:type="dxa"/>
            </w:tcMar>
            <w:vAlign w:val="bottom"/>
          </w:tcPr>
          <w:p w14:paraId="54066DFA"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DFB"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DFC"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DFD" w14:textId="77777777" w:rsidR="00611BDD" w:rsidRDefault="002E18C7">
            <w:pPr>
              <w:jc w:val="right"/>
              <w:textAlignment w:val="bottom"/>
            </w:pPr>
            <w:r>
              <w:rPr>
                <w:rFonts w:ascii="sans-serif" w:eastAsia="sans-serif" w:hAnsi="sans-serif" w:cs="sans-serif"/>
                <w:color w:val="000000"/>
                <w:sz w:val="20"/>
                <w:szCs w:val="20"/>
              </w:rPr>
              <w:t>705 </w:t>
            </w:r>
          </w:p>
        </w:tc>
        <w:tc>
          <w:tcPr>
            <w:tcW w:w="0" w:type="auto"/>
            <w:shd w:val="clear" w:color="auto" w:fill="FFFFFF"/>
            <w:tcMar>
              <w:top w:w="40" w:type="dxa"/>
              <w:left w:w="0" w:type="dxa"/>
              <w:bottom w:w="40" w:type="dxa"/>
              <w:right w:w="20" w:type="dxa"/>
            </w:tcMar>
            <w:vAlign w:val="bottom"/>
          </w:tcPr>
          <w:p w14:paraId="54066DFE" w14:textId="77777777" w:rsidR="00611BDD" w:rsidRDefault="00611BDD">
            <w:pPr>
              <w:jc w:val="right"/>
              <w:rPr>
                <w:rFonts w:ascii="宋体"/>
              </w:rPr>
            </w:pPr>
          </w:p>
        </w:tc>
      </w:tr>
      <w:tr w:rsidR="00611BDD" w14:paraId="54066E0A" w14:textId="77777777">
        <w:tc>
          <w:tcPr>
            <w:tcW w:w="0" w:type="auto"/>
            <w:gridSpan w:val="3"/>
            <w:shd w:val="clear" w:color="auto" w:fill="E2EFD9"/>
            <w:tcMar>
              <w:top w:w="40" w:type="dxa"/>
              <w:left w:w="200" w:type="dxa"/>
              <w:bottom w:w="40" w:type="dxa"/>
              <w:right w:w="20" w:type="dxa"/>
            </w:tcMar>
            <w:vAlign w:val="bottom"/>
          </w:tcPr>
          <w:p w14:paraId="54066E00" w14:textId="77777777" w:rsidR="00611BDD" w:rsidRDefault="002E18C7">
            <w:pPr>
              <w:textAlignment w:val="bottom"/>
            </w:pPr>
            <w:r>
              <w:rPr>
                <w:rFonts w:ascii="sans-serif" w:eastAsia="sans-serif" w:hAnsi="sans-serif" w:cs="sans-serif"/>
                <w:color w:val="000000"/>
                <w:sz w:val="20"/>
                <w:szCs w:val="20"/>
              </w:rPr>
              <w:t>Foreign government bonds</w:t>
            </w:r>
          </w:p>
        </w:tc>
        <w:tc>
          <w:tcPr>
            <w:tcW w:w="0" w:type="auto"/>
            <w:gridSpan w:val="3"/>
            <w:shd w:val="clear" w:color="auto" w:fill="E2EFD9"/>
            <w:tcMar>
              <w:top w:w="40" w:type="dxa"/>
              <w:left w:w="20" w:type="dxa"/>
              <w:bottom w:w="40" w:type="dxa"/>
              <w:right w:w="20" w:type="dxa"/>
            </w:tcMar>
            <w:vAlign w:val="bottom"/>
          </w:tcPr>
          <w:p w14:paraId="54066E01" w14:textId="77777777" w:rsidR="00611BDD" w:rsidRDefault="002E18C7">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54066E02"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E03"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E04" w14:textId="77777777" w:rsidR="00611BDD" w:rsidRDefault="002E18C7">
            <w:pPr>
              <w:jc w:val="right"/>
              <w:textAlignment w:val="bottom"/>
            </w:pPr>
            <w:r>
              <w:rPr>
                <w:rFonts w:ascii="sans-serif" w:eastAsia="sans-serif" w:hAnsi="sans-serif" w:cs="sans-serif"/>
                <w:color w:val="000000"/>
                <w:sz w:val="20"/>
                <w:szCs w:val="20"/>
              </w:rPr>
              <w:t>241 </w:t>
            </w:r>
          </w:p>
        </w:tc>
        <w:tc>
          <w:tcPr>
            <w:tcW w:w="0" w:type="auto"/>
            <w:shd w:val="clear" w:color="auto" w:fill="E2EFD9"/>
            <w:tcMar>
              <w:top w:w="40" w:type="dxa"/>
              <w:left w:w="0" w:type="dxa"/>
              <w:bottom w:w="40" w:type="dxa"/>
              <w:right w:w="20" w:type="dxa"/>
            </w:tcMar>
            <w:vAlign w:val="bottom"/>
          </w:tcPr>
          <w:p w14:paraId="54066E05"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E06"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E07"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E08" w14:textId="77777777" w:rsidR="00611BDD" w:rsidRDefault="002E18C7">
            <w:pPr>
              <w:jc w:val="right"/>
              <w:textAlignment w:val="bottom"/>
            </w:pPr>
            <w:r>
              <w:rPr>
                <w:rFonts w:ascii="sans-serif" w:eastAsia="sans-serif" w:hAnsi="sans-serif" w:cs="sans-serif"/>
                <w:color w:val="000000"/>
                <w:sz w:val="20"/>
                <w:szCs w:val="20"/>
              </w:rPr>
              <w:t>67 </w:t>
            </w:r>
          </w:p>
        </w:tc>
        <w:tc>
          <w:tcPr>
            <w:tcW w:w="0" w:type="auto"/>
            <w:shd w:val="clear" w:color="auto" w:fill="E2EFD9"/>
            <w:tcMar>
              <w:top w:w="40" w:type="dxa"/>
              <w:left w:w="0" w:type="dxa"/>
              <w:bottom w:w="40" w:type="dxa"/>
              <w:right w:w="20" w:type="dxa"/>
            </w:tcMar>
            <w:vAlign w:val="bottom"/>
          </w:tcPr>
          <w:p w14:paraId="54066E09" w14:textId="77777777" w:rsidR="00611BDD" w:rsidRDefault="00611BDD">
            <w:pPr>
              <w:jc w:val="right"/>
              <w:rPr>
                <w:rFonts w:ascii="宋体"/>
              </w:rPr>
            </w:pPr>
          </w:p>
        </w:tc>
      </w:tr>
      <w:tr w:rsidR="00611BDD" w14:paraId="54066E11" w14:textId="77777777">
        <w:trPr>
          <w:hidden/>
        </w:trPr>
        <w:tc>
          <w:tcPr>
            <w:tcW w:w="0" w:type="auto"/>
            <w:gridSpan w:val="3"/>
            <w:shd w:val="clear" w:color="auto" w:fill="auto"/>
            <w:vAlign w:val="bottom"/>
          </w:tcPr>
          <w:p w14:paraId="54066E0B" w14:textId="77777777" w:rsidR="00611BDD" w:rsidRDefault="00611BDD">
            <w:pPr>
              <w:rPr>
                <w:rFonts w:ascii="宋体"/>
                <w:vanish/>
              </w:rPr>
            </w:pPr>
          </w:p>
        </w:tc>
        <w:tc>
          <w:tcPr>
            <w:tcW w:w="0" w:type="auto"/>
            <w:gridSpan w:val="3"/>
            <w:shd w:val="clear" w:color="auto" w:fill="auto"/>
            <w:vAlign w:val="bottom"/>
          </w:tcPr>
          <w:p w14:paraId="54066E0C" w14:textId="77777777" w:rsidR="00611BDD" w:rsidRDefault="00611BDD">
            <w:pPr>
              <w:rPr>
                <w:rFonts w:ascii="宋体"/>
                <w:vanish/>
              </w:rPr>
            </w:pPr>
          </w:p>
        </w:tc>
        <w:tc>
          <w:tcPr>
            <w:tcW w:w="0" w:type="auto"/>
            <w:gridSpan w:val="3"/>
            <w:shd w:val="clear" w:color="auto" w:fill="auto"/>
            <w:vAlign w:val="bottom"/>
          </w:tcPr>
          <w:p w14:paraId="54066E0D" w14:textId="77777777" w:rsidR="00611BDD" w:rsidRDefault="00611BDD">
            <w:pPr>
              <w:rPr>
                <w:rFonts w:ascii="宋体"/>
                <w:vanish/>
              </w:rPr>
            </w:pPr>
          </w:p>
        </w:tc>
        <w:tc>
          <w:tcPr>
            <w:tcW w:w="0" w:type="auto"/>
            <w:gridSpan w:val="3"/>
            <w:shd w:val="clear" w:color="auto" w:fill="auto"/>
            <w:vAlign w:val="bottom"/>
          </w:tcPr>
          <w:p w14:paraId="54066E0E" w14:textId="77777777" w:rsidR="00611BDD" w:rsidRDefault="00611BDD">
            <w:pPr>
              <w:rPr>
                <w:rFonts w:ascii="宋体"/>
                <w:vanish/>
              </w:rPr>
            </w:pPr>
          </w:p>
        </w:tc>
        <w:tc>
          <w:tcPr>
            <w:tcW w:w="0" w:type="auto"/>
            <w:gridSpan w:val="3"/>
            <w:shd w:val="clear" w:color="auto" w:fill="auto"/>
            <w:vAlign w:val="bottom"/>
          </w:tcPr>
          <w:p w14:paraId="54066E0F" w14:textId="77777777" w:rsidR="00611BDD" w:rsidRDefault="00611BDD">
            <w:pPr>
              <w:rPr>
                <w:rFonts w:ascii="宋体"/>
                <w:vanish/>
              </w:rPr>
            </w:pPr>
          </w:p>
        </w:tc>
        <w:tc>
          <w:tcPr>
            <w:tcW w:w="0" w:type="auto"/>
            <w:gridSpan w:val="3"/>
            <w:shd w:val="clear" w:color="auto" w:fill="auto"/>
            <w:vAlign w:val="bottom"/>
          </w:tcPr>
          <w:p w14:paraId="54066E10" w14:textId="77777777" w:rsidR="00611BDD" w:rsidRDefault="00611BDD">
            <w:pPr>
              <w:rPr>
                <w:rFonts w:ascii="宋体"/>
                <w:vanish/>
              </w:rPr>
            </w:pPr>
          </w:p>
        </w:tc>
      </w:tr>
      <w:tr w:rsidR="00611BDD" w14:paraId="54066E18" w14:textId="77777777">
        <w:trPr>
          <w:hidden/>
        </w:trPr>
        <w:tc>
          <w:tcPr>
            <w:tcW w:w="0" w:type="auto"/>
            <w:gridSpan w:val="3"/>
            <w:shd w:val="clear" w:color="auto" w:fill="auto"/>
            <w:vAlign w:val="bottom"/>
          </w:tcPr>
          <w:p w14:paraId="54066E12" w14:textId="77777777" w:rsidR="00611BDD" w:rsidRDefault="00611BDD">
            <w:pPr>
              <w:rPr>
                <w:rFonts w:ascii="宋体"/>
                <w:vanish/>
              </w:rPr>
            </w:pPr>
          </w:p>
        </w:tc>
        <w:tc>
          <w:tcPr>
            <w:tcW w:w="0" w:type="auto"/>
            <w:gridSpan w:val="3"/>
            <w:shd w:val="clear" w:color="auto" w:fill="auto"/>
            <w:vAlign w:val="bottom"/>
          </w:tcPr>
          <w:p w14:paraId="54066E13" w14:textId="77777777" w:rsidR="00611BDD" w:rsidRDefault="00611BDD">
            <w:pPr>
              <w:rPr>
                <w:rFonts w:ascii="宋体"/>
                <w:vanish/>
              </w:rPr>
            </w:pPr>
          </w:p>
        </w:tc>
        <w:tc>
          <w:tcPr>
            <w:tcW w:w="0" w:type="auto"/>
            <w:gridSpan w:val="3"/>
            <w:shd w:val="clear" w:color="auto" w:fill="auto"/>
            <w:vAlign w:val="bottom"/>
          </w:tcPr>
          <w:p w14:paraId="54066E14" w14:textId="77777777" w:rsidR="00611BDD" w:rsidRDefault="00611BDD">
            <w:pPr>
              <w:rPr>
                <w:rFonts w:ascii="宋体"/>
                <w:vanish/>
              </w:rPr>
            </w:pPr>
          </w:p>
        </w:tc>
        <w:tc>
          <w:tcPr>
            <w:tcW w:w="0" w:type="auto"/>
            <w:gridSpan w:val="3"/>
            <w:shd w:val="clear" w:color="auto" w:fill="auto"/>
            <w:vAlign w:val="bottom"/>
          </w:tcPr>
          <w:p w14:paraId="54066E15" w14:textId="77777777" w:rsidR="00611BDD" w:rsidRDefault="00611BDD">
            <w:pPr>
              <w:rPr>
                <w:rFonts w:ascii="宋体"/>
                <w:vanish/>
              </w:rPr>
            </w:pPr>
          </w:p>
        </w:tc>
        <w:tc>
          <w:tcPr>
            <w:tcW w:w="0" w:type="auto"/>
            <w:gridSpan w:val="3"/>
            <w:shd w:val="clear" w:color="auto" w:fill="auto"/>
            <w:vAlign w:val="bottom"/>
          </w:tcPr>
          <w:p w14:paraId="54066E16" w14:textId="77777777" w:rsidR="00611BDD" w:rsidRDefault="00611BDD">
            <w:pPr>
              <w:rPr>
                <w:rFonts w:ascii="宋体"/>
                <w:vanish/>
              </w:rPr>
            </w:pPr>
          </w:p>
        </w:tc>
        <w:tc>
          <w:tcPr>
            <w:tcW w:w="0" w:type="auto"/>
            <w:gridSpan w:val="3"/>
            <w:shd w:val="clear" w:color="auto" w:fill="auto"/>
            <w:vAlign w:val="bottom"/>
          </w:tcPr>
          <w:p w14:paraId="54066E17" w14:textId="77777777" w:rsidR="00611BDD" w:rsidRDefault="00611BDD">
            <w:pPr>
              <w:rPr>
                <w:rFonts w:ascii="宋体"/>
                <w:vanish/>
              </w:rPr>
            </w:pPr>
          </w:p>
        </w:tc>
      </w:tr>
      <w:tr w:rsidR="00611BDD" w14:paraId="54066E1F" w14:textId="77777777">
        <w:tc>
          <w:tcPr>
            <w:tcW w:w="0" w:type="auto"/>
            <w:gridSpan w:val="3"/>
            <w:shd w:val="clear" w:color="auto" w:fill="FFFFFF"/>
            <w:tcMar>
              <w:top w:w="40" w:type="dxa"/>
              <w:left w:w="20" w:type="dxa"/>
              <w:bottom w:w="40" w:type="dxa"/>
              <w:right w:w="20" w:type="dxa"/>
            </w:tcMar>
            <w:vAlign w:val="bottom"/>
          </w:tcPr>
          <w:p w14:paraId="54066E19" w14:textId="77777777" w:rsidR="00611BDD" w:rsidRDefault="002E18C7">
            <w:pPr>
              <w:textAlignment w:val="bottom"/>
            </w:pPr>
            <w:r>
              <w:rPr>
                <w:rFonts w:ascii="sans-serif" w:eastAsia="sans-serif" w:hAnsi="sans-serif" w:cs="sans-serif"/>
                <w:color w:val="000000"/>
                <w:sz w:val="20"/>
                <w:szCs w:val="20"/>
              </w:rPr>
              <w:t>Prepaid expenses and other current assets:</w:t>
            </w:r>
          </w:p>
        </w:tc>
        <w:tc>
          <w:tcPr>
            <w:tcW w:w="0" w:type="auto"/>
            <w:gridSpan w:val="3"/>
            <w:shd w:val="clear" w:color="auto" w:fill="FFFFFF"/>
            <w:tcMar>
              <w:top w:w="0" w:type="dxa"/>
              <w:left w:w="20" w:type="dxa"/>
              <w:bottom w:w="0" w:type="dxa"/>
              <w:right w:w="20" w:type="dxa"/>
            </w:tcMar>
            <w:vAlign w:val="bottom"/>
          </w:tcPr>
          <w:p w14:paraId="54066E1A"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E1B"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E1C"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E1D"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E1E" w14:textId="77777777" w:rsidR="00611BDD" w:rsidRDefault="00611BDD">
            <w:pPr>
              <w:rPr>
                <w:rFonts w:ascii="宋体"/>
              </w:rPr>
            </w:pPr>
          </w:p>
        </w:tc>
      </w:tr>
      <w:tr w:rsidR="00611BDD" w14:paraId="54066E2A" w14:textId="77777777">
        <w:tc>
          <w:tcPr>
            <w:tcW w:w="0" w:type="auto"/>
            <w:gridSpan w:val="3"/>
            <w:shd w:val="clear" w:color="auto" w:fill="E2EFD9"/>
            <w:tcMar>
              <w:top w:w="40" w:type="dxa"/>
              <w:left w:w="200" w:type="dxa"/>
              <w:bottom w:w="40" w:type="dxa"/>
              <w:right w:w="20" w:type="dxa"/>
            </w:tcMar>
            <w:vAlign w:val="bottom"/>
          </w:tcPr>
          <w:p w14:paraId="54066E20" w14:textId="77777777" w:rsidR="00611BDD" w:rsidRDefault="002E18C7">
            <w:pPr>
              <w:textAlignment w:val="bottom"/>
            </w:pPr>
            <w:r>
              <w:rPr>
                <w:rFonts w:ascii="sans-serif" w:eastAsia="sans-serif" w:hAnsi="sans-serif" w:cs="sans-serif"/>
                <w:color w:val="000000"/>
                <w:sz w:val="20"/>
                <w:szCs w:val="20"/>
              </w:rPr>
              <w:t>Publicly-held equity security (1)</w:t>
            </w:r>
          </w:p>
        </w:tc>
        <w:tc>
          <w:tcPr>
            <w:tcW w:w="0" w:type="auto"/>
            <w:gridSpan w:val="3"/>
            <w:shd w:val="clear" w:color="auto" w:fill="E2EFD9"/>
            <w:tcMar>
              <w:top w:w="40" w:type="dxa"/>
              <w:left w:w="20" w:type="dxa"/>
              <w:bottom w:w="40" w:type="dxa"/>
              <w:right w:w="20" w:type="dxa"/>
            </w:tcMar>
            <w:vAlign w:val="bottom"/>
          </w:tcPr>
          <w:p w14:paraId="54066E21" w14:textId="77777777" w:rsidR="00611BDD" w:rsidRDefault="002E18C7">
            <w:pPr>
              <w:jc w:val="center"/>
              <w:textAlignment w:val="bottom"/>
            </w:pPr>
            <w:r>
              <w:rPr>
                <w:rFonts w:ascii="sans-serif" w:eastAsia="sans-serif" w:hAnsi="sans-serif" w:cs="sans-serif"/>
                <w:color w:val="000000"/>
                <w:sz w:val="20"/>
                <w:szCs w:val="20"/>
              </w:rPr>
              <w:t>Level 1</w:t>
            </w:r>
          </w:p>
        </w:tc>
        <w:tc>
          <w:tcPr>
            <w:tcW w:w="0" w:type="auto"/>
            <w:gridSpan w:val="3"/>
            <w:shd w:val="clear" w:color="auto" w:fill="E2EFD9"/>
            <w:tcMar>
              <w:top w:w="0" w:type="dxa"/>
              <w:left w:w="20" w:type="dxa"/>
              <w:bottom w:w="0" w:type="dxa"/>
              <w:right w:w="20" w:type="dxa"/>
            </w:tcMar>
            <w:vAlign w:val="bottom"/>
          </w:tcPr>
          <w:p w14:paraId="54066E22"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E23"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E24" w14:textId="77777777" w:rsidR="00611BDD" w:rsidRDefault="002E18C7">
            <w:pPr>
              <w:jc w:val="right"/>
              <w:textAlignment w:val="bottom"/>
            </w:pPr>
            <w:r>
              <w:rPr>
                <w:rFonts w:ascii="sans-serif" w:eastAsia="sans-serif" w:hAnsi="sans-serif" w:cs="sans-serif"/>
                <w:color w:val="000000"/>
                <w:sz w:val="20"/>
                <w:szCs w:val="20"/>
              </w:rPr>
              <w:t>128 </w:t>
            </w:r>
          </w:p>
        </w:tc>
        <w:tc>
          <w:tcPr>
            <w:tcW w:w="0" w:type="auto"/>
            <w:shd w:val="clear" w:color="auto" w:fill="E2EFD9"/>
            <w:tcMar>
              <w:top w:w="40" w:type="dxa"/>
              <w:left w:w="0" w:type="dxa"/>
              <w:bottom w:w="40" w:type="dxa"/>
              <w:right w:w="20" w:type="dxa"/>
            </w:tcMar>
            <w:vAlign w:val="bottom"/>
          </w:tcPr>
          <w:p w14:paraId="54066E25"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E26"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E27"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E28"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4066E29" w14:textId="77777777" w:rsidR="00611BDD" w:rsidRDefault="00611BDD">
            <w:pPr>
              <w:jc w:val="right"/>
              <w:rPr>
                <w:rFonts w:ascii="宋体"/>
              </w:rPr>
            </w:pPr>
          </w:p>
        </w:tc>
      </w:tr>
      <w:tr w:rsidR="00611BDD" w14:paraId="54066E31" w14:textId="77777777">
        <w:tc>
          <w:tcPr>
            <w:tcW w:w="0" w:type="auto"/>
            <w:gridSpan w:val="3"/>
            <w:shd w:val="clear" w:color="auto" w:fill="FFFFFF"/>
            <w:tcMar>
              <w:top w:w="40" w:type="dxa"/>
              <w:left w:w="20" w:type="dxa"/>
              <w:bottom w:w="40" w:type="dxa"/>
              <w:right w:w="20" w:type="dxa"/>
            </w:tcMar>
            <w:vAlign w:val="bottom"/>
          </w:tcPr>
          <w:p w14:paraId="54066E2B" w14:textId="77777777" w:rsidR="00611BDD" w:rsidRDefault="002E18C7">
            <w:pPr>
              <w:textAlignment w:val="bottom"/>
            </w:pPr>
            <w:r>
              <w:rPr>
                <w:rFonts w:ascii="sans-serif" w:eastAsia="sans-serif" w:hAnsi="sans-serif" w:cs="sans-serif"/>
                <w:color w:val="000000"/>
                <w:sz w:val="20"/>
                <w:szCs w:val="20"/>
              </w:rPr>
              <w:t>Other assets:</w:t>
            </w:r>
          </w:p>
        </w:tc>
        <w:tc>
          <w:tcPr>
            <w:tcW w:w="0" w:type="auto"/>
            <w:gridSpan w:val="3"/>
            <w:shd w:val="clear" w:color="auto" w:fill="FFFFFF"/>
            <w:tcMar>
              <w:top w:w="0" w:type="dxa"/>
              <w:left w:w="20" w:type="dxa"/>
              <w:bottom w:w="0" w:type="dxa"/>
              <w:right w:w="20" w:type="dxa"/>
            </w:tcMar>
            <w:vAlign w:val="bottom"/>
          </w:tcPr>
          <w:p w14:paraId="54066E2C"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E2D"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E2E"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E2F"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E30" w14:textId="77777777" w:rsidR="00611BDD" w:rsidRDefault="00611BDD">
            <w:pPr>
              <w:rPr>
                <w:rFonts w:ascii="宋体"/>
              </w:rPr>
            </w:pPr>
          </w:p>
        </w:tc>
      </w:tr>
      <w:tr w:rsidR="00611BDD" w14:paraId="54066E3C" w14:textId="77777777">
        <w:tc>
          <w:tcPr>
            <w:tcW w:w="0" w:type="auto"/>
            <w:gridSpan w:val="3"/>
            <w:shd w:val="clear" w:color="auto" w:fill="E2EFD9"/>
            <w:tcMar>
              <w:top w:w="40" w:type="dxa"/>
              <w:left w:w="200" w:type="dxa"/>
              <w:bottom w:w="40" w:type="dxa"/>
              <w:right w:w="20" w:type="dxa"/>
            </w:tcMar>
            <w:vAlign w:val="bottom"/>
          </w:tcPr>
          <w:p w14:paraId="54066E32" w14:textId="77777777" w:rsidR="00611BDD" w:rsidRDefault="002E18C7">
            <w:pPr>
              <w:textAlignment w:val="bottom"/>
            </w:pPr>
            <w:r>
              <w:rPr>
                <w:rFonts w:ascii="sans-serif" w:eastAsia="sans-serif" w:hAnsi="sans-serif" w:cs="sans-serif"/>
                <w:color w:val="000000"/>
                <w:sz w:val="20"/>
                <w:szCs w:val="20"/>
              </w:rPr>
              <w:t>Investment in non-affiliated entities (2)</w:t>
            </w:r>
          </w:p>
        </w:tc>
        <w:tc>
          <w:tcPr>
            <w:tcW w:w="0" w:type="auto"/>
            <w:gridSpan w:val="3"/>
            <w:shd w:val="clear" w:color="auto" w:fill="E2EFD9"/>
            <w:tcMar>
              <w:top w:w="40" w:type="dxa"/>
              <w:left w:w="20" w:type="dxa"/>
              <w:bottom w:w="40" w:type="dxa"/>
              <w:right w:w="20" w:type="dxa"/>
            </w:tcMar>
            <w:vAlign w:val="bottom"/>
          </w:tcPr>
          <w:p w14:paraId="54066E33" w14:textId="77777777" w:rsidR="00611BDD" w:rsidRDefault="002E18C7">
            <w:pPr>
              <w:jc w:val="center"/>
              <w:textAlignment w:val="bottom"/>
            </w:pPr>
            <w:r>
              <w:rPr>
                <w:rFonts w:ascii="sans-serif" w:eastAsia="sans-serif" w:hAnsi="sans-serif" w:cs="sans-serif"/>
                <w:color w:val="000000"/>
                <w:sz w:val="20"/>
                <w:szCs w:val="20"/>
              </w:rPr>
              <w:t>Level 3</w:t>
            </w:r>
          </w:p>
        </w:tc>
        <w:tc>
          <w:tcPr>
            <w:tcW w:w="0" w:type="auto"/>
            <w:gridSpan w:val="3"/>
            <w:shd w:val="clear" w:color="auto" w:fill="E2EFD9"/>
            <w:tcMar>
              <w:top w:w="0" w:type="dxa"/>
              <w:left w:w="20" w:type="dxa"/>
              <w:bottom w:w="0" w:type="dxa"/>
              <w:right w:w="20" w:type="dxa"/>
            </w:tcMar>
            <w:vAlign w:val="bottom"/>
          </w:tcPr>
          <w:p w14:paraId="54066E34"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E35"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E36" w14:textId="77777777" w:rsidR="00611BDD" w:rsidRDefault="002E18C7">
            <w:pPr>
              <w:jc w:val="right"/>
              <w:textAlignment w:val="bottom"/>
            </w:pPr>
            <w:r>
              <w:rPr>
                <w:rFonts w:ascii="sans-serif" w:eastAsia="sans-serif" w:hAnsi="sans-serif" w:cs="sans-serif"/>
                <w:color w:val="000000"/>
                <w:sz w:val="20"/>
                <w:szCs w:val="20"/>
              </w:rPr>
              <w:t>147 </w:t>
            </w:r>
          </w:p>
        </w:tc>
        <w:tc>
          <w:tcPr>
            <w:tcW w:w="0" w:type="auto"/>
            <w:shd w:val="clear" w:color="auto" w:fill="E2EFD9"/>
            <w:tcMar>
              <w:top w:w="40" w:type="dxa"/>
              <w:left w:w="0" w:type="dxa"/>
              <w:bottom w:w="40" w:type="dxa"/>
              <w:right w:w="20" w:type="dxa"/>
            </w:tcMar>
            <w:vAlign w:val="bottom"/>
          </w:tcPr>
          <w:p w14:paraId="54066E37"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E38"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E39"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E3A" w14:textId="77777777" w:rsidR="00611BDD" w:rsidRDefault="002E18C7">
            <w:pPr>
              <w:jc w:val="right"/>
              <w:textAlignment w:val="bottom"/>
            </w:pPr>
            <w:r>
              <w:rPr>
                <w:rFonts w:ascii="sans-serif" w:eastAsia="sans-serif" w:hAnsi="sans-serif" w:cs="sans-serif"/>
                <w:color w:val="000000"/>
                <w:sz w:val="20"/>
                <w:szCs w:val="20"/>
              </w:rPr>
              <w:t>144 </w:t>
            </w:r>
          </w:p>
        </w:tc>
        <w:tc>
          <w:tcPr>
            <w:tcW w:w="0" w:type="auto"/>
            <w:shd w:val="clear" w:color="auto" w:fill="E2EFD9"/>
            <w:tcMar>
              <w:top w:w="40" w:type="dxa"/>
              <w:left w:w="0" w:type="dxa"/>
              <w:bottom w:w="40" w:type="dxa"/>
              <w:right w:w="20" w:type="dxa"/>
            </w:tcMar>
            <w:vAlign w:val="bottom"/>
          </w:tcPr>
          <w:p w14:paraId="54066E3B" w14:textId="77777777" w:rsidR="00611BDD" w:rsidRDefault="00611BDD">
            <w:pPr>
              <w:jc w:val="right"/>
              <w:rPr>
                <w:rFonts w:ascii="宋体"/>
              </w:rPr>
            </w:pPr>
          </w:p>
        </w:tc>
      </w:tr>
      <w:tr w:rsidR="00611BDD" w14:paraId="54066E43" w14:textId="77777777">
        <w:trPr>
          <w:trHeight w:val="300"/>
        </w:trPr>
        <w:tc>
          <w:tcPr>
            <w:tcW w:w="0" w:type="auto"/>
            <w:gridSpan w:val="3"/>
            <w:shd w:val="clear" w:color="auto" w:fill="FFFFFF"/>
            <w:tcMar>
              <w:top w:w="0" w:type="dxa"/>
              <w:left w:w="20" w:type="dxa"/>
              <w:bottom w:w="0" w:type="dxa"/>
              <w:right w:w="20" w:type="dxa"/>
            </w:tcMar>
            <w:vAlign w:val="bottom"/>
          </w:tcPr>
          <w:p w14:paraId="54066E3D"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E3E"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E3F"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E40"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E41"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6E42" w14:textId="77777777" w:rsidR="00611BDD" w:rsidRDefault="00611BDD">
            <w:pPr>
              <w:rPr>
                <w:rFonts w:ascii="宋体"/>
              </w:rPr>
            </w:pPr>
          </w:p>
        </w:tc>
      </w:tr>
      <w:tr w:rsidR="00611BDD" w14:paraId="54066E4A" w14:textId="77777777">
        <w:trPr>
          <w:hidden/>
        </w:trPr>
        <w:tc>
          <w:tcPr>
            <w:tcW w:w="0" w:type="auto"/>
            <w:gridSpan w:val="3"/>
            <w:shd w:val="clear" w:color="auto" w:fill="auto"/>
            <w:vAlign w:val="bottom"/>
          </w:tcPr>
          <w:p w14:paraId="54066E44" w14:textId="77777777" w:rsidR="00611BDD" w:rsidRDefault="00611BDD">
            <w:pPr>
              <w:rPr>
                <w:rFonts w:ascii="宋体"/>
                <w:vanish/>
              </w:rPr>
            </w:pPr>
          </w:p>
        </w:tc>
        <w:tc>
          <w:tcPr>
            <w:tcW w:w="0" w:type="auto"/>
            <w:gridSpan w:val="3"/>
            <w:shd w:val="clear" w:color="auto" w:fill="auto"/>
            <w:vAlign w:val="bottom"/>
          </w:tcPr>
          <w:p w14:paraId="54066E45" w14:textId="77777777" w:rsidR="00611BDD" w:rsidRDefault="00611BDD">
            <w:pPr>
              <w:rPr>
                <w:rFonts w:ascii="宋体"/>
                <w:vanish/>
              </w:rPr>
            </w:pPr>
          </w:p>
        </w:tc>
        <w:tc>
          <w:tcPr>
            <w:tcW w:w="0" w:type="auto"/>
            <w:gridSpan w:val="3"/>
            <w:shd w:val="clear" w:color="auto" w:fill="auto"/>
            <w:vAlign w:val="bottom"/>
          </w:tcPr>
          <w:p w14:paraId="54066E46" w14:textId="77777777" w:rsidR="00611BDD" w:rsidRDefault="00611BDD">
            <w:pPr>
              <w:rPr>
                <w:rFonts w:ascii="宋体"/>
                <w:vanish/>
              </w:rPr>
            </w:pPr>
          </w:p>
        </w:tc>
        <w:tc>
          <w:tcPr>
            <w:tcW w:w="0" w:type="auto"/>
            <w:gridSpan w:val="3"/>
            <w:shd w:val="clear" w:color="auto" w:fill="auto"/>
            <w:vAlign w:val="bottom"/>
          </w:tcPr>
          <w:p w14:paraId="54066E47" w14:textId="77777777" w:rsidR="00611BDD" w:rsidRDefault="00611BDD">
            <w:pPr>
              <w:rPr>
                <w:rFonts w:ascii="宋体"/>
                <w:vanish/>
              </w:rPr>
            </w:pPr>
          </w:p>
        </w:tc>
        <w:tc>
          <w:tcPr>
            <w:tcW w:w="0" w:type="auto"/>
            <w:gridSpan w:val="3"/>
            <w:shd w:val="clear" w:color="auto" w:fill="auto"/>
            <w:vAlign w:val="bottom"/>
          </w:tcPr>
          <w:p w14:paraId="54066E48" w14:textId="77777777" w:rsidR="00611BDD" w:rsidRDefault="00611BDD">
            <w:pPr>
              <w:rPr>
                <w:rFonts w:ascii="宋体"/>
                <w:vanish/>
              </w:rPr>
            </w:pPr>
          </w:p>
        </w:tc>
        <w:tc>
          <w:tcPr>
            <w:tcW w:w="0" w:type="auto"/>
            <w:gridSpan w:val="3"/>
            <w:shd w:val="clear" w:color="auto" w:fill="auto"/>
            <w:vAlign w:val="bottom"/>
          </w:tcPr>
          <w:p w14:paraId="54066E49" w14:textId="77777777" w:rsidR="00611BDD" w:rsidRDefault="00611BDD">
            <w:pPr>
              <w:rPr>
                <w:rFonts w:ascii="宋体"/>
                <w:vanish/>
              </w:rPr>
            </w:pPr>
          </w:p>
        </w:tc>
      </w:tr>
      <w:tr w:rsidR="00611BDD" w14:paraId="54066E51" w14:textId="77777777">
        <w:trPr>
          <w:hidden/>
        </w:trPr>
        <w:tc>
          <w:tcPr>
            <w:tcW w:w="0" w:type="auto"/>
            <w:gridSpan w:val="3"/>
            <w:shd w:val="clear" w:color="auto" w:fill="auto"/>
            <w:vAlign w:val="bottom"/>
          </w:tcPr>
          <w:p w14:paraId="54066E4B" w14:textId="77777777" w:rsidR="00611BDD" w:rsidRDefault="00611BDD">
            <w:pPr>
              <w:rPr>
                <w:rFonts w:ascii="宋体"/>
                <w:vanish/>
              </w:rPr>
            </w:pPr>
          </w:p>
        </w:tc>
        <w:tc>
          <w:tcPr>
            <w:tcW w:w="0" w:type="auto"/>
            <w:gridSpan w:val="3"/>
            <w:shd w:val="clear" w:color="auto" w:fill="auto"/>
            <w:vAlign w:val="bottom"/>
          </w:tcPr>
          <w:p w14:paraId="54066E4C" w14:textId="77777777" w:rsidR="00611BDD" w:rsidRDefault="00611BDD">
            <w:pPr>
              <w:rPr>
                <w:rFonts w:ascii="宋体"/>
                <w:vanish/>
              </w:rPr>
            </w:pPr>
          </w:p>
        </w:tc>
        <w:tc>
          <w:tcPr>
            <w:tcW w:w="0" w:type="auto"/>
            <w:gridSpan w:val="3"/>
            <w:shd w:val="clear" w:color="auto" w:fill="auto"/>
            <w:vAlign w:val="bottom"/>
          </w:tcPr>
          <w:p w14:paraId="54066E4D" w14:textId="77777777" w:rsidR="00611BDD" w:rsidRDefault="00611BDD">
            <w:pPr>
              <w:rPr>
                <w:rFonts w:ascii="宋体"/>
                <w:vanish/>
              </w:rPr>
            </w:pPr>
          </w:p>
        </w:tc>
        <w:tc>
          <w:tcPr>
            <w:tcW w:w="0" w:type="auto"/>
            <w:gridSpan w:val="3"/>
            <w:shd w:val="clear" w:color="auto" w:fill="auto"/>
            <w:vAlign w:val="bottom"/>
          </w:tcPr>
          <w:p w14:paraId="54066E4E" w14:textId="77777777" w:rsidR="00611BDD" w:rsidRDefault="00611BDD">
            <w:pPr>
              <w:rPr>
                <w:rFonts w:ascii="宋体"/>
                <w:vanish/>
              </w:rPr>
            </w:pPr>
          </w:p>
        </w:tc>
        <w:tc>
          <w:tcPr>
            <w:tcW w:w="0" w:type="auto"/>
            <w:gridSpan w:val="3"/>
            <w:shd w:val="clear" w:color="auto" w:fill="auto"/>
            <w:vAlign w:val="bottom"/>
          </w:tcPr>
          <w:p w14:paraId="54066E4F" w14:textId="77777777" w:rsidR="00611BDD" w:rsidRDefault="00611BDD">
            <w:pPr>
              <w:rPr>
                <w:rFonts w:ascii="宋体"/>
                <w:vanish/>
              </w:rPr>
            </w:pPr>
          </w:p>
        </w:tc>
        <w:tc>
          <w:tcPr>
            <w:tcW w:w="0" w:type="auto"/>
            <w:gridSpan w:val="3"/>
            <w:shd w:val="clear" w:color="auto" w:fill="auto"/>
            <w:vAlign w:val="bottom"/>
          </w:tcPr>
          <w:p w14:paraId="54066E50" w14:textId="77777777" w:rsidR="00611BDD" w:rsidRDefault="00611BDD">
            <w:pPr>
              <w:rPr>
                <w:rFonts w:ascii="宋体"/>
                <w:vanish/>
              </w:rPr>
            </w:pPr>
          </w:p>
        </w:tc>
      </w:tr>
      <w:tr w:rsidR="00611BDD" w14:paraId="54066E58" w14:textId="77777777">
        <w:tc>
          <w:tcPr>
            <w:tcW w:w="0" w:type="auto"/>
            <w:gridSpan w:val="3"/>
            <w:shd w:val="clear" w:color="auto" w:fill="E2EFD9"/>
            <w:tcMar>
              <w:top w:w="40" w:type="dxa"/>
              <w:left w:w="20" w:type="dxa"/>
              <w:bottom w:w="40" w:type="dxa"/>
              <w:right w:w="20" w:type="dxa"/>
            </w:tcMar>
            <w:vAlign w:val="bottom"/>
          </w:tcPr>
          <w:p w14:paraId="54066E52" w14:textId="77777777" w:rsidR="00611BDD" w:rsidRDefault="002E18C7">
            <w:pPr>
              <w:textAlignment w:val="bottom"/>
            </w:pPr>
            <w:r>
              <w:rPr>
                <w:rFonts w:ascii="sans-serif" w:eastAsia="sans-serif" w:hAnsi="sans-serif" w:cs="sans-serif"/>
                <w:b/>
                <w:bCs/>
                <w:color w:val="000000"/>
                <w:sz w:val="20"/>
                <w:szCs w:val="20"/>
              </w:rPr>
              <w:t>Liabilities (3)</w:t>
            </w:r>
          </w:p>
        </w:tc>
        <w:tc>
          <w:tcPr>
            <w:tcW w:w="0" w:type="auto"/>
            <w:gridSpan w:val="3"/>
            <w:shd w:val="clear" w:color="auto" w:fill="E2EFD9"/>
            <w:tcMar>
              <w:top w:w="0" w:type="dxa"/>
              <w:left w:w="20" w:type="dxa"/>
              <w:bottom w:w="0" w:type="dxa"/>
              <w:right w:w="20" w:type="dxa"/>
            </w:tcMar>
            <w:vAlign w:val="bottom"/>
          </w:tcPr>
          <w:p w14:paraId="54066E53"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E54"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E55"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E56"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6E57" w14:textId="77777777" w:rsidR="00611BDD" w:rsidRDefault="00611BDD">
            <w:pPr>
              <w:rPr>
                <w:rFonts w:ascii="宋体"/>
              </w:rPr>
            </w:pPr>
          </w:p>
        </w:tc>
      </w:tr>
      <w:tr w:rsidR="00611BDD" w14:paraId="54066E5F" w14:textId="77777777">
        <w:trPr>
          <w:hidden/>
        </w:trPr>
        <w:tc>
          <w:tcPr>
            <w:tcW w:w="0" w:type="auto"/>
            <w:gridSpan w:val="3"/>
            <w:shd w:val="clear" w:color="auto" w:fill="auto"/>
            <w:vAlign w:val="bottom"/>
          </w:tcPr>
          <w:p w14:paraId="54066E59" w14:textId="77777777" w:rsidR="00611BDD" w:rsidRDefault="00611BDD">
            <w:pPr>
              <w:rPr>
                <w:rFonts w:ascii="宋体"/>
                <w:vanish/>
              </w:rPr>
            </w:pPr>
          </w:p>
        </w:tc>
        <w:tc>
          <w:tcPr>
            <w:tcW w:w="0" w:type="auto"/>
            <w:gridSpan w:val="3"/>
            <w:shd w:val="clear" w:color="auto" w:fill="auto"/>
            <w:vAlign w:val="bottom"/>
          </w:tcPr>
          <w:p w14:paraId="54066E5A" w14:textId="77777777" w:rsidR="00611BDD" w:rsidRDefault="00611BDD">
            <w:pPr>
              <w:rPr>
                <w:rFonts w:ascii="宋体"/>
                <w:vanish/>
              </w:rPr>
            </w:pPr>
          </w:p>
        </w:tc>
        <w:tc>
          <w:tcPr>
            <w:tcW w:w="0" w:type="auto"/>
            <w:gridSpan w:val="3"/>
            <w:shd w:val="clear" w:color="auto" w:fill="auto"/>
            <w:vAlign w:val="bottom"/>
          </w:tcPr>
          <w:p w14:paraId="54066E5B" w14:textId="77777777" w:rsidR="00611BDD" w:rsidRDefault="00611BDD">
            <w:pPr>
              <w:rPr>
                <w:rFonts w:ascii="宋体"/>
                <w:vanish/>
              </w:rPr>
            </w:pPr>
          </w:p>
        </w:tc>
        <w:tc>
          <w:tcPr>
            <w:tcW w:w="0" w:type="auto"/>
            <w:gridSpan w:val="3"/>
            <w:shd w:val="clear" w:color="auto" w:fill="auto"/>
            <w:vAlign w:val="bottom"/>
          </w:tcPr>
          <w:p w14:paraId="54066E5C" w14:textId="77777777" w:rsidR="00611BDD" w:rsidRDefault="00611BDD">
            <w:pPr>
              <w:rPr>
                <w:rFonts w:ascii="宋体"/>
                <w:vanish/>
              </w:rPr>
            </w:pPr>
          </w:p>
        </w:tc>
        <w:tc>
          <w:tcPr>
            <w:tcW w:w="0" w:type="auto"/>
            <w:gridSpan w:val="3"/>
            <w:shd w:val="clear" w:color="auto" w:fill="auto"/>
            <w:vAlign w:val="bottom"/>
          </w:tcPr>
          <w:p w14:paraId="54066E5D" w14:textId="77777777" w:rsidR="00611BDD" w:rsidRDefault="00611BDD">
            <w:pPr>
              <w:rPr>
                <w:rFonts w:ascii="宋体"/>
                <w:vanish/>
              </w:rPr>
            </w:pPr>
          </w:p>
        </w:tc>
        <w:tc>
          <w:tcPr>
            <w:tcW w:w="0" w:type="auto"/>
            <w:gridSpan w:val="3"/>
            <w:shd w:val="clear" w:color="auto" w:fill="auto"/>
            <w:vAlign w:val="bottom"/>
          </w:tcPr>
          <w:p w14:paraId="54066E5E" w14:textId="77777777" w:rsidR="00611BDD" w:rsidRDefault="00611BDD">
            <w:pPr>
              <w:rPr>
                <w:rFonts w:ascii="宋体"/>
                <w:vanish/>
              </w:rPr>
            </w:pPr>
          </w:p>
        </w:tc>
      </w:tr>
      <w:tr w:rsidR="00611BDD" w14:paraId="54066E66" w14:textId="77777777">
        <w:trPr>
          <w:hidden/>
        </w:trPr>
        <w:tc>
          <w:tcPr>
            <w:tcW w:w="0" w:type="auto"/>
            <w:gridSpan w:val="3"/>
            <w:shd w:val="clear" w:color="auto" w:fill="auto"/>
            <w:vAlign w:val="bottom"/>
          </w:tcPr>
          <w:p w14:paraId="54066E60" w14:textId="77777777" w:rsidR="00611BDD" w:rsidRDefault="00611BDD">
            <w:pPr>
              <w:rPr>
                <w:rFonts w:ascii="宋体"/>
                <w:vanish/>
              </w:rPr>
            </w:pPr>
          </w:p>
        </w:tc>
        <w:tc>
          <w:tcPr>
            <w:tcW w:w="0" w:type="auto"/>
            <w:gridSpan w:val="3"/>
            <w:shd w:val="clear" w:color="auto" w:fill="auto"/>
            <w:vAlign w:val="bottom"/>
          </w:tcPr>
          <w:p w14:paraId="54066E61" w14:textId="77777777" w:rsidR="00611BDD" w:rsidRDefault="00611BDD">
            <w:pPr>
              <w:rPr>
                <w:rFonts w:ascii="宋体"/>
                <w:vanish/>
              </w:rPr>
            </w:pPr>
          </w:p>
        </w:tc>
        <w:tc>
          <w:tcPr>
            <w:tcW w:w="0" w:type="auto"/>
            <w:gridSpan w:val="3"/>
            <w:shd w:val="clear" w:color="auto" w:fill="auto"/>
            <w:vAlign w:val="bottom"/>
          </w:tcPr>
          <w:p w14:paraId="54066E62" w14:textId="77777777" w:rsidR="00611BDD" w:rsidRDefault="00611BDD">
            <w:pPr>
              <w:rPr>
                <w:rFonts w:ascii="宋体"/>
                <w:vanish/>
              </w:rPr>
            </w:pPr>
          </w:p>
        </w:tc>
        <w:tc>
          <w:tcPr>
            <w:tcW w:w="0" w:type="auto"/>
            <w:gridSpan w:val="3"/>
            <w:shd w:val="clear" w:color="auto" w:fill="auto"/>
            <w:vAlign w:val="bottom"/>
          </w:tcPr>
          <w:p w14:paraId="54066E63" w14:textId="77777777" w:rsidR="00611BDD" w:rsidRDefault="00611BDD">
            <w:pPr>
              <w:rPr>
                <w:rFonts w:ascii="宋体"/>
                <w:vanish/>
              </w:rPr>
            </w:pPr>
          </w:p>
        </w:tc>
        <w:tc>
          <w:tcPr>
            <w:tcW w:w="0" w:type="auto"/>
            <w:gridSpan w:val="3"/>
            <w:shd w:val="clear" w:color="auto" w:fill="auto"/>
            <w:vAlign w:val="bottom"/>
          </w:tcPr>
          <w:p w14:paraId="54066E64" w14:textId="77777777" w:rsidR="00611BDD" w:rsidRDefault="00611BDD">
            <w:pPr>
              <w:rPr>
                <w:rFonts w:ascii="宋体"/>
                <w:vanish/>
              </w:rPr>
            </w:pPr>
          </w:p>
        </w:tc>
        <w:tc>
          <w:tcPr>
            <w:tcW w:w="0" w:type="auto"/>
            <w:gridSpan w:val="3"/>
            <w:shd w:val="clear" w:color="auto" w:fill="auto"/>
            <w:vAlign w:val="bottom"/>
          </w:tcPr>
          <w:p w14:paraId="54066E65" w14:textId="77777777" w:rsidR="00611BDD" w:rsidRDefault="00611BDD">
            <w:pPr>
              <w:rPr>
                <w:rFonts w:ascii="宋体"/>
                <w:vanish/>
              </w:rPr>
            </w:pPr>
          </w:p>
        </w:tc>
      </w:tr>
      <w:tr w:rsidR="00611BDD" w14:paraId="54066E6D" w14:textId="77777777">
        <w:trPr>
          <w:hidden/>
        </w:trPr>
        <w:tc>
          <w:tcPr>
            <w:tcW w:w="0" w:type="auto"/>
            <w:gridSpan w:val="3"/>
            <w:shd w:val="clear" w:color="auto" w:fill="auto"/>
            <w:vAlign w:val="bottom"/>
          </w:tcPr>
          <w:p w14:paraId="54066E67" w14:textId="77777777" w:rsidR="00611BDD" w:rsidRDefault="00611BDD">
            <w:pPr>
              <w:rPr>
                <w:rFonts w:ascii="宋体"/>
                <w:vanish/>
              </w:rPr>
            </w:pPr>
          </w:p>
        </w:tc>
        <w:tc>
          <w:tcPr>
            <w:tcW w:w="0" w:type="auto"/>
            <w:gridSpan w:val="3"/>
            <w:shd w:val="clear" w:color="auto" w:fill="auto"/>
            <w:vAlign w:val="bottom"/>
          </w:tcPr>
          <w:p w14:paraId="54066E68" w14:textId="77777777" w:rsidR="00611BDD" w:rsidRDefault="00611BDD">
            <w:pPr>
              <w:rPr>
                <w:rFonts w:ascii="宋体"/>
                <w:vanish/>
              </w:rPr>
            </w:pPr>
          </w:p>
        </w:tc>
        <w:tc>
          <w:tcPr>
            <w:tcW w:w="0" w:type="auto"/>
            <w:gridSpan w:val="3"/>
            <w:shd w:val="clear" w:color="auto" w:fill="auto"/>
            <w:vAlign w:val="bottom"/>
          </w:tcPr>
          <w:p w14:paraId="54066E69" w14:textId="77777777" w:rsidR="00611BDD" w:rsidRDefault="00611BDD">
            <w:pPr>
              <w:rPr>
                <w:rFonts w:ascii="宋体"/>
                <w:vanish/>
              </w:rPr>
            </w:pPr>
          </w:p>
        </w:tc>
        <w:tc>
          <w:tcPr>
            <w:tcW w:w="0" w:type="auto"/>
            <w:gridSpan w:val="3"/>
            <w:shd w:val="clear" w:color="auto" w:fill="auto"/>
            <w:vAlign w:val="bottom"/>
          </w:tcPr>
          <w:p w14:paraId="54066E6A" w14:textId="77777777" w:rsidR="00611BDD" w:rsidRDefault="00611BDD">
            <w:pPr>
              <w:rPr>
                <w:rFonts w:ascii="宋体"/>
                <w:vanish/>
              </w:rPr>
            </w:pPr>
          </w:p>
        </w:tc>
        <w:tc>
          <w:tcPr>
            <w:tcW w:w="0" w:type="auto"/>
            <w:gridSpan w:val="3"/>
            <w:shd w:val="clear" w:color="auto" w:fill="auto"/>
            <w:vAlign w:val="bottom"/>
          </w:tcPr>
          <w:p w14:paraId="54066E6B" w14:textId="77777777" w:rsidR="00611BDD" w:rsidRDefault="00611BDD">
            <w:pPr>
              <w:rPr>
                <w:rFonts w:ascii="宋体"/>
                <w:vanish/>
              </w:rPr>
            </w:pPr>
          </w:p>
        </w:tc>
        <w:tc>
          <w:tcPr>
            <w:tcW w:w="0" w:type="auto"/>
            <w:gridSpan w:val="3"/>
            <w:shd w:val="clear" w:color="auto" w:fill="auto"/>
            <w:vAlign w:val="bottom"/>
          </w:tcPr>
          <w:p w14:paraId="54066E6C" w14:textId="77777777" w:rsidR="00611BDD" w:rsidRDefault="00611BDD">
            <w:pPr>
              <w:rPr>
                <w:rFonts w:ascii="宋体"/>
                <w:vanish/>
              </w:rPr>
            </w:pPr>
          </w:p>
        </w:tc>
      </w:tr>
      <w:tr w:rsidR="00611BDD" w14:paraId="54066E78" w14:textId="77777777">
        <w:tc>
          <w:tcPr>
            <w:tcW w:w="0" w:type="auto"/>
            <w:gridSpan w:val="3"/>
            <w:shd w:val="clear" w:color="auto" w:fill="FFFFFF"/>
            <w:tcMar>
              <w:top w:w="40" w:type="dxa"/>
              <w:left w:w="20" w:type="dxa"/>
              <w:bottom w:w="40" w:type="dxa"/>
              <w:right w:w="20" w:type="dxa"/>
            </w:tcMar>
            <w:vAlign w:val="bottom"/>
          </w:tcPr>
          <w:p w14:paraId="54066E6E" w14:textId="77777777" w:rsidR="00611BDD" w:rsidRDefault="002E18C7">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2.20% Notes Due 2021</w:t>
            </w:r>
          </w:p>
        </w:tc>
        <w:tc>
          <w:tcPr>
            <w:tcW w:w="0" w:type="auto"/>
            <w:gridSpan w:val="3"/>
            <w:shd w:val="clear" w:color="auto" w:fill="FFFFFF"/>
            <w:tcMar>
              <w:top w:w="40" w:type="dxa"/>
              <w:left w:w="20" w:type="dxa"/>
              <w:bottom w:w="40" w:type="dxa"/>
              <w:right w:w="20" w:type="dxa"/>
            </w:tcMar>
            <w:vAlign w:val="bottom"/>
          </w:tcPr>
          <w:p w14:paraId="54066E6F" w14:textId="77777777" w:rsidR="00611BDD" w:rsidRDefault="002E18C7">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54066E70"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E71"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E72" w14:textId="77777777" w:rsidR="00611BDD" w:rsidRDefault="002E18C7">
            <w:pPr>
              <w:jc w:val="right"/>
              <w:textAlignment w:val="bottom"/>
            </w:pPr>
            <w:r>
              <w:rPr>
                <w:rFonts w:ascii="sans-serif" w:eastAsia="sans-serif" w:hAnsi="sans-serif" w:cs="sans-serif"/>
                <w:color w:val="000000"/>
                <w:sz w:val="20"/>
                <w:szCs w:val="20"/>
              </w:rPr>
              <w:t>1,001 </w:t>
            </w:r>
          </w:p>
        </w:tc>
        <w:tc>
          <w:tcPr>
            <w:tcW w:w="0" w:type="auto"/>
            <w:shd w:val="clear" w:color="auto" w:fill="FFFFFF"/>
            <w:tcMar>
              <w:top w:w="40" w:type="dxa"/>
              <w:left w:w="0" w:type="dxa"/>
              <w:bottom w:w="40" w:type="dxa"/>
              <w:right w:w="20" w:type="dxa"/>
            </w:tcMar>
            <w:vAlign w:val="bottom"/>
          </w:tcPr>
          <w:p w14:paraId="54066E7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E74"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E75"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E76" w14:textId="77777777" w:rsidR="00611BDD" w:rsidRDefault="002E18C7">
            <w:pPr>
              <w:jc w:val="right"/>
              <w:textAlignment w:val="bottom"/>
            </w:pPr>
            <w:r>
              <w:rPr>
                <w:rFonts w:ascii="sans-serif" w:eastAsia="sans-serif" w:hAnsi="sans-serif" w:cs="sans-serif"/>
                <w:color w:val="000000"/>
                <w:sz w:val="20"/>
                <w:szCs w:val="20"/>
              </w:rPr>
              <w:t>1,011 </w:t>
            </w:r>
          </w:p>
        </w:tc>
        <w:tc>
          <w:tcPr>
            <w:tcW w:w="0" w:type="auto"/>
            <w:shd w:val="clear" w:color="auto" w:fill="FFFFFF"/>
            <w:tcMar>
              <w:top w:w="40" w:type="dxa"/>
              <w:left w:w="0" w:type="dxa"/>
              <w:bottom w:w="40" w:type="dxa"/>
              <w:right w:w="20" w:type="dxa"/>
            </w:tcMar>
            <w:vAlign w:val="bottom"/>
          </w:tcPr>
          <w:p w14:paraId="54066E77" w14:textId="77777777" w:rsidR="00611BDD" w:rsidRDefault="00611BDD">
            <w:pPr>
              <w:jc w:val="right"/>
              <w:rPr>
                <w:rFonts w:ascii="宋体"/>
              </w:rPr>
            </w:pPr>
          </w:p>
        </w:tc>
      </w:tr>
      <w:tr w:rsidR="00611BDD" w14:paraId="54066E83" w14:textId="77777777">
        <w:tc>
          <w:tcPr>
            <w:tcW w:w="0" w:type="auto"/>
            <w:gridSpan w:val="3"/>
            <w:shd w:val="clear" w:color="auto" w:fill="E2EFD9"/>
            <w:tcMar>
              <w:top w:w="40" w:type="dxa"/>
              <w:left w:w="20" w:type="dxa"/>
              <w:bottom w:w="40" w:type="dxa"/>
              <w:right w:w="20" w:type="dxa"/>
            </w:tcMar>
            <w:vAlign w:val="bottom"/>
          </w:tcPr>
          <w:p w14:paraId="54066E79" w14:textId="77777777" w:rsidR="00611BDD" w:rsidRDefault="002E18C7">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0.309% Notes Due 2023</w:t>
            </w:r>
          </w:p>
        </w:tc>
        <w:tc>
          <w:tcPr>
            <w:tcW w:w="0" w:type="auto"/>
            <w:gridSpan w:val="3"/>
            <w:shd w:val="clear" w:color="auto" w:fill="E2EFD9"/>
            <w:tcMar>
              <w:top w:w="40" w:type="dxa"/>
              <w:left w:w="20" w:type="dxa"/>
              <w:bottom w:w="40" w:type="dxa"/>
              <w:right w:w="20" w:type="dxa"/>
            </w:tcMar>
            <w:vAlign w:val="bottom"/>
          </w:tcPr>
          <w:p w14:paraId="54066E7A" w14:textId="77777777" w:rsidR="00611BDD" w:rsidRDefault="002E18C7">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54066E7B"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E7C"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E7D" w14:textId="77777777" w:rsidR="00611BDD" w:rsidRDefault="002E18C7">
            <w:pPr>
              <w:jc w:val="right"/>
              <w:textAlignment w:val="bottom"/>
            </w:pPr>
            <w:r>
              <w:rPr>
                <w:rFonts w:ascii="sans-serif" w:eastAsia="sans-serif" w:hAnsi="sans-serif" w:cs="sans-serif"/>
                <w:color w:val="000000"/>
                <w:sz w:val="20"/>
                <w:szCs w:val="20"/>
              </w:rPr>
              <w:t>1,251 </w:t>
            </w:r>
          </w:p>
        </w:tc>
        <w:tc>
          <w:tcPr>
            <w:tcW w:w="0" w:type="auto"/>
            <w:shd w:val="clear" w:color="auto" w:fill="E2EFD9"/>
            <w:tcMar>
              <w:top w:w="40" w:type="dxa"/>
              <w:left w:w="0" w:type="dxa"/>
              <w:bottom w:w="40" w:type="dxa"/>
              <w:right w:w="20" w:type="dxa"/>
            </w:tcMar>
            <w:vAlign w:val="bottom"/>
          </w:tcPr>
          <w:p w14:paraId="54066E7E"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E7F"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E80"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E81"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4066E82" w14:textId="77777777" w:rsidR="00611BDD" w:rsidRDefault="00611BDD">
            <w:pPr>
              <w:jc w:val="right"/>
              <w:rPr>
                <w:rFonts w:ascii="宋体"/>
              </w:rPr>
            </w:pPr>
          </w:p>
        </w:tc>
      </w:tr>
      <w:tr w:rsidR="00611BDD" w14:paraId="54066E8E" w14:textId="77777777">
        <w:tc>
          <w:tcPr>
            <w:tcW w:w="0" w:type="auto"/>
            <w:gridSpan w:val="3"/>
            <w:shd w:val="clear" w:color="auto" w:fill="FFFFFF"/>
            <w:tcMar>
              <w:top w:w="40" w:type="dxa"/>
              <w:left w:w="20" w:type="dxa"/>
              <w:bottom w:w="40" w:type="dxa"/>
              <w:right w:w="20" w:type="dxa"/>
            </w:tcMar>
            <w:vAlign w:val="bottom"/>
          </w:tcPr>
          <w:p w14:paraId="54066E84" w14:textId="77777777" w:rsidR="00611BDD" w:rsidRDefault="002E18C7">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0.584% Notes Due 2024</w:t>
            </w:r>
          </w:p>
        </w:tc>
        <w:tc>
          <w:tcPr>
            <w:tcW w:w="0" w:type="auto"/>
            <w:gridSpan w:val="3"/>
            <w:shd w:val="clear" w:color="auto" w:fill="FFFFFF"/>
            <w:tcMar>
              <w:top w:w="40" w:type="dxa"/>
              <w:left w:w="20" w:type="dxa"/>
              <w:bottom w:w="40" w:type="dxa"/>
              <w:right w:w="20" w:type="dxa"/>
            </w:tcMar>
            <w:vAlign w:val="bottom"/>
          </w:tcPr>
          <w:p w14:paraId="54066E85" w14:textId="77777777" w:rsidR="00611BDD" w:rsidRDefault="002E18C7">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54066E86"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E87"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E88" w14:textId="77777777" w:rsidR="00611BDD" w:rsidRDefault="002E18C7">
            <w:pPr>
              <w:jc w:val="right"/>
              <w:textAlignment w:val="bottom"/>
            </w:pPr>
            <w:r>
              <w:rPr>
                <w:rFonts w:ascii="sans-serif" w:eastAsia="sans-serif" w:hAnsi="sans-serif" w:cs="sans-serif"/>
                <w:color w:val="000000"/>
                <w:sz w:val="20"/>
                <w:szCs w:val="20"/>
              </w:rPr>
              <w:t>1,254 </w:t>
            </w:r>
          </w:p>
        </w:tc>
        <w:tc>
          <w:tcPr>
            <w:tcW w:w="0" w:type="auto"/>
            <w:shd w:val="clear" w:color="auto" w:fill="FFFFFF"/>
            <w:tcMar>
              <w:top w:w="40" w:type="dxa"/>
              <w:left w:w="0" w:type="dxa"/>
              <w:bottom w:w="40" w:type="dxa"/>
              <w:right w:w="20" w:type="dxa"/>
            </w:tcMar>
            <w:vAlign w:val="bottom"/>
          </w:tcPr>
          <w:p w14:paraId="54066E8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E8A"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E8B"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E8C"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4066E8D" w14:textId="77777777" w:rsidR="00611BDD" w:rsidRDefault="00611BDD">
            <w:pPr>
              <w:jc w:val="right"/>
              <w:rPr>
                <w:rFonts w:ascii="宋体"/>
              </w:rPr>
            </w:pPr>
          </w:p>
        </w:tc>
      </w:tr>
      <w:tr w:rsidR="00611BDD" w14:paraId="54066E99" w14:textId="77777777">
        <w:tc>
          <w:tcPr>
            <w:tcW w:w="0" w:type="auto"/>
            <w:gridSpan w:val="3"/>
            <w:shd w:val="clear" w:color="auto" w:fill="E2EFD9"/>
            <w:tcMar>
              <w:top w:w="40" w:type="dxa"/>
              <w:left w:w="20" w:type="dxa"/>
              <w:bottom w:w="40" w:type="dxa"/>
              <w:right w:w="20" w:type="dxa"/>
            </w:tcMar>
            <w:vAlign w:val="bottom"/>
          </w:tcPr>
          <w:p w14:paraId="54066E8F" w14:textId="77777777" w:rsidR="00611BDD" w:rsidRDefault="002E18C7">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3.20% Notes Due 2026</w:t>
            </w:r>
          </w:p>
        </w:tc>
        <w:tc>
          <w:tcPr>
            <w:tcW w:w="0" w:type="auto"/>
            <w:gridSpan w:val="3"/>
            <w:shd w:val="clear" w:color="auto" w:fill="E2EFD9"/>
            <w:tcMar>
              <w:top w:w="40" w:type="dxa"/>
              <w:left w:w="20" w:type="dxa"/>
              <w:bottom w:w="40" w:type="dxa"/>
              <w:right w:w="20" w:type="dxa"/>
            </w:tcMar>
            <w:vAlign w:val="bottom"/>
          </w:tcPr>
          <w:p w14:paraId="54066E90" w14:textId="77777777" w:rsidR="00611BDD" w:rsidRDefault="002E18C7">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54066E91"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E92"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E93" w14:textId="77777777" w:rsidR="00611BDD" w:rsidRDefault="002E18C7">
            <w:pPr>
              <w:jc w:val="right"/>
              <w:textAlignment w:val="bottom"/>
            </w:pPr>
            <w:r>
              <w:rPr>
                <w:rFonts w:ascii="sans-serif" w:eastAsia="sans-serif" w:hAnsi="sans-serif" w:cs="sans-serif"/>
                <w:color w:val="000000"/>
                <w:sz w:val="20"/>
                <w:szCs w:val="20"/>
              </w:rPr>
              <w:t>1,106 </w:t>
            </w:r>
          </w:p>
        </w:tc>
        <w:tc>
          <w:tcPr>
            <w:tcW w:w="0" w:type="auto"/>
            <w:shd w:val="clear" w:color="auto" w:fill="E2EFD9"/>
            <w:tcMar>
              <w:top w:w="40" w:type="dxa"/>
              <w:left w:w="0" w:type="dxa"/>
              <w:bottom w:w="40" w:type="dxa"/>
              <w:right w:w="20" w:type="dxa"/>
            </w:tcMar>
            <w:vAlign w:val="bottom"/>
          </w:tcPr>
          <w:p w14:paraId="54066E94"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E95"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E96"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E97" w14:textId="77777777" w:rsidR="00611BDD" w:rsidRDefault="002E18C7">
            <w:pPr>
              <w:jc w:val="right"/>
              <w:textAlignment w:val="bottom"/>
            </w:pPr>
            <w:r>
              <w:rPr>
                <w:rFonts w:ascii="sans-serif" w:eastAsia="sans-serif" w:hAnsi="sans-serif" w:cs="sans-serif"/>
                <w:color w:val="000000"/>
                <w:sz w:val="20"/>
                <w:szCs w:val="20"/>
              </w:rPr>
              <w:t>1,124 </w:t>
            </w:r>
          </w:p>
        </w:tc>
        <w:tc>
          <w:tcPr>
            <w:tcW w:w="0" w:type="auto"/>
            <w:shd w:val="clear" w:color="auto" w:fill="E2EFD9"/>
            <w:tcMar>
              <w:top w:w="40" w:type="dxa"/>
              <w:left w:w="0" w:type="dxa"/>
              <w:bottom w:w="40" w:type="dxa"/>
              <w:right w:w="20" w:type="dxa"/>
            </w:tcMar>
            <w:vAlign w:val="bottom"/>
          </w:tcPr>
          <w:p w14:paraId="54066E98" w14:textId="77777777" w:rsidR="00611BDD" w:rsidRDefault="00611BDD">
            <w:pPr>
              <w:jc w:val="right"/>
              <w:rPr>
                <w:rFonts w:ascii="宋体"/>
              </w:rPr>
            </w:pPr>
          </w:p>
        </w:tc>
      </w:tr>
      <w:tr w:rsidR="00611BDD" w14:paraId="54066EA4" w14:textId="77777777">
        <w:tc>
          <w:tcPr>
            <w:tcW w:w="0" w:type="auto"/>
            <w:gridSpan w:val="3"/>
            <w:shd w:val="clear" w:color="auto" w:fill="FFFFFF"/>
            <w:tcMar>
              <w:top w:w="40" w:type="dxa"/>
              <w:left w:w="20" w:type="dxa"/>
              <w:bottom w:w="40" w:type="dxa"/>
              <w:right w:w="20" w:type="dxa"/>
            </w:tcMar>
            <w:vAlign w:val="bottom"/>
          </w:tcPr>
          <w:p w14:paraId="54066E9A" w14:textId="77777777" w:rsidR="00611BDD" w:rsidRDefault="002E18C7">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1.55% Notes Due 2028</w:t>
            </w:r>
          </w:p>
        </w:tc>
        <w:tc>
          <w:tcPr>
            <w:tcW w:w="0" w:type="auto"/>
            <w:gridSpan w:val="3"/>
            <w:shd w:val="clear" w:color="auto" w:fill="FFFFFF"/>
            <w:tcMar>
              <w:top w:w="40" w:type="dxa"/>
              <w:left w:w="20" w:type="dxa"/>
              <w:bottom w:w="40" w:type="dxa"/>
              <w:right w:w="20" w:type="dxa"/>
            </w:tcMar>
            <w:vAlign w:val="bottom"/>
          </w:tcPr>
          <w:p w14:paraId="54066E9B" w14:textId="77777777" w:rsidR="00611BDD" w:rsidRDefault="002E18C7">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54066E9C"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E9D"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E9E" w14:textId="77777777" w:rsidR="00611BDD" w:rsidRDefault="002E18C7">
            <w:pPr>
              <w:jc w:val="right"/>
              <w:textAlignment w:val="bottom"/>
            </w:pPr>
            <w:r>
              <w:rPr>
                <w:rFonts w:ascii="sans-serif" w:eastAsia="sans-serif" w:hAnsi="sans-serif" w:cs="sans-serif"/>
                <w:color w:val="000000"/>
                <w:sz w:val="20"/>
                <w:szCs w:val="20"/>
              </w:rPr>
              <w:t>1,261 </w:t>
            </w:r>
          </w:p>
        </w:tc>
        <w:tc>
          <w:tcPr>
            <w:tcW w:w="0" w:type="auto"/>
            <w:shd w:val="clear" w:color="auto" w:fill="FFFFFF"/>
            <w:tcMar>
              <w:top w:w="40" w:type="dxa"/>
              <w:left w:w="0" w:type="dxa"/>
              <w:bottom w:w="40" w:type="dxa"/>
              <w:right w:w="20" w:type="dxa"/>
            </w:tcMar>
            <w:vAlign w:val="bottom"/>
          </w:tcPr>
          <w:p w14:paraId="54066E9F"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EA0"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EA1"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EA2"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4066EA3" w14:textId="77777777" w:rsidR="00611BDD" w:rsidRDefault="00611BDD">
            <w:pPr>
              <w:jc w:val="right"/>
              <w:rPr>
                <w:rFonts w:ascii="宋体"/>
              </w:rPr>
            </w:pPr>
          </w:p>
        </w:tc>
      </w:tr>
      <w:tr w:rsidR="00611BDD" w14:paraId="54066EAF" w14:textId="77777777">
        <w:tc>
          <w:tcPr>
            <w:tcW w:w="0" w:type="auto"/>
            <w:gridSpan w:val="3"/>
            <w:shd w:val="clear" w:color="auto" w:fill="E2EFD9"/>
            <w:tcMar>
              <w:top w:w="40" w:type="dxa"/>
              <w:left w:w="20" w:type="dxa"/>
              <w:bottom w:w="40" w:type="dxa"/>
              <w:right w:w="20" w:type="dxa"/>
            </w:tcMar>
            <w:vAlign w:val="bottom"/>
          </w:tcPr>
          <w:p w14:paraId="54066EA5" w14:textId="77777777" w:rsidR="00611BDD" w:rsidRDefault="002E18C7">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2.85% Notes Due 2030</w:t>
            </w:r>
          </w:p>
        </w:tc>
        <w:tc>
          <w:tcPr>
            <w:tcW w:w="0" w:type="auto"/>
            <w:gridSpan w:val="3"/>
            <w:shd w:val="clear" w:color="auto" w:fill="E2EFD9"/>
            <w:tcMar>
              <w:top w:w="40" w:type="dxa"/>
              <w:left w:w="20" w:type="dxa"/>
              <w:bottom w:w="40" w:type="dxa"/>
              <w:right w:w="20" w:type="dxa"/>
            </w:tcMar>
            <w:vAlign w:val="bottom"/>
          </w:tcPr>
          <w:p w14:paraId="54066EA6" w14:textId="77777777" w:rsidR="00611BDD" w:rsidRDefault="002E18C7">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54066EA7"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EA8"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EA9" w14:textId="77777777" w:rsidR="00611BDD" w:rsidRDefault="002E18C7">
            <w:pPr>
              <w:jc w:val="right"/>
              <w:textAlignment w:val="bottom"/>
            </w:pPr>
            <w:r>
              <w:rPr>
                <w:rFonts w:ascii="sans-serif" w:eastAsia="sans-serif" w:hAnsi="sans-serif" w:cs="sans-serif"/>
                <w:color w:val="000000"/>
                <w:sz w:val="20"/>
                <w:szCs w:val="20"/>
              </w:rPr>
              <w:t>1,640 </w:t>
            </w:r>
          </w:p>
        </w:tc>
        <w:tc>
          <w:tcPr>
            <w:tcW w:w="0" w:type="auto"/>
            <w:shd w:val="clear" w:color="auto" w:fill="E2EFD9"/>
            <w:tcMar>
              <w:top w:w="40" w:type="dxa"/>
              <w:left w:w="0" w:type="dxa"/>
              <w:bottom w:w="40" w:type="dxa"/>
              <w:right w:w="20" w:type="dxa"/>
            </w:tcMar>
            <w:vAlign w:val="bottom"/>
          </w:tcPr>
          <w:p w14:paraId="54066EA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EAB"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EAC"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EAD" w14:textId="77777777" w:rsidR="00611BDD" w:rsidRDefault="002E18C7">
            <w:pPr>
              <w:jc w:val="right"/>
              <w:textAlignment w:val="bottom"/>
            </w:pPr>
            <w:r>
              <w:rPr>
                <w:rFonts w:ascii="sans-serif" w:eastAsia="sans-serif" w:hAnsi="sans-serif" w:cs="sans-serif"/>
                <w:color w:val="000000"/>
                <w:sz w:val="20"/>
                <w:szCs w:val="20"/>
              </w:rPr>
              <w:t>1,654 </w:t>
            </w:r>
          </w:p>
        </w:tc>
        <w:tc>
          <w:tcPr>
            <w:tcW w:w="0" w:type="auto"/>
            <w:shd w:val="clear" w:color="auto" w:fill="E2EFD9"/>
            <w:tcMar>
              <w:top w:w="40" w:type="dxa"/>
              <w:left w:w="0" w:type="dxa"/>
              <w:bottom w:w="40" w:type="dxa"/>
              <w:right w:w="20" w:type="dxa"/>
            </w:tcMar>
            <w:vAlign w:val="bottom"/>
          </w:tcPr>
          <w:p w14:paraId="54066EAE" w14:textId="77777777" w:rsidR="00611BDD" w:rsidRDefault="00611BDD">
            <w:pPr>
              <w:jc w:val="right"/>
              <w:rPr>
                <w:rFonts w:ascii="宋体"/>
              </w:rPr>
            </w:pPr>
          </w:p>
        </w:tc>
      </w:tr>
      <w:tr w:rsidR="00611BDD" w14:paraId="54066EBA" w14:textId="77777777">
        <w:tc>
          <w:tcPr>
            <w:tcW w:w="0" w:type="auto"/>
            <w:gridSpan w:val="3"/>
            <w:shd w:val="clear" w:color="auto" w:fill="FFFFFF"/>
            <w:tcMar>
              <w:top w:w="40" w:type="dxa"/>
              <w:left w:w="20" w:type="dxa"/>
              <w:bottom w:w="40" w:type="dxa"/>
              <w:right w:w="20" w:type="dxa"/>
            </w:tcMar>
            <w:vAlign w:val="bottom"/>
          </w:tcPr>
          <w:p w14:paraId="54066EB0" w14:textId="77777777" w:rsidR="00611BDD" w:rsidRDefault="002E18C7">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2.00% Notes Due 2031</w:t>
            </w:r>
          </w:p>
        </w:tc>
        <w:tc>
          <w:tcPr>
            <w:tcW w:w="0" w:type="auto"/>
            <w:gridSpan w:val="3"/>
            <w:shd w:val="clear" w:color="auto" w:fill="FFFFFF"/>
            <w:tcMar>
              <w:top w:w="40" w:type="dxa"/>
              <w:left w:w="20" w:type="dxa"/>
              <w:bottom w:w="40" w:type="dxa"/>
              <w:right w:w="20" w:type="dxa"/>
            </w:tcMar>
            <w:vAlign w:val="bottom"/>
          </w:tcPr>
          <w:p w14:paraId="54066EB1" w14:textId="77777777" w:rsidR="00611BDD" w:rsidRDefault="002E18C7">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54066EB2"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EB3"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EB4" w14:textId="77777777" w:rsidR="00611BDD" w:rsidRDefault="002E18C7">
            <w:pPr>
              <w:jc w:val="right"/>
              <w:textAlignment w:val="bottom"/>
            </w:pPr>
            <w:r>
              <w:rPr>
                <w:rFonts w:ascii="sans-serif" w:eastAsia="sans-serif" w:hAnsi="sans-serif" w:cs="sans-serif"/>
                <w:color w:val="000000"/>
                <w:sz w:val="20"/>
                <w:szCs w:val="20"/>
              </w:rPr>
              <w:t>1,271 </w:t>
            </w:r>
          </w:p>
        </w:tc>
        <w:tc>
          <w:tcPr>
            <w:tcW w:w="0" w:type="auto"/>
            <w:shd w:val="clear" w:color="auto" w:fill="FFFFFF"/>
            <w:tcMar>
              <w:top w:w="40" w:type="dxa"/>
              <w:left w:w="0" w:type="dxa"/>
              <w:bottom w:w="40" w:type="dxa"/>
              <w:right w:w="20" w:type="dxa"/>
            </w:tcMar>
            <w:vAlign w:val="bottom"/>
          </w:tcPr>
          <w:p w14:paraId="54066EB5"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EB6"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EB7"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EB8"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4066EB9" w14:textId="77777777" w:rsidR="00611BDD" w:rsidRDefault="00611BDD">
            <w:pPr>
              <w:jc w:val="right"/>
              <w:rPr>
                <w:rFonts w:ascii="宋体"/>
              </w:rPr>
            </w:pPr>
          </w:p>
        </w:tc>
      </w:tr>
      <w:tr w:rsidR="00611BDD" w14:paraId="54066EC5" w14:textId="77777777">
        <w:tc>
          <w:tcPr>
            <w:tcW w:w="0" w:type="auto"/>
            <w:gridSpan w:val="3"/>
            <w:shd w:val="clear" w:color="auto" w:fill="E2EFD9"/>
            <w:tcMar>
              <w:top w:w="40" w:type="dxa"/>
              <w:left w:w="20" w:type="dxa"/>
              <w:bottom w:w="40" w:type="dxa"/>
              <w:right w:w="20" w:type="dxa"/>
            </w:tcMar>
            <w:vAlign w:val="bottom"/>
          </w:tcPr>
          <w:p w14:paraId="54066EBB" w14:textId="77777777" w:rsidR="00611BDD" w:rsidRDefault="002E18C7">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3.50% Notes Due 2040</w:t>
            </w:r>
          </w:p>
        </w:tc>
        <w:tc>
          <w:tcPr>
            <w:tcW w:w="0" w:type="auto"/>
            <w:gridSpan w:val="3"/>
            <w:shd w:val="clear" w:color="auto" w:fill="E2EFD9"/>
            <w:tcMar>
              <w:top w:w="40" w:type="dxa"/>
              <w:left w:w="20" w:type="dxa"/>
              <w:bottom w:w="40" w:type="dxa"/>
              <w:right w:w="20" w:type="dxa"/>
            </w:tcMar>
            <w:vAlign w:val="bottom"/>
          </w:tcPr>
          <w:p w14:paraId="54066EBC" w14:textId="77777777" w:rsidR="00611BDD" w:rsidRDefault="002E18C7">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54066EBD"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EBE"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EBF" w14:textId="77777777" w:rsidR="00611BDD" w:rsidRDefault="002E18C7">
            <w:pPr>
              <w:jc w:val="right"/>
              <w:textAlignment w:val="bottom"/>
            </w:pPr>
            <w:r>
              <w:rPr>
                <w:rFonts w:ascii="sans-serif" w:eastAsia="sans-serif" w:hAnsi="sans-serif" w:cs="sans-serif"/>
                <w:color w:val="000000"/>
                <w:sz w:val="20"/>
                <w:szCs w:val="20"/>
              </w:rPr>
              <w:t>1,152 </w:t>
            </w:r>
          </w:p>
        </w:tc>
        <w:tc>
          <w:tcPr>
            <w:tcW w:w="0" w:type="auto"/>
            <w:shd w:val="clear" w:color="auto" w:fill="E2EFD9"/>
            <w:tcMar>
              <w:top w:w="40" w:type="dxa"/>
              <w:left w:w="0" w:type="dxa"/>
              <w:bottom w:w="40" w:type="dxa"/>
              <w:right w:w="20" w:type="dxa"/>
            </w:tcMar>
            <w:vAlign w:val="bottom"/>
          </w:tcPr>
          <w:p w14:paraId="54066EC0"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EC1"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EC2"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EC3" w14:textId="77777777" w:rsidR="00611BDD" w:rsidRDefault="002E18C7">
            <w:pPr>
              <w:jc w:val="right"/>
              <w:textAlignment w:val="bottom"/>
            </w:pPr>
            <w:r>
              <w:rPr>
                <w:rFonts w:ascii="sans-serif" w:eastAsia="sans-serif" w:hAnsi="sans-serif" w:cs="sans-serif"/>
                <w:color w:val="000000"/>
                <w:sz w:val="20"/>
                <w:szCs w:val="20"/>
              </w:rPr>
              <w:t>1,152 </w:t>
            </w:r>
          </w:p>
        </w:tc>
        <w:tc>
          <w:tcPr>
            <w:tcW w:w="0" w:type="auto"/>
            <w:shd w:val="clear" w:color="auto" w:fill="E2EFD9"/>
            <w:tcMar>
              <w:top w:w="40" w:type="dxa"/>
              <w:left w:w="0" w:type="dxa"/>
              <w:bottom w:w="40" w:type="dxa"/>
              <w:right w:w="20" w:type="dxa"/>
            </w:tcMar>
            <w:vAlign w:val="bottom"/>
          </w:tcPr>
          <w:p w14:paraId="54066EC4" w14:textId="77777777" w:rsidR="00611BDD" w:rsidRDefault="00611BDD">
            <w:pPr>
              <w:jc w:val="right"/>
              <w:rPr>
                <w:rFonts w:ascii="宋体"/>
              </w:rPr>
            </w:pPr>
          </w:p>
        </w:tc>
      </w:tr>
      <w:tr w:rsidR="00611BDD" w14:paraId="54066ED0" w14:textId="77777777">
        <w:tc>
          <w:tcPr>
            <w:tcW w:w="0" w:type="auto"/>
            <w:gridSpan w:val="3"/>
            <w:shd w:val="clear" w:color="auto" w:fill="FFFFFF"/>
            <w:tcMar>
              <w:top w:w="40" w:type="dxa"/>
              <w:left w:w="20" w:type="dxa"/>
              <w:bottom w:w="40" w:type="dxa"/>
              <w:right w:w="20" w:type="dxa"/>
            </w:tcMar>
            <w:vAlign w:val="bottom"/>
          </w:tcPr>
          <w:p w14:paraId="54066EC6" w14:textId="77777777" w:rsidR="00611BDD" w:rsidRDefault="002E18C7">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3.50% Notes Due 2050</w:t>
            </w:r>
          </w:p>
        </w:tc>
        <w:tc>
          <w:tcPr>
            <w:tcW w:w="0" w:type="auto"/>
            <w:gridSpan w:val="3"/>
            <w:shd w:val="clear" w:color="auto" w:fill="FFFFFF"/>
            <w:tcMar>
              <w:top w:w="40" w:type="dxa"/>
              <w:left w:w="20" w:type="dxa"/>
              <w:bottom w:w="40" w:type="dxa"/>
              <w:right w:w="20" w:type="dxa"/>
            </w:tcMar>
            <w:vAlign w:val="bottom"/>
          </w:tcPr>
          <w:p w14:paraId="54066EC7" w14:textId="77777777" w:rsidR="00611BDD" w:rsidRDefault="002E18C7">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54066EC8"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EC9"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ECA" w14:textId="77777777" w:rsidR="00611BDD" w:rsidRDefault="002E18C7">
            <w:pPr>
              <w:jc w:val="right"/>
              <w:textAlignment w:val="bottom"/>
            </w:pPr>
            <w:r>
              <w:rPr>
                <w:rFonts w:ascii="sans-serif" w:eastAsia="sans-serif" w:hAnsi="sans-serif" w:cs="sans-serif"/>
                <w:color w:val="000000"/>
                <w:sz w:val="20"/>
                <w:szCs w:val="20"/>
              </w:rPr>
              <w:t>2,320 </w:t>
            </w:r>
          </w:p>
        </w:tc>
        <w:tc>
          <w:tcPr>
            <w:tcW w:w="0" w:type="auto"/>
            <w:shd w:val="clear" w:color="auto" w:fill="FFFFFF"/>
            <w:tcMar>
              <w:top w:w="40" w:type="dxa"/>
              <w:left w:w="0" w:type="dxa"/>
              <w:bottom w:w="40" w:type="dxa"/>
              <w:right w:w="20" w:type="dxa"/>
            </w:tcMar>
            <w:vAlign w:val="bottom"/>
          </w:tcPr>
          <w:p w14:paraId="54066ECB"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ECC"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6ECD"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6ECE" w14:textId="77777777" w:rsidR="00611BDD" w:rsidRDefault="002E18C7">
            <w:pPr>
              <w:jc w:val="right"/>
              <w:textAlignment w:val="bottom"/>
            </w:pPr>
            <w:r>
              <w:rPr>
                <w:rFonts w:ascii="sans-serif" w:eastAsia="sans-serif" w:hAnsi="sans-serif" w:cs="sans-serif"/>
                <w:color w:val="000000"/>
                <w:sz w:val="20"/>
                <w:szCs w:val="20"/>
              </w:rPr>
              <w:t>2,308 </w:t>
            </w:r>
          </w:p>
        </w:tc>
        <w:tc>
          <w:tcPr>
            <w:tcW w:w="0" w:type="auto"/>
            <w:shd w:val="clear" w:color="auto" w:fill="FFFFFF"/>
            <w:tcMar>
              <w:top w:w="40" w:type="dxa"/>
              <w:left w:w="0" w:type="dxa"/>
              <w:bottom w:w="40" w:type="dxa"/>
              <w:right w:w="20" w:type="dxa"/>
            </w:tcMar>
            <w:vAlign w:val="bottom"/>
          </w:tcPr>
          <w:p w14:paraId="54066ECF" w14:textId="77777777" w:rsidR="00611BDD" w:rsidRDefault="00611BDD">
            <w:pPr>
              <w:jc w:val="right"/>
              <w:rPr>
                <w:rFonts w:ascii="宋体"/>
              </w:rPr>
            </w:pPr>
          </w:p>
        </w:tc>
      </w:tr>
      <w:tr w:rsidR="00611BDD" w14:paraId="54066EDB" w14:textId="77777777">
        <w:tc>
          <w:tcPr>
            <w:tcW w:w="0" w:type="auto"/>
            <w:gridSpan w:val="3"/>
            <w:shd w:val="clear" w:color="auto" w:fill="E2EFD9"/>
            <w:tcMar>
              <w:top w:w="40" w:type="dxa"/>
              <w:left w:w="20" w:type="dxa"/>
              <w:bottom w:w="40" w:type="dxa"/>
              <w:right w:w="20" w:type="dxa"/>
            </w:tcMar>
            <w:vAlign w:val="bottom"/>
          </w:tcPr>
          <w:p w14:paraId="54066ED1" w14:textId="77777777" w:rsidR="00611BDD" w:rsidRDefault="002E18C7">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3.70% Notes Due 2060</w:t>
            </w:r>
          </w:p>
        </w:tc>
        <w:tc>
          <w:tcPr>
            <w:tcW w:w="0" w:type="auto"/>
            <w:gridSpan w:val="3"/>
            <w:shd w:val="clear" w:color="auto" w:fill="E2EFD9"/>
            <w:tcMar>
              <w:top w:w="40" w:type="dxa"/>
              <w:left w:w="20" w:type="dxa"/>
              <w:bottom w:w="40" w:type="dxa"/>
              <w:right w:w="20" w:type="dxa"/>
            </w:tcMar>
            <w:vAlign w:val="bottom"/>
          </w:tcPr>
          <w:p w14:paraId="54066ED2" w14:textId="77777777" w:rsidR="00611BDD" w:rsidRDefault="002E18C7">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54066ED3"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ED4"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ED5" w14:textId="77777777" w:rsidR="00611BDD" w:rsidRDefault="002E18C7">
            <w:pPr>
              <w:jc w:val="right"/>
              <w:textAlignment w:val="bottom"/>
            </w:pPr>
            <w:r>
              <w:rPr>
                <w:rFonts w:ascii="sans-serif" w:eastAsia="sans-serif" w:hAnsi="sans-serif" w:cs="sans-serif"/>
                <w:color w:val="000000"/>
                <w:sz w:val="20"/>
                <w:szCs w:val="20"/>
              </w:rPr>
              <w:t>603 </w:t>
            </w:r>
          </w:p>
        </w:tc>
        <w:tc>
          <w:tcPr>
            <w:tcW w:w="0" w:type="auto"/>
            <w:shd w:val="clear" w:color="auto" w:fill="E2EFD9"/>
            <w:tcMar>
              <w:top w:w="40" w:type="dxa"/>
              <w:left w:w="0" w:type="dxa"/>
              <w:bottom w:w="40" w:type="dxa"/>
              <w:right w:w="20" w:type="dxa"/>
            </w:tcMar>
            <w:vAlign w:val="bottom"/>
          </w:tcPr>
          <w:p w14:paraId="54066ED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ED7"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ED8"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ED9" w14:textId="77777777" w:rsidR="00611BDD" w:rsidRDefault="002E18C7">
            <w:pPr>
              <w:jc w:val="right"/>
              <w:textAlignment w:val="bottom"/>
            </w:pPr>
            <w:r>
              <w:rPr>
                <w:rFonts w:ascii="sans-serif" w:eastAsia="sans-serif" w:hAnsi="sans-serif" w:cs="sans-serif"/>
                <w:color w:val="000000"/>
                <w:sz w:val="20"/>
                <w:szCs w:val="20"/>
              </w:rPr>
              <w:t>602 </w:t>
            </w:r>
          </w:p>
        </w:tc>
        <w:tc>
          <w:tcPr>
            <w:tcW w:w="0" w:type="auto"/>
            <w:shd w:val="clear" w:color="auto" w:fill="E2EFD9"/>
            <w:tcMar>
              <w:top w:w="40" w:type="dxa"/>
              <w:left w:w="0" w:type="dxa"/>
              <w:bottom w:w="40" w:type="dxa"/>
              <w:right w:w="20" w:type="dxa"/>
            </w:tcMar>
            <w:vAlign w:val="bottom"/>
          </w:tcPr>
          <w:p w14:paraId="54066EDA" w14:textId="77777777" w:rsidR="00611BDD" w:rsidRDefault="00611BDD">
            <w:pPr>
              <w:jc w:val="right"/>
              <w:rPr>
                <w:rFonts w:ascii="宋体"/>
              </w:rPr>
            </w:pPr>
          </w:p>
        </w:tc>
      </w:tr>
    </w:tbl>
    <w:p w14:paraId="54066EDC" w14:textId="77777777" w:rsidR="00611BDD" w:rsidRDefault="002E18C7">
      <w:pPr>
        <w:pBdr>
          <w:left w:val="none" w:sz="0" w:space="0" w:color="auto"/>
        </w:pBdr>
        <w:spacing w:after="60"/>
        <w:ind w:hanging="360"/>
        <w:jc w:val="both"/>
      </w:pPr>
      <w:r>
        <w:rPr>
          <w:rFonts w:ascii="sans-serif" w:eastAsia="sans-serif" w:hAnsi="sans-serif" w:cs="sans-serif"/>
          <w:color w:val="000000"/>
          <w:sz w:val="16"/>
          <w:szCs w:val="16"/>
        </w:rPr>
        <w:t>(1)    Investment in a publicly-traded equity security subject to short-term selling restrictions. An unrealized loss on the investment of $6 million was recorded in other income (expense), net in the second quarter of fiscal year 2022 and an unrealized ga</w:t>
      </w:r>
      <w:r>
        <w:rPr>
          <w:rFonts w:ascii="sans-serif" w:eastAsia="sans-serif" w:hAnsi="sans-serif" w:cs="sans-serif"/>
          <w:color w:val="000000"/>
          <w:sz w:val="16"/>
          <w:szCs w:val="16"/>
        </w:rPr>
        <w:t xml:space="preserve">in of $118 million was recorded in other income (expense), net in the first half of fiscal year 2022. </w:t>
      </w:r>
    </w:p>
    <w:p w14:paraId="54066EDD" w14:textId="77777777" w:rsidR="00611BDD" w:rsidRDefault="002E18C7">
      <w:pPr>
        <w:pBdr>
          <w:left w:val="none" w:sz="0" w:space="0" w:color="auto"/>
        </w:pBdr>
        <w:spacing w:after="60"/>
        <w:ind w:hanging="360"/>
        <w:jc w:val="both"/>
      </w:pPr>
      <w:r>
        <w:rPr>
          <w:rFonts w:ascii="sans-serif" w:eastAsia="sans-serif" w:hAnsi="sans-serif" w:cs="sans-serif"/>
          <w:color w:val="000000"/>
          <w:sz w:val="16"/>
          <w:szCs w:val="16"/>
        </w:rPr>
        <w:t xml:space="preserve">(2)    Investment in private non-affiliated entities is recorded at fair value on a non-recurring basis only if an impairment or observable price </w:t>
      </w:r>
      <w:r>
        <w:rPr>
          <w:rFonts w:ascii="sans-serif" w:eastAsia="sans-serif" w:hAnsi="sans-serif" w:cs="sans-serif"/>
          <w:color w:val="000000"/>
          <w:sz w:val="16"/>
          <w:szCs w:val="16"/>
        </w:rPr>
        <w:t>adjustment occurs in the period with changes in fair value recorded through net income. The amount recorded as of August 1, 2021 has not been significant.</w:t>
      </w:r>
    </w:p>
    <w:p w14:paraId="54066EDE" w14:textId="77777777" w:rsidR="00611BDD" w:rsidRDefault="002E18C7">
      <w:pPr>
        <w:pBdr>
          <w:left w:val="none" w:sz="0" w:space="0" w:color="auto"/>
        </w:pBdr>
        <w:spacing w:after="60"/>
        <w:ind w:hanging="360"/>
        <w:jc w:val="both"/>
      </w:pPr>
      <w:r>
        <w:rPr>
          <w:rFonts w:ascii="sans-serif" w:eastAsia="sans-serif" w:hAnsi="sans-serif" w:cs="sans-serif"/>
          <w:color w:val="000000"/>
          <w:sz w:val="16"/>
          <w:szCs w:val="16"/>
        </w:rPr>
        <w:t>(3)    These liabilities are carried on our Consolidated Balance Sheets at their original issuance va</w:t>
      </w:r>
      <w:r>
        <w:rPr>
          <w:rFonts w:ascii="sans-serif" w:eastAsia="sans-serif" w:hAnsi="sans-serif" w:cs="sans-serif"/>
          <w:color w:val="000000"/>
          <w:sz w:val="16"/>
          <w:szCs w:val="16"/>
        </w:rPr>
        <w:t>lue, net of unamortized debt discount and issuance costs, and are not marked to fair value each period. Refer to Note 12 of the Notes to Condensed Consolidated Financial Statements for additional information.</w:t>
      </w:r>
    </w:p>
    <w:p w14:paraId="54066EDF" w14:textId="77777777" w:rsidR="00611BDD" w:rsidRDefault="002E18C7">
      <w:pPr>
        <w:spacing w:after="180"/>
        <w:jc w:val="center"/>
      </w:pPr>
      <w:r>
        <w:rPr>
          <w:rFonts w:ascii="sans-serif" w:eastAsia="sans-serif" w:hAnsi="sans-serif" w:cs="sans-serif"/>
          <w:color w:val="000000"/>
          <w:sz w:val="20"/>
          <w:szCs w:val="20"/>
        </w:rPr>
        <w:t>15</w:t>
      </w:r>
    </w:p>
    <w:p w14:paraId="54066EE0" w14:textId="77777777" w:rsidR="00611BDD" w:rsidRDefault="002E18C7">
      <w:r>
        <w:pict w14:anchorId="54067C33">
          <v:rect id="_x0000_i1039" style="width:415.3pt;height:1.5pt" o:hralign="center" o:hrstd="t" o:hr="t" fillcolor="#a0a0a0" stroked="f"/>
        </w:pict>
      </w:r>
    </w:p>
    <w:p w14:paraId="54066EE1" w14:textId="77777777" w:rsidR="00611BDD" w:rsidRDefault="002E18C7">
      <w:pPr>
        <w:jc w:val="center"/>
      </w:pPr>
      <w:r>
        <w:rPr>
          <w:rFonts w:ascii="sans-serif" w:eastAsia="sans-serif" w:hAnsi="sans-serif" w:cs="sans-serif"/>
          <w:b/>
          <w:bCs/>
          <w:color w:val="000000"/>
          <w:sz w:val="20"/>
          <w:szCs w:val="20"/>
        </w:rPr>
        <w:t>NVIDIA CORPORATION AND SUBSIDIARIES</w:t>
      </w:r>
    </w:p>
    <w:p w14:paraId="54066EE2" w14:textId="77777777" w:rsidR="00611BDD" w:rsidRDefault="002E18C7">
      <w:pPr>
        <w:jc w:val="center"/>
      </w:pPr>
      <w:r>
        <w:rPr>
          <w:rFonts w:ascii="sans-serif" w:eastAsia="sans-serif" w:hAnsi="sans-serif" w:cs="sans-serif"/>
          <w:b/>
          <w:bCs/>
          <w:color w:val="000000"/>
          <w:sz w:val="20"/>
          <w:szCs w:val="20"/>
        </w:rPr>
        <w:t xml:space="preserve">NOTES </w:t>
      </w:r>
      <w:r>
        <w:rPr>
          <w:rFonts w:ascii="sans-serif" w:eastAsia="sans-serif" w:hAnsi="sans-serif" w:cs="sans-serif"/>
          <w:b/>
          <w:bCs/>
          <w:color w:val="000000"/>
          <w:sz w:val="20"/>
          <w:szCs w:val="20"/>
        </w:rPr>
        <w:t>TO CONDENSED CONSOLIDATED FINANCIAL STATEMENTS (Continued)</w:t>
      </w:r>
    </w:p>
    <w:p w14:paraId="54066EE3" w14:textId="77777777" w:rsidR="00611BDD" w:rsidRDefault="002E18C7">
      <w:pPr>
        <w:jc w:val="center"/>
      </w:pPr>
      <w:r>
        <w:rPr>
          <w:rFonts w:ascii="sans-serif" w:eastAsia="sans-serif" w:hAnsi="sans-serif" w:cs="sans-serif"/>
          <w:b/>
          <w:bCs/>
          <w:color w:val="000000"/>
          <w:sz w:val="20"/>
          <w:szCs w:val="20"/>
        </w:rPr>
        <w:t>(Unaudited)</w:t>
      </w:r>
    </w:p>
    <w:p w14:paraId="54066EE4" w14:textId="77777777" w:rsidR="00611BDD" w:rsidRDefault="00611BDD">
      <w:pPr>
        <w:spacing w:after="180"/>
        <w:jc w:val="both"/>
      </w:pPr>
    </w:p>
    <w:p w14:paraId="54066EE5" w14:textId="77777777" w:rsidR="00611BDD" w:rsidRDefault="00611BDD">
      <w:pPr>
        <w:spacing w:after="180"/>
        <w:jc w:val="both"/>
      </w:pPr>
    </w:p>
    <w:p w14:paraId="54066EE6" w14:textId="77777777" w:rsidR="00611BDD" w:rsidRDefault="002E18C7">
      <w:pPr>
        <w:spacing w:before="240" w:after="120"/>
        <w:jc w:val="both"/>
      </w:pPr>
      <w:r>
        <w:rPr>
          <w:rFonts w:ascii="sans-serif" w:eastAsia="sans-serif" w:hAnsi="sans-serif" w:cs="sans-serif"/>
          <w:b/>
          <w:bCs/>
          <w:color w:val="76B900"/>
          <w:sz w:val="22"/>
          <w:szCs w:val="22"/>
        </w:rPr>
        <w:t>Note 9 - Amortizable Intangible Assets and Goodwill</w:t>
      </w:r>
    </w:p>
    <w:p w14:paraId="54066EE7" w14:textId="77777777" w:rsidR="00611BDD" w:rsidRDefault="002E18C7">
      <w:pPr>
        <w:spacing w:after="180"/>
        <w:jc w:val="both"/>
      </w:pPr>
      <w:r>
        <w:rPr>
          <w:rFonts w:ascii="sans-serif" w:eastAsia="sans-serif" w:hAnsi="sans-serif" w:cs="sans-serif"/>
          <w:color w:val="000000"/>
          <w:sz w:val="20"/>
          <w:szCs w:val="20"/>
        </w:rPr>
        <w:t>The components of our amortizable intangible assets are as follows:</w:t>
      </w:r>
    </w:p>
    <w:tbl>
      <w:tblPr>
        <w:tblW w:w="4963" w:type="pct"/>
        <w:tblCellMar>
          <w:top w:w="15" w:type="dxa"/>
          <w:left w:w="15" w:type="dxa"/>
          <w:bottom w:w="15" w:type="dxa"/>
          <w:right w:w="15" w:type="dxa"/>
        </w:tblCellMar>
        <w:tblLook w:val="04A0" w:firstRow="1" w:lastRow="0" w:firstColumn="1" w:lastColumn="0" w:noHBand="0" w:noVBand="1"/>
      </w:tblPr>
      <w:tblGrid>
        <w:gridCol w:w="75"/>
        <w:gridCol w:w="1477"/>
        <w:gridCol w:w="36"/>
        <w:gridCol w:w="121"/>
        <w:gridCol w:w="656"/>
        <w:gridCol w:w="36"/>
        <w:gridCol w:w="40"/>
        <w:gridCol w:w="32"/>
        <w:gridCol w:w="36"/>
        <w:gridCol w:w="121"/>
        <w:gridCol w:w="1012"/>
        <w:gridCol w:w="36"/>
        <w:gridCol w:w="40"/>
        <w:gridCol w:w="32"/>
        <w:gridCol w:w="36"/>
        <w:gridCol w:w="121"/>
        <w:gridCol w:w="965"/>
        <w:gridCol w:w="36"/>
        <w:gridCol w:w="40"/>
        <w:gridCol w:w="32"/>
        <w:gridCol w:w="36"/>
        <w:gridCol w:w="121"/>
        <w:gridCol w:w="656"/>
        <w:gridCol w:w="36"/>
        <w:gridCol w:w="40"/>
        <w:gridCol w:w="32"/>
        <w:gridCol w:w="36"/>
        <w:gridCol w:w="121"/>
        <w:gridCol w:w="1012"/>
        <w:gridCol w:w="36"/>
        <w:gridCol w:w="40"/>
        <w:gridCol w:w="32"/>
        <w:gridCol w:w="36"/>
        <w:gridCol w:w="121"/>
        <w:gridCol w:w="965"/>
        <w:gridCol w:w="36"/>
      </w:tblGrid>
      <w:tr w:rsidR="00611BDD" w14:paraId="54066F0C" w14:textId="77777777">
        <w:tc>
          <w:tcPr>
            <w:tcW w:w="50" w:type="pct"/>
            <w:shd w:val="clear" w:color="auto" w:fill="auto"/>
            <w:vAlign w:val="bottom"/>
          </w:tcPr>
          <w:p w14:paraId="54066EE8" w14:textId="77777777" w:rsidR="00611BDD" w:rsidRDefault="00611BDD">
            <w:pPr>
              <w:rPr>
                <w:rFonts w:ascii="宋体"/>
              </w:rPr>
            </w:pPr>
          </w:p>
        </w:tc>
        <w:tc>
          <w:tcPr>
            <w:tcW w:w="1005" w:type="pct"/>
            <w:shd w:val="clear" w:color="auto" w:fill="auto"/>
            <w:vAlign w:val="bottom"/>
          </w:tcPr>
          <w:p w14:paraId="54066EE9" w14:textId="77777777" w:rsidR="00611BDD" w:rsidRDefault="00611BDD">
            <w:pPr>
              <w:rPr>
                <w:rFonts w:ascii="宋体"/>
              </w:rPr>
            </w:pPr>
          </w:p>
        </w:tc>
        <w:tc>
          <w:tcPr>
            <w:tcW w:w="5" w:type="pct"/>
            <w:shd w:val="clear" w:color="auto" w:fill="auto"/>
            <w:vAlign w:val="bottom"/>
          </w:tcPr>
          <w:p w14:paraId="54066EEA" w14:textId="77777777" w:rsidR="00611BDD" w:rsidRDefault="00611BDD">
            <w:pPr>
              <w:rPr>
                <w:rFonts w:ascii="宋体"/>
              </w:rPr>
            </w:pPr>
          </w:p>
        </w:tc>
        <w:tc>
          <w:tcPr>
            <w:tcW w:w="50" w:type="pct"/>
            <w:shd w:val="clear" w:color="auto" w:fill="auto"/>
            <w:vAlign w:val="bottom"/>
          </w:tcPr>
          <w:p w14:paraId="54066EEB" w14:textId="77777777" w:rsidR="00611BDD" w:rsidRDefault="00611BDD">
            <w:pPr>
              <w:rPr>
                <w:rFonts w:ascii="宋体"/>
              </w:rPr>
            </w:pPr>
          </w:p>
        </w:tc>
        <w:tc>
          <w:tcPr>
            <w:tcW w:w="570" w:type="pct"/>
            <w:shd w:val="clear" w:color="auto" w:fill="auto"/>
            <w:vAlign w:val="bottom"/>
          </w:tcPr>
          <w:p w14:paraId="54066EEC" w14:textId="77777777" w:rsidR="00611BDD" w:rsidRDefault="00611BDD">
            <w:pPr>
              <w:rPr>
                <w:rFonts w:ascii="宋体"/>
              </w:rPr>
            </w:pPr>
          </w:p>
        </w:tc>
        <w:tc>
          <w:tcPr>
            <w:tcW w:w="5" w:type="pct"/>
            <w:shd w:val="clear" w:color="auto" w:fill="auto"/>
            <w:vAlign w:val="bottom"/>
          </w:tcPr>
          <w:p w14:paraId="54066EED" w14:textId="77777777" w:rsidR="00611BDD" w:rsidRDefault="00611BDD">
            <w:pPr>
              <w:rPr>
                <w:rFonts w:ascii="宋体"/>
              </w:rPr>
            </w:pPr>
          </w:p>
        </w:tc>
        <w:tc>
          <w:tcPr>
            <w:tcW w:w="5" w:type="pct"/>
            <w:shd w:val="clear" w:color="auto" w:fill="auto"/>
            <w:vAlign w:val="bottom"/>
          </w:tcPr>
          <w:p w14:paraId="54066EEE" w14:textId="77777777" w:rsidR="00611BDD" w:rsidRDefault="00611BDD">
            <w:pPr>
              <w:rPr>
                <w:rFonts w:ascii="宋体"/>
              </w:rPr>
            </w:pPr>
          </w:p>
        </w:tc>
        <w:tc>
          <w:tcPr>
            <w:tcW w:w="26" w:type="pct"/>
            <w:shd w:val="clear" w:color="auto" w:fill="auto"/>
            <w:vAlign w:val="bottom"/>
          </w:tcPr>
          <w:p w14:paraId="54066EEF" w14:textId="77777777" w:rsidR="00611BDD" w:rsidRDefault="00611BDD">
            <w:pPr>
              <w:rPr>
                <w:rFonts w:ascii="宋体"/>
              </w:rPr>
            </w:pPr>
          </w:p>
        </w:tc>
        <w:tc>
          <w:tcPr>
            <w:tcW w:w="5" w:type="pct"/>
            <w:shd w:val="clear" w:color="auto" w:fill="auto"/>
            <w:vAlign w:val="bottom"/>
          </w:tcPr>
          <w:p w14:paraId="54066EF0" w14:textId="77777777" w:rsidR="00611BDD" w:rsidRDefault="00611BDD">
            <w:pPr>
              <w:rPr>
                <w:rFonts w:ascii="宋体"/>
              </w:rPr>
            </w:pPr>
          </w:p>
        </w:tc>
        <w:tc>
          <w:tcPr>
            <w:tcW w:w="50" w:type="pct"/>
            <w:shd w:val="clear" w:color="auto" w:fill="auto"/>
            <w:vAlign w:val="bottom"/>
          </w:tcPr>
          <w:p w14:paraId="54066EF1" w14:textId="77777777" w:rsidR="00611BDD" w:rsidRDefault="00611BDD">
            <w:pPr>
              <w:rPr>
                <w:rFonts w:ascii="宋体"/>
              </w:rPr>
            </w:pPr>
          </w:p>
        </w:tc>
        <w:tc>
          <w:tcPr>
            <w:tcW w:w="570" w:type="pct"/>
            <w:shd w:val="clear" w:color="auto" w:fill="auto"/>
            <w:vAlign w:val="bottom"/>
          </w:tcPr>
          <w:p w14:paraId="54066EF2" w14:textId="77777777" w:rsidR="00611BDD" w:rsidRDefault="00611BDD">
            <w:pPr>
              <w:rPr>
                <w:rFonts w:ascii="宋体"/>
              </w:rPr>
            </w:pPr>
          </w:p>
        </w:tc>
        <w:tc>
          <w:tcPr>
            <w:tcW w:w="5" w:type="pct"/>
            <w:shd w:val="clear" w:color="auto" w:fill="auto"/>
            <w:vAlign w:val="bottom"/>
          </w:tcPr>
          <w:p w14:paraId="54066EF3" w14:textId="77777777" w:rsidR="00611BDD" w:rsidRDefault="00611BDD">
            <w:pPr>
              <w:rPr>
                <w:rFonts w:ascii="宋体"/>
              </w:rPr>
            </w:pPr>
          </w:p>
        </w:tc>
        <w:tc>
          <w:tcPr>
            <w:tcW w:w="5" w:type="pct"/>
            <w:shd w:val="clear" w:color="auto" w:fill="auto"/>
            <w:vAlign w:val="bottom"/>
          </w:tcPr>
          <w:p w14:paraId="54066EF4" w14:textId="77777777" w:rsidR="00611BDD" w:rsidRDefault="00611BDD">
            <w:pPr>
              <w:rPr>
                <w:rFonts w:ascii="宋体"/>
              </w:rPr>
            </w:pPr>
          </w:p>
        </w:tc>
        <w:tc>
          <w:tcPr>
            <w:tcW w:w="26" w:type="pct"/>
            <w:shd w:val="clear" w:color="auto" w:fill="auto"/>
            <w:vAlign w:val="bottom"/>
          </w:tcPr>
          <w:p w14:paraId="54066EF5" w14:textId="77777777" w:rsidR="00611BDD" w:rsidRDefault="00611BDD">
            <w:pPr>
              <w:rPr>
                <w:rFonts w:ascii="宋体"/>
              </w:rPr>
            </w:pPr>
          </w:p>
        </w:tc>
        <w:tc>
          <w:tcPr>
            <w:tcW w:w="5" w:type="pct"/>
            <w:shd w:val="clear" w:color="auto" w:fill="auto"/>
            <w:vAlign w:val="bottom"/>
          </w:tcPr>
          <w:p w14:paraId="54066EF6" w14:textId="77777777" w:rsidR="00611BDD" w:rsidRDefault="00611BDD">
            <w:pPr>
              <w:rPr>
                <w:rFonts w:ascii="宋体"/>
              </w:rPr>
            </w:pPr>
          </w:p>
        </w:tc>
        <w:tc>
          <w:tcPr>
            <w:tcW w:w="50" w:type="pct"/>
            <w:shd w:val="clear" w:color="auto" w:fill="auto"/>
            <w:vAlign w:val="bottom"/>
          </w:tcPr>
          <w:p w14:paraId="54066EF7" w14:textId="77777777" w:rsidR="00611BDD" w:rsidRDefault="00611BDD">
            <w:pPr>
              <w:rPr>
                <w:rFonts w:ascii="宋体"/>
              </w:rPr>
            </w:pPr>
          </w:p>
        </w:tc>
        <w:tc>
          <w:tcPr>
            <w:tcW w:w="570" w:type="pct"/>
            <w:shd w:val="clear" w:color="auto" w:fill="auto"/>
            <w:vAlign w:val="bottom"/>
          </w:tcPr>
          <w:p w14:paraId="54066EF8" w14:textId="77777777" w:rsidR="00611BDD" w:rsidRDefault="00611BDD">
            <w:pPr>
              <w:rPr>
                <w:rFonts w:ascii="宋体"/>
              </w:rPr>
            </w:pPr>
          </w:p>
        </w:tc>
        <w:tc>
          <w:tcPr>
            <w:tcW w:w="5" w:type="pct"/>
            <w:shd w:val="clear" w:color="auto" w:fill="auto"/>
            <w:vAlign w:val="bottom"/>
          </w:tcPr>
          <w:p w14:paraId="54066EF9" w14:textId="77777777" w:rsidR="00611BDD" w:rsidRDefault="00611BDD">
            <w:pPr>
              <w:rPr>
                <w:rFonts w:ascii="宋体"/>
              </w:rPr>
            </w:pPr>
          </w:p>
        </w:tc>
        <w:tc>
          <w:tcPr>
            <w:tcW w:w="5" w:type="pct"/>
            <w:shd w:val="clear" w:color="auto" w:fill="auto"/>
            <w:vAlign w:val="bottom"/>
          </w:tcPr>
          <w:p w14:paraId="54066EFA" w14:textId="77777777" w:rsidR="00611BDD" w:rsidRDefault="00611BDD">
            <w:pPr>
              <w:rPr>
                <w:rFonts w:ascii="宋体"/>
              </w:rPr>
            </w:pPr>
          </w:p>
        </w:tc>
        <w:tc>
          <w:tcPr>
            <w:tcW w:w="26" w:type="pct"/>
            <w:shd w:val="clear" w:color="auto" w:fill="auto"/>
            <w:vAlign w:val="bottom"/>
          </w:tcPr>
          <w:p w14:paraId="54066EFB" w14:textId="77777777" w:rsidR="00611BDD" w:rsidRDefault="00611BDD">
            <w:pPr>
              <w:rPr>
                <w:rFonts w:ascii="宋体"/>
              </w:rPr>
            </w:pPr>
          </w:p>
        </w:tc>
        <w:tc>
          <w:tcPr>
            <w:tcW w:w="5" w:type="pct"/>
            <w:shd w:val="clear" w:color="auto" w:fill="auto"/>
            <w:vAlign w:val="bottom"/>
          </w:tcPr>
          <w:p w14:paraId="54066EFC" w14:textId="77777777" w:rsidR="00611BDD" w:rsidRDefault="00611BDD">
            <w:pPr>
              <w:rPr>
                <w:rFonts w:ascii="宋体"/>
              </w:rPr>
            </w:pPr>
          </w:p>
        </w:tc>
        <w:tc>
          <w:tcPr>
            <w:tcW w:w="50" w:type="pct"/>
            <w:shd w:val="clear" w:color="auto" w:fill="auto"/>
            <w:vAlign w:val="bottom"/>
          </w:tcPr>
          <w:p w14:paraId="54066EFD" w14:textId="77777777" w:rsidR="00611BDD" w:rsidRDefault="00611BDD">
            <w:pPr>
              <w:rPr>
                <w:rFonts w:ascii="宋体"/>
              </w:rPr>
            </w:pPr>
          </w:p>
        </w:tc>
        <w:tc>
          <w:tcPr>
            <w:tcW w:w="570" w:type="pct"/>
            <w:shd w:val="clear" w:color="auto" w:fill="auto"/>
            <w:vAlign w:val="bottom"/>
          </w:tcPr>
          <w:p w14:paraId="54066EFE" w14:textId="77777777" w:rsidR="00611BDD" w:rsidRDefault="00611BDD">
            <w:pPr>
              <w:rPr>
                <w:rFonts w:ascii="宋体"/>
              </w:rPr>
            </w:pPr>
          </w:p>
        </w:tc>
        <w:tc>
          <w:tcPr>
            <w:tcW w:w="5" w:type="pct"/>
            <w:shd w:val="clear" w:color="auto" w:fill="auto"/>
            <w:vAlign w:val="bottom"/>
          </w:tcPr>
          <w:p w14:paraId="54066EFF" w14:textId="77777777" w:rsidR="00611BDD" w:rsidRDefault="00611BDD">
            <w:pPr>
              <w:rPr>
                <w:rFonts w:ascii="宋体"/>
              </w:rPr>
            </w:pPr>
          </w:p>
        </w:tc>
        <w:tc>
          <w:tcPr>
            <w:tcW w:w="5" w:type="pct"/>
            <w:shd w:val="clear" w:color="auto" w:fill="auto"/>
            <w:vAlign w:val="bottom"/>
          </w:tcPr>
          <w:p w14:paraId="54066F00" w14:textId="77777777" w:rsidR="00611BDD" w:rsidRDefault="00611BDD">
            <w:pPr>
              <w:rPr>
                <w:rFonts w:ascii="宋体"/>
              </w:rPr>
            </w:pPr>
          </w:p>
        </w:tc>
        <w:tc>
          <w:tcPr>
            <w:tcW w:w="26" w:type="pct"/>
            <w:shd w:val="clear" w:color="auto" w:fill="auto"/>
            <w:vAlign w:val="bottom"/>
          </w:tcPr>
          <w:p w14:paraId="54066F01" w14:textId="77777777" w:rsidR="00611BDD" w:rsidRDefault="00611BDD">
            <w:pPr>
              <w:rPr>
                <w:rFonts w:ascii="宋体"/>
              </w:rPr>
            </w:pPr>
          </w:p>
        </w:tc>
        <w:tc>
          <w:tcPr>
            <w:tcW w:w="5" w:type="pct"/>
            <w:shd w:val="clear" w:color="auto" w:fill="auto"/>
            <w:vAlign w:val="bottom"/>
          </w:tcPr>
          <w:p w14:paraId="54066F02" w14:textId="77777777" w:rsidR="00611BDD" w:rsidRDefault="00611BDD">
            <w:pPr>
              <w:rPr>
                <w:rFonts w:ascii="宋体"/>
              </w:rPr>
            </w:pPr>
          </w:p>
        </w:tc>
        <w:tc>
          <w:tcPr>
            <w:tcW w:w="50" w:type="pct"/>
            <w:shd w:val="clear" w:color="auto" w:fill="auto"/>
            <w:vAlign w:val="bottom"/>
          </w:tcPr>
          <w:p w14:paraId="54066F03" w14:textId="77777777" w:rsidR="00611BDD" w:rsidRDefault="00611BDD">
            <w:pPr>
              <w:rPr>
                <w:rFonts w:ascii="宋体"/>
              </w:rPr>
            </w:pPr>
          </w:p>
        </w:tc>
        <w:tc>
          <w:tcPr>
            <w:tcW w:w="570" w:type="pct"/>
            <w:shd w:val="clear" w:color="auto" w:fill="auto"/>
            <w:vAlign w:val="bottom"/>
          </w:tcPr>
          <w:p w14:paraId="54066F04" w14:textId="77777777" w:rsidR="00611BDD" w:rsidRDefault="00611BDD">
            <w:pPr>
              <w:rPr>
                <w:rFonts w:ascii="宋体"/>
              </w:rPr>
            </w:pPr>
          </w:p>
        </w:tc>
        <w:tc>
          <w:tcPr>
            <w:tcW w:w="5" w:type="pct"/>
            <w:shd w:val="clear" w:color="auto" w:fill="auto"/>
            <w:vAlign w:val="bottom"/>
          </w:tcPr>
          <w:p w14:paraId="54066F05" w14:textId="77777777" w:rsidR="00611BDD" w:rsidRDefault="00611BDD">
            <w:pPr>
              <w:rPr>
                <w:rFonts w:ascii="宋体"/>
              </w:rPr>
            </w:pPr>
          </w:p>
        </w:tc>
        <w:tc>
          <w:tcPr>
            <w:tcW w:w="5" w:type="pct"/>
            <w:shd w:val="clear" w:color="auto" w:fill="auto"/>
            <w:vAlign w:val="bottom"/>
          </w:tcPr>
          <w:p w14:paraId="54066F06" w14:textId="77777777" w:rsidR="00611BDD" w:rsidRDefault="00611BDD">
            <w:pPr>
              <w:rPr>
                <w:rFonts w:ascii="宋体"/>
              </w:rPr>
            </w:pPr>
          </w:p>
        </w:tc>
        <w:tc>
          <w:tcPr>
            <w:tcW w:w="26" w:type="pct"/>
            <w:shd w:val="clear" w:color="auto" w:fill="auto"/>
            <w:vAlign w:val="bottom"/>
          </w:tcPr>
          <w:p w14:paraId="54066F07" w14:textId="77777777" w:rsidR="00611BDD" w:rsidRDefault="00611BDD">
            <w:pPr>
              <w:rPr>
                <w:rFonts w:ascii="宋体"/>
              </w:rPr>
            </w:pPr>
          </w:p>
        </w:tc>
        <w:tc>
          <w:tcPr>
            <w:tcW w:w="5" w:type="pct"/>
            <w:shd w:val="clear" w:color="auto" w:fill="auto"/>
            <w:vAlign w:val="bottom"/>
          </w:tcPr>
          <w:p w14:paraId="54066F08" w14:textId="77777777" w:rsidR="00611BDD" w:rsidRDefault="00611BDD">
            <w:pPr>
              <w:rPr>
                <w:rFonts w:ascii="宋体"/>
              </w:rPr>
            </w:pPr>
          </w:p>
        </w:tc>
        <w:tc>
          <w:tcPr>
            <w:tcW w:w="50" w:type="pct"/>
            <w:shd w:val="clear" w:color="auto" w:fill="auto"/>
            <w:vAlign w:val="bottom"/>
          </w:tcPr>
          <w:p w14:paraId="54066F09" w14:textId="77777777" w:rsidR="00611BDD" w:rsidRDefault="00611BDD">
            <w:pPr>
              <w:rPr>
                <w:rFonts w:ascii="宋体"/>
              </w:rPr>
            </w:pPr>
          </w:p>
        </w:tc>
        <w:tc>
          <w:tcPr>
            <w:tcW w:w="571" w:type="pct"/>
            <w:shd w:val="clear" w:color="auto" w:fill="auto"/>
            <w:vAlign w:val="bottom"/>
          </w:tcPr>
          <w:p w14:paraId="54066F0A" w14:textId="77777777" w:rsidR="00611BDD" w:rsidRDefault="00611BDD">
            <w:pPr>
              <w:rPr>
                <w:rFonts w:ascii="宋体"/>
              </w:rPr>
            </w:pPr>
          </w:p>
        </w:tc>
        <w:tc>
          <w:tcPr>
            <w:tcW w:w="5" w:type="pct"/>
            <w:shd w:val="clear" w:color="auto" w:fill="auto"/>
            <w:vAlign w:val="bottom"/>
          </w:tcPr>
          <w:p w14:paraId="54066F0B" w14:textId="77777777" w:rsidR="00611BDD" w:rsidRDefault="00611BDD">
            <w:pPr>
              <w:rPr>
                <w:rFonts w:ascii="宋体"/>
              </w:rPr>
            </w:pPr>
          </w:p>
        </w:tc>
      </w:tr>
      <w:tr w:rsidR="00611BDD" w14:paraId="54066F11" w14:textId="77777777">
        <w:tc>
          <w:tcPr>
            <w:tcW w:w="0" w:type="auto"/>
            <w:gridSpan w:val="3"/>
            <w:shd w:val="clear" w:color="auto" w:fill="auto"/>
            <w:tcMar>
              <w:top w:w="40" w:type="dxa"/>
              <w:left w:w="20" w:type="dxa"/>
              <w:bottom w:w="40" w:type="dxa"/>
              <w:right w:w="20" w:type="dxa"/>
            </w:tcMar>
            <w:vAlign w:val="bottom"/>
          </w:tcPr>
          <w:p w14:paraId="54066F0D" w14:textId="77777777" w:rsidR="00611BDD" w:rsidRDefault="002E18C7">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54066F0E" w14:textId="77777777" w:rsidR="00611BDD" w:rsidRDefault="002E18C7">
            <w:pPr>
              <w:jc w:val="center"/>
              <w:textAlignment w:val="bottom"/>
            </w:pPr>
            <w:r>
              <w:rPr>
                <w:rFonts w:ascii="sans-serif" w:eastAsia="sans-serif" w:hAnsi="sans-serif" w:cs="sans-serif"/>
                <w:b/>
                <w:bCs/>
                <w:color w:val="000000"/>
                <w:sz w:val="20"/>
                <w:szCs w:val="20"/>
              </w:rPr>
              <w:t>August 1, 2021</w:t>
            </w:r>
          </w:p>
        </w:tc>
        <w:tc>
          <w:tcPr>
            <w:tcW w:w="0" w:type="auto"/>
            <w:gridSpan w:val="3"/>
            <w:shd w:val="clear" w:color="auto" w:fill="auto"/>
            <w:tcMar>
              <w:top w:w="0" w:type="dxa"/>
              <w:left w:w="20" w:type="dxa"/>
              <w:bottom w:w="0" w:type="dxa"/>
              <w:right w:w="20" w:type="dxa"/>
            </w:tcMar>
            <w:vAlign w:val="bottom"/>
          </w:tcPr>
          <w:p w14:paraId="54066F0F" w14:textId="77777777" w:rsidR="00611BDD" w:rsidRDefault="00611BDD">
            <w:pPr>
              <w:rPr>
                <w:rFonts w:ascii="宋体"/>
              </w:rPr>
            </w:pPr>
          </w:p>
        </w:tc>
        <w:tc>
          <w:tcPr>
            <w:tcW w:w="0" w:type="auto"/>
            <w:gridSpan w:val="15"/>
            <w:shd w:val="clear" w:color="auto" w:fill="auto"/>
            <w:tcMar>
              <w:top w:w="40" w:type="dxa"/>
              <w:left w:w="20" w:type="dxa"/>
              <w:bottom w:w="40" w:type="dxa"/>
              <w:right w:w="20" w:type="dxa"/>
            </w:tcMar>
            <w:vAlign w:val="bottom"/>
          </w:tcPr>
          <w:p w14:paraId="54066F10" w14:textId="77777777" w:rsidR="00611BDD" w:rsidRDefault="002E18C7">
            <w:pPr>
              <w:jc w:val="center"/>
              <w:textAlignment w:val="bottom"/>
            </w:pPr>
            <w:r>
              <w:rPr>
                <w:rFonts w:ascii="sans-serif" w:eastAsia="sans-serif" w:hAnsi="sans-serif" w:cs="sans-serif"/>
                <w:b/>
                <w:bCs/>
                <w:color w:val="000000"/>
                <w:sz w:val="20"/>
                <w:szCs w:val="20"/>
              </w:rPr>
              <w:t>January 31, 2021</w:t>
            </w:r>
          </w:p>
        </w:tc>
      </w:tr>
      <w:tr w:rsidR="00611BDD" w14:paraId="54066F1E" w14:textId="77777777">
        <w:tc>
          <w:tcPr>
            <w:tcW w:w="0" w:type="auto"/>
            <w:gridSpan w:val="3"/>
            <w:shd w:val="clear" w:color="auto" w:fill="auto"/>
            <w:tcMar>
              <w:top w:w="40" w:type="dxa"/>
              <w:left w:w="20" w:type="dxa"/>
              <w:bottom w:w="40" w:type="dxa"/>
              <w:right w:w="20" w:type="dxa"/>
            </w:tcMar>
            <w:vAlign w:val="bottom"/>
          </w:tcPr>
          <w:p w14:paraId="54066F12"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F13" w14:textId="77777777" w:rsidR="00611BDD" w:rsidRDefault="002E18C7">
            <w:pPr>
              <w:jc w:val="center"/>
              <w:textAlignment w:val="bottom"/>
            </w:pPr>
            <w:r>
              <w:rPr>
                <w:rFonts w:ascii="sans-serif" w:eastAsia="sans-serif" w:hAnsi="sans-serif" w:cs="sans-serif"/>
                <w:b/>
                <w:bCs/>
                <w:color w:val="000000"/>
                <w:sz w:val="20"/>
                <w:szCs w:val="20"/>
              </w:rPr>
              <w:t>Gross</w:t>
            </w:r>
            <w:r>
              <w:rPr>
                <w:rFonts w:ascii="sans-serif" w:eastAsia="sans-serif" w:hAnsi="sans-serif" w:cs="sans-serif"/>
                <w:b/>
                <w:bCs/>
                <w:color w:val="000000"/>
                <w:sz w:val="20"/>
                <w:szCs w:val="20"/>
              </w:rPr>
              <w:br/>
              <w:t>Carrying</w:t>
            </w:r>
            <w:r>
              <w:rPr>
                <w:rFonts w:ascii="sans-serif" w:eastAsia="sans-serif" w:hAnsi="sans-serif" w:cs="sans-serif"/>
                <w:b/>
                <w:bCs/>
                <w:color w:val="000000"/>
                <w:sz w:val="20"/>
                <w:szCs w:val="20"/>
              </w:rPr>
              <w:b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F14"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F15" w14:textId="77777777" w:rsidR="00611BDD" w:rsidRDefault="002E18C7">
            <w:pPr>
              <w:jc w:val="center"/>
              <w:textAlignment w:val="bottom"/>
            </w:pPr>
            <w:r>
              <w:rPr>
                <w:rFonts w:ascii="sans-serif" w:eastAsia="sans-serif" w:hAnsi="sans-serif" w:cs="sans-serif"/>
                <w:b/>
                <w:bCs/>
                <w:color w:val="000000"/>
                <w:sz w:val="20"/>
                <w:szCs w:val="20"/>
              </w:rPr>
              <w:t>Accumulated</w:t>
            </w:r>
            <w:r>
              <w:rPr>
                <w:rFonts w:ascii="sans-serif" w:eastAsia="sans-serif" w:hAnsi="sans-serif" w:cs="sans-serif"/>
                <w:b/>
                <w:bCs/>
                <w:color w:val="000000"/>
                <w:sz w:val="20"/>
                <w:szCs w:val="20"/>
              </w:rPr>
              <w:br/>
              <w:t>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F16"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F17" w14:textId="77777777" w:rsidR="00611BDD" w:rsidRDefault="002E18C7">
            <w:pPr>
              <w:jc w:val="center"/>
              <w:textAlignment w:val="bottom"/>
            </w:pPr>
            <w:r>
              <w:rPr>
                <w:rFonts w:ascii="sans-serif" w:eastAsia="sans-serif" w:hAnsi="sans-serif" w:cs="sans-serif"/>
                <w:b/>
                <w:bCs/>
                <w:color w:val="000000"/>
                <w:sz w:val="20"/>
                <w:szCs w:val="20"/>
              </w:rPr>
              <w:t>Net Carrying</w:t>
            </w:r>
            <w:r>
              <w:rPr>
                <w:rFonts w:ascii="sans-serif" w:eastAsia="sans-serif" w:hAnsi="sans-serif" w:cs="sans-serif"/>
                <w:b/>
                <w:bCs/>
                <w:color w:val="000000"/>
                <w:sz w:val="20"/>
                <w:szCs w:val="20"/>
              </w:rPr>
              <w:br/>
              <w:t>Amount</w:t>
            </w:r>
          </w:p>
        </w:tc>
        <w:tc>
          <w:tcPr>
            <w:tcW w:w="0" w:type="auto"/>
            <w:gridSpan w:val="3"/>
            <w:shd w:val="clear" w:color="auto" w:fill="auto"/>
            <w:tcMar>
              <w:top w:w="0" w:type="dxa"/>
              <w:left w:w="20" w:type="dxa"/>
              <w:bottom w:w="0" w:type="dxa"/>
              <w:right w:w="20" w:type="dxa"/>
            </w:tcMar>
            <w:vAlign w:val="bottom"/>
          </w:tcPr>
          <w:p w14:paraId="54066F18"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F19" w14:textId="77777777" w:rsidR="00611BDD" w:rsidRDefault="002E18C7">
            <w:pPr>
              <w:jc w:val="center"/>
              <w:textAlignment w:val="bottom"/>
            </w:pPr>
            <w:r>
              <w:rPr>
                <w:rFonts w:ascii="sans-serif" w:eastAsia="sans-serif" w:hAnsi="sans-serif" w:cs="sans-serif"/>
                <w:b/>
                <w:bCs/>
                <w:color w:val="000000"/>
                <w:sz w:val="20"/>
                <w:szCs w:val="20"/>
              </w:rPr>
              <w:t>Gross</w:t>
            </w:r>
            <w:r>
              <w:rPr>
                <w:rFonts w:ascii="sans-serif" w:eastAsia="sans-serif" w:hAnsi="sans-serif" w:cs="sans-serif"/>
                <w:b/>
                <w:bCs/>
                <w:color w:val="000000"/>
                <w:sz w:val="20"/>
                <w:szCs w:val="20"/>
              </w:rPr>
              <w:br/>
              <w:t>Carrying</w:t>
            </w:r>
            <w:r>
              <w:rPr>
                <w:rFonts w:ascii="sans-serif" w:eastAsia="sans-serif" w:hAnsi="sans-serif" w:cs="sans-serif"/>
                <w:b/>
                <w:bCs/>
                <w:color w:val="000000"/>
                <w:sz w:val="20"/>
                <w:szCs w:val="20"/>
              </w:rPr>
              <w:b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F1A"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F1B" w14:textId="77777777" w:rsidR="00611BDD" w:rsidRDefault="002E18C7">
            <w:pPr>
              <w:jc w:val="center"/>
              <w:textAlignment w:val="bottom"/>
            </w:pPr>
            <w:r>
              <w:rPr>
                <w:rFonts w:ascii="sans-serif" w:eastAsia="sans-serif" w:hAnsi="sans-serif" w:cs="sans-serif"/>
                <w:b/>
                <w:bCs/>
                <w:color w:val="000000"/>
                <w:sz w:val="20"/>
                <w:szCs w:val="20"/>
              </w:rPr>
              <w:t>Accumulated</w:t>
            </w:r>
            <w:r>
              <w:rPr>
                <w:rFonts w:ascii="sans-serif" w:eastAsia="sans-serif" w:hAnsi="sans-serif" w:cs="sans-serif"/>
                <w:b/>
                <w:bCs/>
                <w:color w:val="000000"/>
                <w:sz w:val="20"/>
                <w:szCs w:val="20"/>
              </w:rPr>
              <w:br/>
              <w:t>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F1C"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6F1D" w14:textId="77777777" w:rsidR="00611BDD" w:rsidRDefault="002E18C7">
            <w:pPr>
              <w:jc w:val="center"/>
              <w:textAlignment w:val="bottom"/>
            </w:pPr>
            <w:r>
              <w:rPr>
                <w:rFonts w:ascii="sans-serif" w:eastAsia="sans-serif" w:hAnsi="sans-serif" w:cs="sans-serif"/>
                <w:b/>
                <w:bCs/>
                <w:color w:val="000000"/>
                <w:sz w:val="20"/>
                <w:szCs w:val="20"/>
              </w:rPr>
              <w:t>Net Carrying</w:t>
            </w:r>
            <w:r>
              <w:rPr>
                <w:rFonts w:ascii="sans-serif" w:eastAsia="sans-serif" w:hAnsi="sans-serif" w:cs="sans-serif"/>
                <w:b/>
                <w:bCs/>
                <w:color w:val="000000"/>
                <w:sz w:val="20"/>
                <w:szCs w:val="20"/>
              </w:rPr>
              <w:br/>
              <w:t>Amount</w:t>
            </w:r>
          </w:p>
        </w:tc>
      </w:tr>
      <w:tr w:rsidR="00611BDD" w14:paraId="54066F2B" w14:textId="77777777">
        <w:trPr>
          <w:trHeight w:val="60"/>
        </w:trPr>
        <w:tc>
          <w:tcPr>
            <w:tcW w:w="0" w:type="auto"/>
            <w:gridSpan w:val="3"/>
            <w:shd w:val="clear" w:color="auto" w:fill="auto"/>
            <w:tcMar>
              <w:top w:w="0" w:type="dxa"/>
              <w:left w:w="20" w:type="dxa"/>
              <w:bottom w:w="0" w:type="dxa"/>
              <w:right w:w="20" w:type="dxa"/>
            </w:tcMar>
            <w:vAlign w:val="bottom"/>
          </w:tcPr>
          <w:p w14:paraId="54066F1F"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F20"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F21"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F22"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F23"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F24"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F25"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F26"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F27"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F28"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F29"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F2A" w14:textId="77777777" w:rsidR="00611BDD" w:rsidRDefault="00611BDD">
            <w:pPr>
              <w:rPr>
                <w:rFonts w:ascii="宋体"/>
              </w:rPr>
            </w:pPr>
          </w:p>
        </w:tc>
      </w:tr>
      <w:tr w:rsidR="00611BDD" w14:paraId="54066F2E" w14:textId="77777777">
        <w:tc>
          <w:tcPr>
            <w:tcW w:w="0" w:type="auto"/>
            <w:gridSpan w:val="3"/>
            <w:shd w:val="clear" w:color="auto" w:fill="auto"/>
            <w:tcMar>
              <w:top w:w="40" w:type="dxa"/>
              <w:left w:w="20" w:type="dxa"/>
              <w:bottom w:w="40" w:type="dxa"/>
              <w:right w:w="20" w:type="dxa"/>
            </w:tcMar>
            <w:vAlign w:val="bottom"/>
          </w:tcPr>
          <w:p w14:paraId="54066F2C" w14:textId="77777777" w:rsidR="00611BDD" w:rsidRDefault="002E18C7">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54066F2D" w14:textId="77777777" w:rsidR="00611BDD" w:rsidRDefault="002E18C7">
            <w:pPr>
              <w:jc w:val="center"/>
              <w:textAlignment w:val="bottom"/>
            </w:pPr>
            <w:r>
              <w:rPr>
                <w:rFonts w:ascii="sans-serif" w:eastAsia="sans-serif" w:hAnsi="sans-serif" w:cs="sans-serif"/>
                <w:i/>
                <w:iCs/>
                <w:color w:val="000000"/>
                <w:sz w:val="20"/>
                <w:szCs w:val="20"/>
              </w:rPr>
              <w:t>(In millions)</w:t>
            </w:r>
          </w:p>
        </w:tc>
      </w:tr>
      <w:tr w:rsidR="00611BDD" w14:paraId="54066F47" w14:textId="77777777">
        <w:tc>
          <w:tcPr>
            <w:tcW w:w="0" w:type="auto"/>
            <w:gridSpan w:val="3"/>
            <w:shd w:val="clear" w:color="auto" w:fill="E2EFD9"/>
            <w:tcMar>
              <w:top w:w="40" w:type="dxa"/>
              <w:left w:w="20" w:type="dxa"/>
              <w:bottom w:w="40" w:type="dxa"/>
              <w:right w:w="20" w:type="dxa"/>
            </w:tcMar>
            <w:vAlign w:val="bottom"/>
          </w:tcPr>
          <w:p w14:paraId="54066F2F" w14:textId="77777777" w:rsidR="00611BDD" w:rsidRDefault="002E18C7">
            <w:pPr>
              <w:textAlignment w:val="bottom"/>
            </w:pPr>
            <w:r>
              <w:rPr>
                <w:rFonts w:ascii="sans-serif" w:eastAsia="sans-serif" w:hAnsi="sans-serif" w:cs="sans-serif"/>
                <w:color w:val="000000"/>
                <w:sz w:val="20"/>
                <w:szCs w:val="20"/>
              </w:rPr>
              <w:t>Acquisition-related intangible assets (1)</w:t>
            </w:r>
          </w:p>
        </w:tc>
        <w:tc>
          <w:tcPr>
            <w:tcW w:w="0" w:type="auto"/>
            <w:shd w:val="clear" w:color="auto" w:fill="E2EFD9"/>
            <w:tcMar>
              <w:top w:w="40" w:type="dxa"/>
              <w:left w:w="20" w:type="dxa"/>
              <w:bottom w:w="40" w:type="dxa"/>
              <w:right w:w="0" w:type="dxa"/>
            </w:tcMar>
            <w:vAlign w:val="bottom"/>
          </w:tcPr>
          <w:p w14:paraId="54066F30"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F31" w14:textId="77777777" w:rsidR="00611BDD" w:rsidRDefault="002E18C7">
            <w:pPr>
              <w:jc w:val="right"/>
              <w:textAlignment w:val="bottom"/>
            </w:pPr>
            <w:r>
              <w:rPr>
                <w:rFonts w:ascii="sans-serif" w:eastAsia="sans-serif" w:hAnsi="sans-serif" w:cs="sans-serif"/>
                <w:color w:val="000000"/>
                <w:sz w:val="20"/>
                <w:szCs w:val="20"/>
              </w:rPr>
              <w:t>3,277 </w:t>
            </w:r>
          </w:p>
        </w:tc>
        <w:tc>
          <w:tcPr>
            <w:tcW w:w="0" w:type="auto"/>
            <w:shd w:val="clear" w:color="auto" w:fill="E2EFD9"/>
            <w:tcMar>
              <w:top w:w="40" w:type="dxa"/>
              <w:left w:w="0" w:type="dxa"/>
              <w:bottom w:w="40" w:type="dxa"/>
              <w:right w:w="20" w:type="dxa"/>
            </w:tcMar>
            <w:vAlign w:val="bottom"/>
          </w:tcPr>
          <w:p w14:paraId="54066F32"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F33"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F34"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F35" w14:textId="77777777" w:rsidR="00611BDD" w:rsidRDefault="002E18C7">
            <w:pPr>
              <w:jc w:val="right"/>
              <w:textAlignment w:val="bottom"/>
            </w:pPr>
            <w:r>
              <w:rPr>
                <w:rFonts w:ascii="sans-serif" w:eastAsia="sans-serif" w:hAnsi="sans-serif" w:cs="sans-serif"/>
                <w:color w:val="000000"/>
                <w:sz w:val="20"/>
                <w:szCs w:val="20"/>
              </w:rPr>
              <w:t>(1,030)</w:t>
            </w:r>
          </w:p>
        </w:tc>
        <w:tc>
          <w:tcPr>
            <w:tcW w:w="0" w:type="auto"/>
            <w:shd w:val="clear" w:color="auto" w:fill="E2EFD9"/>
            <w:tcMar>
              <w:top w:w="40" w:type="dxa"/>
              <w:left w:w="0" w:type="dxa"/>
              <w:bottom w:w="40" w:type="dxa"/>
              <w:right w:w="20" w:type="dxa"/>
            </w:tcMar>
            <w:vAlign w:val="bottom"/>
          </w:tcPr>
          <w:p w14:paraId="54066F3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F37"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F38"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F39" w14:textId="77777777" w:rsidR="00611BDD" w:rsidRDefault="002E18C7">
            <w:pPr>
              <w:jc w:val="right"/>
              <w:textAlignment w:val="bottom"/>
            </w:pPr>
            <w:r>
              <w:rPr>
                <w:rFonts w:ascii="sans-serif" w:eastAsia="sans-serif" w:hAnsi="sans-serif" w:cs="sans-serif"/>
                <w:color w:val="000000"/>
                <w:sz w:val="20"/>
                <w:szCs w:val="20"/>
              </w:rPr>
              <w:t>2,247 </w:t>
            </w:r>
          </w:p>
        </w:tc>
        <w:tc>
          <w:tcPr>
            <w:tcW w:w="0" w:type="auto"/>
            <w:shd w:val="clear" w:color="auto" w:fill="E2EFD9"/>
            <w:tcMar>
              <w:top w:w="40" w:type="dxa"/>
              <w:left w:w="0" w:type="dxa"/>
              <w:bottom w:w="40" w:type="dxa"/>
              <w:right w:w="20" w:type="dxa"/>
            </w:tcMar>
            <w:vAlign w:val="bottom"/>
          </w:tcPr>
          <w:p w14:paraId="54066F3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F3B"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F3C"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F3D" w14:textId="77777777" w:rsidR="00611BDD" w:rsidRDefault="002E18C7">
            <w:pPr>
              <w:jc w:val="right"/>
              <w:textAlignment w:val="bottom"/>
            </w:pPr>
            <w:r>
              <w:rPr>
                <w:rFonts w:ascii="sans-serif" w:eastAsia="sans-serif" w:hAnsi="sans-serif" w:cs="sans-serif"/>
                <w:color w:val="000000"/>
                <w:sz w:val="20"/>
                <w:szCs w:val="20"/>
              </w:rPr>
              <w:t>3,280 </w:t>
            </w:r>
          </w:p>
        </w:tc>
        <w:tc>
          <w:tcPr>
            <w:tcW w:w="0" w:type="auto"/>
            <w:shd w:val="clear" w:color="auto" w:fill="E2EFD9"/>
            <w:tcMar>
              <w:top w:w="40" w:type="dxa"/>
              <w:left w:w="0" w:type="dxa"/>
              <w:bottom w:w="40" w:type="dxa"/>
              <w:right w:w="20" w:type="dxa"/>
            </w:tcMar>
            <w:vAlign w:val="bottom"/>
          </w:tcPr>
          <w:p w14:paraId="54066F3E"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F3F"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F40"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F41" w14:textId="77777777" w:rsidR="00611BDD" w:rsidRDefault="002E18C7">
            <w:pPr>
              <w:jc w:val="right"/>
              <w:textAlignment w:val="bottom"/>
            </w:pPr>
            <w:r>
              <w:rPr>
                <w:rFonts w:ascii="sans-serif" w:eastAsia="sans-serif" w:hAnsi="sans-serif" w:cs="sans-serif"/>
                <w:color w:val="000000"/>
                <w:sz w:val="20"/>
                <w:szCs w:val="20"/>
              </w:rPr>
              <w:t>(774)</w:t>
            </w:r>
          </w:p>
        </w:tc>
        <w:tc>
          <w:tcPr>
            <w:tcW w:w="0" w:type="auto"/>
            <w:shd w:val="clear" w:color="auto" w:fill="E2EFD9"/>
            <w:tcMar>
              <w:top w:w="40" w:type="dxa"/>
              <w:left w:w="0" w:type="dxa"/>
              <w:bottom w:w="40" w:type="dxa"/>
              <w:right w:w="20" w:type="dxa"/>
            </w:tcMar>
            <w:vAlign w:val="bottom"/>
          </w:tcPr>
          <w:p w14:paraId="54066F42"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F43"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F44"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F45" w14:textId="77777777" w:rsidR="00611BDD" w:rsidRDefault="002E18C7">
            <w:pPr>
              <w:jc w:val="right"/>
              <w:textAlignment w:val="bottom"/>
            </w:pPr>
            <w:r>
              <w:rPr>
                <w:rFonts w:ascii="sans-serif" w:eastAsia="sans-serif" w:hAnsi="sans-serif" w:cs="sans-serif"/>
                <w:color w:val="000000"/>
                <w:sz w:val="20"/>
                <w:szCs w:val="20"/>
              </w:rPr>
              <w:t>2,506 </w:t>
            </w:r>
          </w:p>
        </w:tc>
        <w:tc>
          <w:tcPr>
            <w:tcW w:w="0" w:type="auto"/>
            <w:shd w:val="clear" w:color="auto" w:fill="E2EFD9"/>
            <w:tcMar>
              <w:top w:w="40" w:type="dxa"/>
              <w:left w:w="0" w:type="dxa"/>
              <w:bottom w:w="40" w:type="dxa"/>
              <w:right w:w="20" w:type="dxa"/>
            </w:tcMar>
            <w:vAlign w:val="bottom"/>
          </w:tcPr>
          <w:p w14:paraId="54066F46" w14:textId="77777777" w:rsidR="00611BDD" w:rsidRDefault="00611BDD">
            <w:pPr>
              <w:jc w:val="right"/>
              <w:rPr>
                <w:rFonts w:ascii="宋体"/>
              </w:rPr>
            </w:pPr>
          </w:p>
        </w:tc>
      </w:tr>
      <w:tr w:rsidR="00611BDD" w14:paraId="54066F5A" w14:textId="77777777">
        <w:tc>
          <w:tcPr>
            <w:tcW w:w="0" w:type="auto"/>
            <w:gridSpan w:val="3"/>
            <w:shd w:val="clear" w:color="auto" w:fill="FFFFFF"/>
            <w:tcMar>
              <w:top w:w="40" w:type="dxa"/>
              <w:left w:w="20" w:type="dxa"/>
              <w:bottom w:w="40" w:type="dxa"/>
              <w:right w:w="20" w:type="dxa"/>
            </w:tcMar>
            <w:vAlign w:val="bottom"/>
          </w:tcPr>
          <w:p w14:paraId="54066F48" w14:textId="77777777" w:rsidR="00611BDD" w:rsidRDefault="002E18C7">
            <w:pPr>
              <w:textAlignment w:val="bottom"/>
            </w:pPr>
            <w:r>
              <w:rPr>
                <w:rFonts w:ascii="sans-serif" w:eastAsia="sans-serif" w:hAnsi="sans-serif" w:cs="sans-serif"/>
                <w:color w:val="000000"/>
                <w:sz w:val="20"/>
                <w:szCs w:val="20"/>
              </w:rPr>
              <w:t>Patents and</w:t>
            </w:r>
            <w:r>
              <w:rPr>
                <w:rFonts w:ascii="sans-serif" w:eastAsia="sans-serif" w:hAnsi="sans-serif" w:cs="sans-serif"/>
                <w:color w:val="000000"/>
                <w:sz w:val="20"/>
                <w:szCs w:val="20"/>
              </w:rPr>
              <w:t xml:space="preserve"> licensed technology</w:t>
            </w:r>
          </w:p>
        </w:tc>
        <w:tc>
          <w:tcPr>
            <w:tcW w:w="0" w:type="auto"/>
            <w:gridSpan w:val="2"/>
            <w:shd w:val="clear" w:color="auto" w:fill="FFFFFF"/>
            <w:tcMar>
              <w:top w:w="40" w:type="dxa"/>
              <w:left w:w="20" w:type="dxa"/>
              <w:bottom w:w="40" w:type="dxa"/>
              <w:right w:w="0" w:type="dxa"/>
            </w:tcMar>
            <w:vAlign w:val="bottom"/>
          </w:tcPr>
          <w:p w14:paraId="54066F49" w14:textId="77777777" w:rsidR="00611BDD" w:rsidRDefault="002E18C7">
            <w:pPr>
              <w:jc w:val="right"/>
              <w:textAlignment w:val="bottom"/>
            </w:pPr>
            <w:r>
              <w:rPr>
                <w:rFonts w:ascii="sans-serif" w:eastAsia="sans-serif" w:hAnsi="sans-serif" w:cs="sans-serif"/>
                <w:color w:val="000000"/>
                <w:sz w:val="20"/>
                <w:szCs w:val="20"/>
              </w:rPr>
              <w:t>709 </w:t>
            </w:r>
          </w:p>
        </w:tc>
        <w:tc>
          <w:tcPr>
            <w:tcW w:w="0" w:type="auto"/>
            <w:shd w:val="clear" w:color="auto" w:fill="FFFFFF"/>
            <w:tcMar>
              <w:top w:w="40" w:type="dxa"/>
              <w:left w:w="0" w:type="dxa"/>
              <w:bottom w:w="40" w:type="dxa"/>
              <w:right w:w="20" w:type="dxa"/>
            </w:tcMar>
            <w:vAlign w:val="bottom"/>
          </w:tcPr>
          <w:p w14:paraId="54066F4A"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F4B"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F4C" w14:textId="77777777" w:rsidR="00611BDD" w:rsidRDefault="002E18C7">
            <w:pPr>
              <w:jc w:val="right"/>
              <w:textAlignment w:val="bottom"/>
            </w:pPr>
            <w:r>
              <w:rPr>
                <w:rFonts w:ascii="sans-serif" w:eastAsia="sans-serif" w:hAnsi="sans-serif" w:cs="sans-serif"/>
                <w:color w:val="000000"/>
                <w:sz w:val="20"/>
                <w:szCs w:val="20"/>
              </w:rPr>
              <w:t>(478)</w:t>
            </w:r>
          </w:p>
        </w:tc>
        <w:tc>
          <w:tcPr>
            <w:tcW w:w="0" w:type="auto"/>
            <w:shd w:val="clear" w:color="auto" w:fill="FFFFFF"/>
            <w:tcMar>
              <w:top w:w="40" w:type="dxa"/>
              <w:left w:w="0" w:type="dxa"/>
              <w:bottom w:w="40" w:type="dxa"/>
              <w:right w:w="20" w:type="dxa"/>
            </w:tcMar>
            <w:vAlign w:val="bottom"/>
          </w:tcPr>
          <w:p w14:paraId="54066F4D"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F4E"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F4F" w14:textId="77777777" w:rsidR="00611BDD" w:rsidRDefault="002E18C7">
            <w:pPr>
              <w:jc w:val="right"/>
              <w:textAlignment w:val="bottom"/>
            </w:pPr>
            <w:r>
              <w:rPr>
                <w:rFonts w:ascii="sans-serif" w:eastAsia="sans-serif" w:hAnsi="sans-serif" w:cs="sans-serif"/>
                <w:color w:val="000000"/>
                <w:sz w:val="20"/>
                <w:szCs w:val="20"/>
              </w:rPr>
              <w:t>231 </w:t>
            </w:r>
          </w:p>
        </w:tc>
        <w:tc>
          <w:tcPr>
            <w:tcW w:w="0" w:type="auto"/>
            <w:shd w:val="clear" w:color="auto" w:fill="FFFFFF"/>
            <w:tcMar>
              <w:top w:w="40" w:type="dxa"/>
              <w:left w:w="0" w:type="dxa"/>
              <w:bottom w:w="40" w:type="dxa"/>
              <w:right w:w="20" w:type="dxa"/>
            </w:tcMar>
            <w:vAlign w:val="bottom"/>
          </w:tcPr>
          <w:p w14:paraId="54066F50"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F51"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F52" w14:textId="77777777" w:rsidR="00611BDD" w:rsidRDefault="002E18C7">
            <w:pPr>
              <w:jc w:val="right"/>
              <w:textAlignment w:val="bottom"/>
            </w:pPr>
            <w:r>
              <w:rPr>
                <w:rFonts w:ascii="sans-serif" w:eastAsia="sans-serif" w:hAnsi="sans-serif" w:cs="sans-serif"/>
                <w:color w:val="000000"/>
                <w:sz w:val="20"/>
                <w:szCs w:val="20"/>
              </w:rPr>
              <w:t>706 </w:t>
            </w:r>
          </w:p>
        </w:tc>
        <w:tc>
          <w:tcPr>
            <w:tcW w:w="0" w:type="auto"/>
            <w:shd w:val="clear" w:color="auto" w:fill="FFFFFF"/>
            <w:tcMar>
              <w:top w:w="40" w:type="dxa"/>
              <w:left w:w="0" w:type="dxa"/>
              <w:bottom w:w="40" w:type="dxa"/>
              <w:right w:w="20" w:type="dxa"/>
            </w:tcMar>
            <w:vAlign w:val="bottom"/>
          </w:tcPr>
          <w:p w14:paraId="54066F5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F54"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F55" w14:textId="77777777" w:rsidR="00611BDD" w:rsidRDefault="002E18C7">
            <w:pPr>
              <w:jc w:val="right"/>
              <w:textAlignment w:val="bottom"/>
            </w:pPr>
            <w:r>
              <w:rPr>
                <w:rFonts w:ascii="sans-serif" w:eastAsia="sans-serif" w:hAnsi="sans-serif" w:cs="sans-serif"/>
                <w:color w:val="000000"/>
                <w:sz w:val="20"/>
                <w:szCs w:val="20"/>
              </w:rPr>
              <w:t>(475)</w:t>
            </w:r>
          </w:p>
        </w:tc>
        <w:tc>
          <w:tcPr>
            <w:tcW w:w="0" w:type="auto"/>
            <w:shd w:val="clear" w:color="auto" w:fill="FFFFFF"/>
            <w:tcMar>
              <w:top w:w="40" w:type="dxa"/>
              <w:left w:w="0" w:type="dxa"/>
              <w:bottom w:w="40" w:type="dxa"/>
              <w:right w:w="20" w:type="dxa"/>
            </w:tcMar>
            <w:vAlign w:val="bottom"/>
          </w:tcPr>
          <w:p w14:paraId="54066F5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F57"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F58" w14:textId="77777777" w:rsidR="00611BDD" w:rsidRDefault="002E18C7">
            <w:pPr>
              <w:jc w:val="right"/>
              <w:textAlignment w:val="bottom"/>
            </w:pPr>
            <w:r>
              <w:rPr>
                <w:rFonts w:ascii="sans-serif" w:eastAsia="sans-serif" w:hAnsi="sans-serif" w:cs="sans-serif"/>
                <w:color w:val="000000"/>
                <w:sz w:val="20"/>
                <w:szCs w:val="20"/>
              </w:rPr>
              <w:t>231 </w:t>
            </w:r>
          </w:p>
        </w:tc>
        <w:tc>
          <w:tcPr>
            <w:tcW w:w="0" w:type="auto"/>
            <w:shd w:val="clear" w:color="auto" w:fill="FFFFFF"/>
            <w:tcMar>
              <w:top w:w="40" w:type="dxa"/>
              <w:left w:w="0" w:type="dxa"/>
              <w:bottom w:w="40" w:type="dxa"/>
              <w:right w:w="20" w:type="dxa"/>
            </w:tcMar>
            <w:vAlign w:val="bottom"/>
          </w:tcPr>
          <w:p w14:paraId="54066F59" w14:textId="77777777" w:rsidR="00611BDD" w:rsidRDefault="00611BDD">
            <w:pPr>
              <w:jc w:val="right"/>
              <w:rPr>
                <w:rFonts w:ascii="宋体"/>
              </w:rPr>
            </w:pPr>
          </w:p>
        </w:tc>
      </w:tr>
      <w:tr w:rsidR="00611BDD" w14:paraId="54066F73" w14:textId="77777777">
        <w:tc>
          <w:tcPr>
            <w:tcW w:w="0" w:type="auto"/>
            <w:gridSpan w:val="3"/>
            <w:shd w:val="clear" w:color="auto" w:fill="E2EFD9"/>
            <w:tcMar>
              <w:top w:w="40" w:type="dxa"/>
              <w:left w:w="20" w:type="dxa"/>
              <w:bottom w:w="40" w:type="dxa"/>
              <w:right w:w="20" w:type="dxa"/>
            </w:tcMar>
            <w:vAlign w:val="bottom"/>
          </w:tcPr>
          <w:p w14:paraId="54066F5B" w14:textId="77777777" w:rsidR="00611BDD" w:rsidRDefault="002E18C7">
            <w:pPr>
              <w:textAlignment w:val="bottom"/>
            </w:pPr>
            <w:r>
              <w:rPr>
                <w:rFonts w:ascii="sans-serif" w:eastAsia="sans-serif" w:hAnsi="sans-serif" w:cs="sans-serif"/>
                <w:color w:val="000000"/>
                <w:sz w:val="20"/>
                <w:szCs w:val="20"/>
              </w:rPr>
              <w:t>Total intangible assets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F5C"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F5D" w14:textId="77777777" w:rsidR="00611BDD" w:rsidRDefault="002E18C7">
            <w:pPr>
              <w:jc w:val="right"/>
              <w:textAlignment w:val="bottom"/>
            </w:pPr>
            <w:r>
              <w:rPr>
                <w:rFonts w:ascii="sans-serif" w:eastAsia="sans-serif" w:hAnsi="sans-serif" w:cs="sans-serif"/>
                <w:color w:val="000000"/>
                <w:sz w:val="20"/>
                <w:szCs w:val="20"/>
              </w:rPr>
              <w:t>3,986 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F5E"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F5F"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F60"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F61" w14:textId="77777777" w:rsidR="00611BDD" w:rsidRDefault="002E18C7">
            <w:pPr>
              <w:jc w:val="right"/>
              <w:textAlignment w:val="bottom"/>
            </w:pPr>
            <w:r>
              <w:rPr>
                <w:rFonts w:ascii="sans-serif" w:eastAsia="sans-serif" w:hAnsi="sans-serif" w:cs="sans-serif"/>
                <w:color w:val="000000"/>
                <w:sz w:val="20"/>
                <w:szCs w:val="20"/>
              </w:rPr>
              <w:t>(1,508)</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F62"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F63"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F64"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F65" w14:textId="77777777" w:rsidR="00611BDD" w:rsidRDefault="002E18C7">
            <w:pPr>
              <w:jc w:val="right"/>
              <w:textAlignment w:val="bottom"/>
            </w:pPr>
            <w:r>
              <w:rPr>
                <w:rFonts w:ascii="sans-serif" w:eastAsia="sans-serif" w:hAnsi="sans-serif" w:cs="sans-serif"/>
                <w:color w:val="000000"/>
                <w:sz w:val="20"/>
                <w:szCs w:val="20"/>
              </w:rPr>
              <w:t>2,478 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F6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F67"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F68"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F69" w14:textId="77777777" w:rsidR="00611BDD" w:rsidRDefault="002E18C7">
            <w:pPr>
              <w:jc w:val="right"/>
              <w:textAlignment w:val="bottom"/>
            </w:pPr>
            <w:r>
              <w:rPr>
                <w:rFonts w:ascii="sans-serif" w:eastAsia="sans-serif" w:hAnsi="sans-serif" w:cs="sans-serif"/>
                <w:color w:val="000000"/>
                <w:sz w:val="20"/>
                <w:szCs w:val="20"/>
              </w:rPr>
              <w:t>3,986 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F6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F6B"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F6C"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F6D" w14:textId="77777777" w:rsidR="00611BDD" w:rsidRDefault="002E18C7">
            <w:pPr>
              <w:jc w:val="right"/>
              <w:textAlignment w:val="bottom"/>
            </w:pPr>
            <w:r>
              <w:rPr>
                <w:rFonts w:ascii="sans-serif" w:eastAsia="sans-serif" w:hAnsi="sans-serif" w:cs="sans-serif"/>
                <w:color w:val="000000"/>
                <w:sz w:val="20"/>
                <w:szCs w:val="20"/>
              </w:rPr>
              <w:t>(1,249)</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F6E"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F6F"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6F70"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6F71" w14:textId="77777777" w:rsidR="00611BDD" w:rsidRDefault="002E18C7">
            <w:pPr>
              <w:jc w:val="right"/>
              <w:textAlignment w:val="bottom"/>
            </w:pPr>
            <w:r>
              <w:rPr>
                <w:rFonts w:ascii="sans-serif" w:eastAsia="sans-serif" w:hAnsi="sans-serif" w:cs="sans-serif"/>
                <w:color w:val="000000"/>
                <w:sz w:val="20"/>
                <w:szCs w:val="20"/>
              </w:rPr>
              <w:t>2,737 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6F72" w14:textId="77777777" w:rsidR="00611BDD" w:rsidRDefault="00611BDD">
            <w:pPr>
              <w:jc w:val="right"/>
              <w:rPr>
                <w:rFonts w:ascii="宋体"/>
              </w:rPr>
            </w:pPr>
          </w:p>
        </w:tc>
      </w:tr>
    </w:tbl>
    <w:p w14:paraId="54066F74" w14:textId="77777777" w:rsidR="00611BDD" w:rsidRDefault="002E18C7">
      <w:pPr>
        <w:pBdr>
          <w:left w:val="none" w:sz="0" w:space="0" w:color="auto"/>
        </w:pBdr>
        <w:spacing w:after="180"/>
        <w:ind w:hanging="360"/>
        <w:jc w:val="both"/>
      </w:pPr>
      <w:r>
        <w:rPr>
          <w:rFonts w:ascii="sans-serif" w:eastAsia="sans-serif" w:hAnsi="sans-serif" w:cs="sans-serif"/>
          <w:color w:val="000000"/>
          <w:sz w:val="16"/>
          <w:szCs w:val="16"/>
        </w:rPr>
        <w:t>(1)    As of August 1, 2021, acquisition-related intangible assets include the fair value of a Mellanox in-process research and development, or IPR&amp;D, project of $630 million, which h</w:t>
      </w:r>
      <w:r>
        <w:rPr>
          <w:rFonts w:ascii="sans-serif" w:eastAsia="sans-serif" w:hAnsi="sans-serif" w:cs="sans-serif"/>
          <w:color w:val="000000"/>
          <w:sz w:val="16"/>
          <w:szCs w:val="16"/>
        </w:rPr>
        <w:t>as not yet commenced amortization.</w:t>
      </w:r>
    </w:p>
    <w:p w14:paraId="54066F75" w14:textId="77777777" w:rsidR="00611BDD" w:rsidRDefault="002E18C7">
      <w:pPr>
        <w:spacing w:after="180"/>
        <w:jc w:val="both"/>
      </w:pPr>
      <w:r>
        <w:rPr>
          <w:rFonts w:ascii="sans-serif" w:eastAsia="sans-serif" w:hAnsi="sans-serif" w:cs="sans-serif"/>
          <w:color w:val="000000"/>
          <w:sz w:val="20"/>
          <w:szCs w:val="20"/>
        </w:rPr>
        <w:t>Amortization expense associated with intangible assets was $138 million and $275 million for the second quarter and first half of fiscal year 2022, respectively, and $284 million and $291 million for the second quarter an</w:t>
      </w:r>
      <w:r>
        <w:rPr>
          <w:rFonts w:ascii="sans-serif" w:eastAsia="sans-serif" w:hAnsi="sans-serif" w:cs="sans-serif"/>
          <w:color w:val="000000"/>
          <w:sz w:val="20"/>
          <w:szCs w:val="20"/>
        </w:rPr>
        <w:t>d first half of fiscal year 2021, respectively. Future amortization expense related to the net carrying amount of intangible assets, excluding IPR&amp;D, as of August 1, 2021 is estimated to be $275 million for the remainder of fiscal year 2022, $547 million i</w:t>
      </w:r>
      <w:r>
        <w:rPr>
          <w:rFonts w:ascii="sans-serif" w:eastAsia="sans-serif" w:hAnsi="sans-serif" w:cs="sans-serif"/>
          <w:color w:val="000000"/>
          <w:sz w:val="20"/>
          <w:szCs w:val="20"/>
        </w:rPr>
        <w:t>n fiscal year 2023, $424 million in fiscal year 2024, $371 million in fiscal year 2025, $99 million in fiscal year 2026, and $132 million in fiscal year 2027 and thereafter.</w:t>
      </w:r>
    </w:p>
    <w:p w14:paraId="54066F76" w14:textId="77777777" w:rsidR="00611BDD" w:rsidRDefault="002E18C7">
      <w:pPr>
        <w:spacing w:after="180"/>
        <w:jc w:val="both"/>
      </w:pPr>
      <w:r>
        <w:rPr>
          <w:rFonts w:ascii="sans-serif" w:eastAsia="sans-serif" w:hAnsi="sans-serif" w:cs="sans-serif"/>
          <w:color w:val="000000"/>
          <w:sz w:val="20"/>
          <w:szCs w:val="20"/>
        </w:rPr>
        <w:t>There were no changes to the carrying amount of goodwill during the second quarter</w:t>
      </w:r>
      <w:r>
        <w:rPr>
          <w:rFonts w:ascii="sans-serif" w:eastAsia="sans-serif" w:hAnsi="sans-serif" w:cs="sans-serif"/>
          <w:color w:val="000000"/>
          <w:sz w:val="20"/>
          <w:szCs w:val="20"/>
        </w:rPr>
        <w:t xml:space="preserve"> and first half of fiscal year 2022. </w:t>
      </w:r>
    </w:p>
    <w:p w14:paraId="54066F77" w14:textId="77777777" w:rsidR="00611BDD" w:rsidRDefault="002E18C7">
      <w:pPr>
        <w:spacing w:before="180" w:after="120"/>
        <w:jc w:val="both"/>
      </w:pPr>
      <w:r>
        <w:rPr>
          <w:rFonts w:ascii="sans-serif" w:eastAsia="sans-serif" w:hAnsi="sans-serif" w:cs="sans-serif"/>
          <w:b/>
          <w:bCs/>
          <w:color w:val="76B900"/>
          <w:sz w:val="22"/>
          <w:szCs w:val="22"/>
        </w:rPr>
        <w:t>Note 10 - Balance Sheet Components </w:t>
      </w:r>
    </w:p>
    <w:p w14:paraId="54066F78" w14:textId="77777777" w:rsidR="00611BDD" w:rsidRDefault="002E18C7">
      <w:pPr>
        <w:spacing w:after="120"/>
        <w:jc w:val="both"/>
      </w:pPr>
      <w:r>
        <w:rPr>
          <w:rFonts w:ascii="sans-serif" w:eastAsia="sans-serif" w:hAnsi="sans-serif" w:cs="sans-serif"/>
          <w:color w:val="000000"/>
          <w:sz w:val="20"/>
          <w:szCs w:val="20"/>
        </w:rPr>
        <w:t>Certain balance sheet components are as follows:</w:t>
      </w:r>
    </w:p>
    <w:tbl>
      <w:tblPr>
        <w:tblW w:w="4993" w:type="pct"/>
        <w:tblCellMar>
          <w:top w:w="15" w:type="dxa"/>
          <w:left w:w="15" w:type="dxa"/>
          <w:bottom w:w="15" w:type="dxa"/>
          <w:right w:w="15" w:type="dxa"/>
        </w:tblCellMar>
        <w:tblLook w:val="04A0" w:firstRow="1" w:lastRow="0" w:firstColumn="1" w:lastColumn="0" w:noHBand="0" w:noVBand="1"/>
      </w:tblPr>
      <w:tblGrid>
        <w:gridCol w:w="40"/>
        <w:gridCol w:w="5910"/>
        <w:gridCol w:w="37"/>
        <w:gridCol w:w="122"/>
        <w:gridCol w:w="974"/>
        <w:gridCol w:w="36"/>
        <w:gridCol w:w="36"/>
        <w:gridCol w:w="36"/>
        <w:gridCol w:w="36"/>
        <w:gridCol w:w="123"/>
        <w:gridCol w:w="938"/>
        <w:gridCol w:w="36"/>
      </w:tblGrid>
      <w:tr w:rsidR="00611BDD" w14:paraId="54066F85" w14:textId="77777777">
        <w:tc>
          <w:tcPr>
            <w:tcW w:w="50" w:type="pct"/>
            <w:shd w:val="clear" w:color="auto" w:fill="auto"/>
            <w:vAlign w:val="bottom"/>
          </w:tcPr>
          <w:p w14:paraId="54066F79" w14:textId="77777777" w:rsidR="00611BDD" w:rsidRDefault="00611BDD">
            <w:pPr>
              <w:rPr>
                <w:rFonts w:ascii="宋体"/>
              </w:rPr>
            </w:pPr>
          </w:p>
        </w:tc>
        <w:tc>
          <w:tcPr>
            <w:tcW w:w="3575" w:type="pct"/>
            <w:shd w:val="clear" w:color="auto" w:fill="auto"/>
            <w:vAlign w:val="bottom"/>
          </w:tcPr>
          <w:p w14:paraId="54066F7A" w14:textId="77777777" w:rsidR="00611BDD" w:rsidRDefault="00611BDD">
            <w:pPr>
              <w:rPr>
                <w:rFonts w:ascii="宋体"/>
              </w:rPr>
            </w:pPr>
          </w:p>
        </w:tc>
        <w:tc>
          <w:tcPr>
            <w:tcW w:w="5" w:type="pct"/>
            <w:shd w:val="clear" w:color="auto" w:fill="auto"/>
            <w:vAlign w:val="bottom"/>
          </w:tcPr>
          <w:p w14:paraId="54066F7B" w14:textId="77777777" w:rsidR="00611BDD" w:rsidRDefault="00611BDD">
            <w:pPr>
              <w:rPr>
                <w:rFonts w:ascii="宋体"/>
              </w:rPr>
            </w:pPr>
          </w:p>
        </w:tc>
        <w:tc>
          <w:tcPr>
            <w:tcW w:w="50" w:type="pct"/>
            <w:shd w:val="clear" w:color="auto" w:fill="auto"/>
            <w:vAlign w:val="bottom"/>
          </w:tcPr>
          <w:p w14:paraId="54066F7C" w14:textId="77777777" w:rsidR="00611BDD" w:rsidRDefault="00611BDD">
            <w:pPr>
              <w:rPr>
                <w:rFonts w:ascii="宋体"/>
              </w:rPr>
            </w:pPr>
          </w:p>
        </w:tc>
        <w:tc>
          <w:tcPr>
            <w:tcW w:w="611" w:type="pct"/>
            <w:shd w:val="clear" w:color="auto" w:fill="auto"/>
            <w:vAlign w:val="bottom"/>
          </w:tcPr>
          <w:p w14:paraId="54066F7D" w14:textId="77777777" w:rsidR="00611BDD" w:rsidRDefault="00611BDD">
            <w:pPr>
              <w:rPr>
                <w:rFonts w:ascii="宋体"/>
              </w:rPr>
            </w:pPr>
          </w:p>
        </w:tc>
        <w:tc>
          <w:tcPr>
            <w:tcW w:w="5" w:type="pct"/>
            <w:shd w:val="clear" w:color="auto" w:fill="auto"/>
            <w:vAlign w:val="bottom"/>
          </w:tcPr>
          <w:p w14:paraId="54066F7E" w14:textId="77777777" w:rsidR="00611BDD" w:rsidRDefault="00611BDD">
            <w:pPr>
              <w:rPr>
                <w:rFonts w:ascii="宋体"/>
              </w:rPr>
            </w:pPr>
          </w:p>
        </w:tc>
        <w:tc>
          <w:tcPr>
            <w:tcW w:w="5" w:type="pct"/>
            <w:shd w:val="clear" w:color="auto" w:fill="auto"/>
            <w:vAlign w:val="bottom"/>
          </w:tcPr>
          <w:p w14:paraId="54066F7F" w14:textId="77777777" w:rsidR="00611BDD" w:rsidRDefault="00611BDD">
            <w:pPr>
              <w:rPr>
                <w:rFonts w:ascii="宋体"/>
              </w:rPr>
            </w:pPr>
          </w:p>
        </w:tc>
        <w:tc>
          <w:tcPr>
            <w:tcW w:w="26" w:type="pct"/>
            <w:shd w:val="clear" w:color="auto" w:fill="auto"/>
            <w:vAlign w:val="bottom"/>
          </w:tcPr>
          <w:p w14:paraId="54066F80" w14:textId="77777777" w:rsidR="00611BDD" w:rsidRDefault="00611BDD">
            <w:pPr>
              <w:rPr>
                <w:rFonts w:ascii="宋体"/>
              </w:rPr>
            </w:pPr>
          </w:p>
        </w:tc>
        <w:tc>
          <w:tcPr>
            <w:tcW w:w="5" w:type="pct"/>
            <w:shd w:val="clear" w:color="auto" w:fill="auto"/>
            <w:vAlign w:val="bottom"/>
          </w:tcPr>
          <w:p w14:paraId="54066F81" w14:textId="77777777" w:rsidR="00611BDD" w:rsidRDefault="00611BDD">
            <w:pPr>
              <w:rPr>
                <w:rFonts w:ascii="宋体"/>
              </w:rPr>
            </w:pPr>
          </w:p>
        </w:tc>
        <w:tc>
          <w:tcPr>
            <w:tcW w:w="50" w:type="pct"/>
            <w:shd w:val="clear" w:color="auto" w:fill="auto"/>
            <w:vAlign w:val="bottom"/>
          </w:tcPr>
          <w:p w14:paraId="54066F82" w14:textId="77777777" w:rsidR="00611BDD" w:rsidRDefault="00611BDD">
            <w:pPr>
              <w:rPr>
                <w:rFonts w:ascii="宋体"/>
              </w:rPr>
            </w:pPr>
          </w:p>
        </w:tc>
        <w:tc>
          <w:tcPr>
            <w:tcW w:w="611" w:type="pct"/>
            <w:shd w:val="clear" w:color="auto" w:fill="auto"/>
            <w:vAlign w:val="bottom"/>
          </w:tcPr>
          <w:p w14:paraId="54066F83" w14:textId="77777777" w:rsidR="00611BDD" w:rsidRDefault="00611BDD">
            <w:pPr>
              <w:rPr>
                <w:rFonts w:ascii="宋体"/>
              </w:rPr>
            </w:pPr>
          </w:p>
        </w:tc>
        <w:tc>
          <w:tcPr>
            <w:tcW w:w="5" w:type="pct"/>
            <w:shd w:val="clear" w:color="auto" w:fill="auto"/>
            <w:vAlign w:val="bottom"/>
          </w:tcPr>
          <w:p w14:paraId="54066F84" w14:textId="77777777" w:rsidR="00611BDD" w:rsidRDefault="00611BDD">
            <w:pPr>
              <w:rPr>
                <w:rFonts w:ascii="宋体"/>
              </w:rPr>
            </w:pPr>
          </w:p>
        </w:tc>
      </w:tr>
      <w:tr w:rsidR="00611BDD" w14:paraId="54066F8A" w14:textId="77777777">
        <w:tc>
          <w:tcPr>
            <w:tcW w:w="0" w:type="auto"/>
            <w:gridSpan w:val="3"/>
            <w:shd w:val="clear" w:color="auto" w:fill="auto"/>
            <w:tcMar>
              <w:top w:w="0" w:type="dxa"/>
              <w:left w:w="20" w:type="dxa"/>
              <w:bottom w:w="0" w:type="dxa"/>
              <w:right w:w="20" w:type="dxa"/>
            </w:tcMar>
            <w:vAlign w:val="bottom"/>
          </w:tcPr>
          <w:p w14:paraId="54066F86"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6F87" w14:textId="77777777" w:rsidR="00611BDD" w:rsidRDefault="002E18C7">
            <w:pPr>
              <w:jc w:val="center"/>
              <w:textAlignment w:val="bottom"/>
            </w:pPr>
            <w:r>
              <w:rPr>
                <w:rFonts w:ascii="sans-serif" w:eastAsia="sans-serif" w:hAnsi="sans-serif" w:cs="sans-serif"/>
                <w:b/>
                <w:bCs/>
                <w:color w:val="000000"/>
                <w:sz w:val="20"/>
                <w:szCs w:val="20"/>
              </w:rPr>
              <w:t>August 1,</w:t>
            </w:r>
          </w:p>
        </w:tc>
        <w:tc>
          <w:tcPr>
            <w:tcW w:w="0" w:type="auto"/>
            <w:gridSpan w:val="3"/>
            <w:shd w:val="clear" w:color="auto" w:fill="auto"/>
            <w:tcMar>
              <w:top w:w="0" w:type="dxa"/>
              <w:left w:w="20" w:type="dxa"/>
              <w:bottom w:w="0" w:type="dxa"/>
              <w:right w:w="20" w:type="dxa"/>
            </w:tcMar>
            <w:vAlign w:val="bottom"/>
          </w:tcPr>
          <w:p w14:paraId="54066F88"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6F89" w14:textId="77777777" w:rsidR="00611BDD" w:rsidRDefault="002E18C7">
            <w:pPr>
              <w:jc w:val="center"/>
              <w:textAlignment w:val="bottom"/>
            </w:pPr>
            <w:r>
              <w:rPr>
                <w:rFonts w:ascii="sans-serif" w:eastAsia="sans-serif" w:hAnsi="sans-serif" w:cs="sans-serif"/>
                <w:b/>
                <w:bCs/>
                <w:color w:val="000000"/>
                <w:sz w:val="20"/>
                <w:szCs w:val="20"/>
              </w:rPr>
              <w:t>January 31,</w:t>
            </w:r>
          </w:p>
        </w:tc>
      </w:tr>
      <w:tr w:rsidR="00611BDD" w14:paraId="54066F8F" w14:textId="77777777">
        <w:tc>
          <w:tcPr>
            <w:tcW w:w="0" w:type="auto"/>
            <w:gridSpan w:val="3"/>
            <w:shd w:val="clear" w:color="auto" w:fill="auto"/>
            <w:tcMar>
              <w:top w:w="40" w:type="dxa"/>
              <w:left w:w="20" w:type="dxa"/>
              <w:bottom w:w="40" w:type="dxa"/>
              <w:right w:w="20" w:type="dxa"/>
            </w:tcMar>
            <w:vAlign w:val="bottom"/>
          </w:tcPr>
          <w:p w14:paraId="54066F8B"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4066F8C" w14:textId="77777777" w:rsidR="00611BDD" w:rsidRDefault="002E18C7">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4066F8D"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6F8E" w14:textId="77777777" w:rsidR="00611BDD" w:rsidRDefault="002E18C7">
            <w:pPr>
              <w:jc w:val="center"/>
              <w:textAlignment w:val="bottom"/>
            </w:pPr>
            <w:r>
              <w:rPr>
                <w:rFonts w:ascii="sans-serif" w:eastAsia="sans-serif" w:hAnsi="sans-serif" w:cs="sans-serif"/>
                <w:b/>
                <w:bCs/>
                <w:color w:val="000000"/>
                <w:sz w:val="20"/>
                <w:szCs w:val="20"/>
              </w:rPr>
              <w:t>2021</w:t>
            </w:r>
          </w:p>
        </w:tc>
      </w:tr>
      <w:tr w:rsidR="00611BDD" w14:paraId="54066F94" w14:textId="77777777">
        <w:trPr>
          <w:trHeight w:val="60"/>
        </w:trPr>
        <w:tc>
          <w:tcPr>
            <w:tcW w:w="0" w:type="auto"/>
            <w:gridSpan w:val="3"/>
            <w:shd w:val="clear" w:color="auto" w:fill="auto"/>
            <w:tcMar>
              <w:top w:w="0" w:type="dxa"/>
              <w:left w:w="20" w:type="dxa"/>
              <w:bottom w:w="0" w:type="dxa"/>
              <w:right w:w="20" w:type="dxa"/>
            </w:tcMar>
            <w:vAlign w:val="bottom"/>
          </w:tcPr>
          <w:p w14:paraId="54066F90"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F91"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F92"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F93" w14:textId="77777777" w:rsidR="00611BDD" w:rsidRDefault="00611BDD">
            <w:pPr>
              <w:rPr>
                <w:rFonts w:ascii="宋体"/>
              </w:rPr>
            </w:pPr>
          </w:p>
        </w:tc>
      </w:tr>
      <w:tr w:rsidR="00611BDD" w14:paraId="54066F97" w14:textId="77777777">
        <w:tc>
          <w:tcPr>
            <w:tcW w:w="0" w:type="auto"/>
            <w:gridSpan w:val="3"/>
            <w:shd w:val="clear" w:color="auto" w:fill="auto"/>
            <w:tcMar>
              <w:top w:w="40" w:type="dxa"/>
              <w:left w:w="20" w:type="dxa"/>
              <w:bottom w:w="40" w:type="dxa"/>
              <w:right w:w="20" w:type="dxa"/>
            </w:tcMar>
            <w:vAlign w:val="bottom"/>
          </w:tcPr>
          <w:p w14:paraId="54066F95" w14:textId="77777777" w:rsidR="00611BDD" w:rsidRDefault="002E18C7">
            <w:pPr>
              <w:textAlignment w:val="bottom"/>
            </w:pPr>
            <w:r>
              <w:rPr>
                <w:rFonts w:ascii="sans-serif" w:eastAsia="sans-serif" w:hAnsi="sans-serif" w:cs="sans-serif"/>
                <w:b/>
                <w:bCs/>
                <w:color w:val="000000"/>
                <w:sz w:val="20"/>
                <w:szCs w:val="20"/>
              </w:rPr>
              <w:t>Inventories:</w:t>
            </w:r>
          </w:p>
        </w:tc>
        <w:tc>
          <w:tcPr>
            <w:tcW w:w="0" w:type="auto"/>
            <w:gridSpan w:val="9"/>
            <w:shd w:val="clear" w:color="auto" w:fill="auto"/>
            <w:tcMar>
              <w:top w:w="40" w:type="dxa"/>
              <w:left w:w="20" w:type="dxa"/>
              <w:bottom w:w="40" w:type="dxa"/>
              <w:right w:w="20" w:type="dxa"/>
            </w:tcMar>
            <w:vAlign w:val="bottom"/>
          </w:tcPr>
          <w:p w14:paraId="54066F96" w14:textId="77777777" w:rsidR="00611BDD" w:rsidRDefault="002E18C7">
            <w:pPr>
              <w:jc w:val="center"/>
              <w:textAlignment w:val="bottom"/>
            </w:pPr>
            <w:r>
              <w:rPr>
                <w:rFonts w:ascii="sans-serif" w:eastAsia="sans-serif" w:hAnsi="sans-serif" w:cs="sans-serif"/>
                <w:i/>
                <w:iCs/>
                <w:color w:val="000000"/>
                <w:sz w:val="20"/>
                <w:szCs w:val="20"/>
              </w:rPr>
              <w:t>(In millions)</w:t>
            </w:r>
          </w:p>
        </w:tc>
      </w:tr>
      <w:tr w:rsidR="00611BDD" w14:paraId="54066FA0" w14:textId="77777777">
        <w:tc>
          <w:tcPr>
            <w:tcW w:w="0" w:type="auto"/>
            <w:gridSpan w:val="3"/>
            <w:shd w:val="clear" w:color="auto" w:fill="E2EFD9"/>
            <w:tcMar>
              <w:top w:w="40" w:type="dxa"/>
              <w:left w:w="20" w:type="dxa"/>
              <w:bottom w:w="40" w:type="dxa"/>
              <w:right w:w="20" w:type="dxa"/>
            </w:tcMar>
            <w:vAlign w:val="bottom"/>
          </w:tcPr>
          <w:p w14:paraId="54066F98" w14:textId="77777777" w:rsidR="00611BDD" w:rsidRDefault="002E18C7">
            <w:pPr>
              <w:textAlignment w:val="bottom"/>
            </w:pPr>
            <w:r>
              <w:rPr>
                <w:rFonts w:ascii="sans-serif" w:eastAsia="sans-serif" w:hAnsi="sans-serif" w:cs="sans-serif"/>
                <w:color w:val="000000"/>
                <w:sz w:val="20"/>
                <w:szCs w:val="20"/>
              </w:rPr>
              <w:t>Raw materials</w:t>
            </w:r>
          </w:p>
        </w:tc>
        <w:tc>
          <w:tcPr>
            <w:tcW w:w="0" w:type="auto"/>
            <w:shd w:val="clear" w:color="auto" w:fill="E2EFD9"/>
            <w:tcMar>
              <w:top w:w="40" w:type="dxa"/>
              <w:left w:w="20" w:type="dxa"/>
              <w:bottom w:w="40" w:type="dxa"/>
              <w:right w:w="0" w:type="dxa"/>
            </w:tcMar>
            <w:vAlign w:val="bottom"/>
          </w:tcPr>
          <w:p w14:paraId="54066F99"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F9A" w14:textId="77777777" w:rsidR="00611BDD" w:rsidRDefault="002E18C7">
            <w:pPr>
              <w:jc w:val="right"/>
              <w:textAlignment w:val="bottom"/>
            </w:pPr>
            <w:r>
              <w:rPr>
                <w:rFonts w:ascii="sans-serif" w:eastAsia="sans-serif" w:hAnsi="sans-serif" w:cs="sans-serif"/>
                <w:color w:val="000000"/>
                <w:sz w:val="20"/>
                <w:szCs w:val="20"/>
              </w:rPr>
              <w:t>825 </w:t>
            </w:r>
          </w:p>
        </w:tc>
        <w:tc>
          <w:tcPr>
            <w:tcW w:w="0" w:type="auto"/>
            <w:shd w:val="clear" w:color="auto" w:fill="E2EFD9"/>
            <w:tcMar>
              <w:top w:w="40" w:type="dxa"/>
              <w:left w:w="0" w:type="dxa"/>
              <w:bottom w:w="40" w:type="dxa"/>
              <w:right w:w="20" w:type="dxa"/>
            </w:tcMar>
            <w:vAlign w:val="bottom"/>
          </w:tcPr>
          <w:p w14:paraId="54066F9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F9C"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F9D"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F9E" w14:textId="77777777" w:rsidR="00611BDD" w:rsidRDefault="002E18C7">
            <w:pPr>
              <w:jc w:val="right"/>
              <w:textAlignment w:val="bottom"/>
            </w:pPr>
            <w:r>
              <w:rPr>
                <w:rFonts w:ascii="sans-serif" w:eastAsia="sans-serif" w:hAnsi="sans-serif" w:cs="sans-serif"/>
                <w:color w:val="000000"/>
                <w:sz w:val="20"/>
                <w:szCs w:val="20"/>
              </w:rPr>
              <w:t>632 </w:t>
            </w:r>
          </w:p>
        </w:tc>
        <w:tc>
          <w:tcPr>
            <w:tcW w:w="0" w:type="auto"/>
            <w:shd w:val="clear" w:color="auto" w:fill="E2EFD9"/>
            <w:tcMar>
              <w:top w:w="40" w:type="dxa"/>
              <w:left w:w="0" w:type="dxa"/>
              <w:bottom w:w="40" w:type="dxa"/>
              <w:right w:w="20" w:type="dxa"/>
            </w:tcMar>
            <w:vAlign w:val="bottom"/>
          </w:tcPr>
          <w:p w14:paraId="54066F9F" w14:textId="77777777" w:rsidR="00611BDD" w:rsidRDefault="00611BDD">
            <w:pPr>
              <w:jc w:val="right"/>
              <w:rPr>
                <w:rFonts w:ascii="宋体"/>
              </w:rPr>
            </w:pPr>
          </w:p>
        </w:tc>
      </w:tr>
      <w:tr w:rsidR="00611BDD" w14:paraId="54066FA7" w14:textId="77777777">
        <w:tc>
          <w:tcPr>
            <w:tcW w:w="0" w:type="auto"/>
            <w:gridSpan w:val="3"/>
            <w:shd w:val="clear" w:color="auto" w:fill="FFFFFF"/>
            <w:tcMar>
              <w:top w:w="40" w:type="dxa"/>
              <w:left w:w="20" w:type="dxa"/>
              <w:bottom w:w="40" w:type="dxa"/>
              <w:right w:w="20" w:type="dxa"/>
            </w:tcMar>
            <w:vAlign w:val="bottom"/>
          </w:tcPr>
          <w:p w14:paraId="54066FA1" w14:textId="77777777" w:rsidR="00611BDD" w:rsidRDefault="002E18C7">
            <w:pPr>
              <w:textAlignment w:val="bottom"/>
            </w:pPr>
            <w:r>
              <w:rPr>
                <w:rFonts w:ascii="sans-serif" w:eastAsia="sans-serif" w:hAnsi="sans-serif" w:cs="sans-serif"/>
                <w:color w:val="000000"/>
                <w:sz w:val="20"/>
                <w:szCs w:val="20"/>
              </w:rPr>
              <w:t xml:space="preserve">Work </w:t>
            </w:r>
            <w:r>
              <w:rPr>
                <w:rFonts w:ascii="sans-serif" w:eastAsia="sans-serif" w:hAnsi="sans-serif" w:cs="sans-serif"/>
                <w:color w:val="000000"/>
                <w:sz w:val="20"/>
                <w:szCs w:val="20"/>
              </w:rPr>
              <w:t>in-process</w:t>
            </w:r>
          </w:p>
        </w:tc>
        <w:tc>
          <w:tcPr>
            <w:tcW w:w="0" w:type="auto"/>
            <w:gridSpan w:val="2"/>
            <w:shd w:val="clear" w:color="auto" w:fill="FFFFFF"/>
            <w:tcMar>
              <w:top w:w="40" w:type="dxa"/>
              <w:left w:w="20" w:type="dxa"/>
              <w:bottom w:w="40" w:type="dxa"/>
              <w:right w:w="0" w:type="dxa"/>
            </w:tcMar>
            <w:vAlign w:val="bottom"/>
          </w:tcPr>
          <w:p w14:paraId="54066FA2" w14:textId="77777777" w:rsidR="00611BDD" w:rsidRDefault="002E18C7">
            <w:pPr>
              <w:jc w:val="right"/>
              <w:textAlignment w:val="bottom"/>
            </w:pPr>
            <w:r>
              <w:rPr>
                <w:rFonts w:ascii="sans-serif" w:eastAsia="sans-serif" w:hAnsi="sans-serif" w:cs="sans-serif"/>
                <w:color w:val="000000"/>
                <w:sz w:val="20"/>
                <w:szCs w:val="20"/>
              </w:rPr>
              <w:t>553 </w:t>
            </w:r>
          </w:p>
        </w:tc>
        <w:tc>
          <w:tcPr>
            <w:tcW w:w="0" w:type="auto"/>
            <w:shd w:val="clear" w:color="auto" w:fill="FFFFFF"/>
            <w:tcMar>
              <w:top w:w="40" w:type="dxa"/>
              <w:left w:w="0" w:type="dxa"/>
              <w:bottom w:w="40" w:type="dxa"/>
              <w:right w:w="20" w:type="dxa"/>
            </w:tcMar>
            <w:vAlign w:val="bottom"/>
          </w:tcPr>
          <w:p w14:paraId="54066FA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FA4"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FA5" w14:textId="77777777" w:rsidR="00611BDD" w:rsidRDefault="002E18C7">
            <w:pPr>
              <w:jc w:val="right"/>
              <w:textAlignment w:val="bottom"/>
            </w:pPr>
            <w:r>
              <w:rPr>
                <w:rFonts w:ascii="sans-serif" w:eastAsia="sans-serif" w:hAnsi="sans-serif" w:cs="sans-serif"/>
                <w:color w:val="000000"/>
                <w:sz w:val="20"/>
                <w:szCs w:val="20"/>
              </w:rPr>
              <w:t>457 </w:t>
            </w:r>
          </w:p>
        </w:tc>
        <w:tc>
          <w:tcPr>
            <w:tcW w:w="0" w:type="auto"/>
            <w:shd w:val="clear" w:color="auto" w:fill="FFFFFF"/>
            <w:tcMar>
              <w:top w:w="40" w:type="dxa"/>
              <w:left w:w="0" w:type="dxa"/>
              <w:bottom w:w="40" w:type="dxa"/>
              <w:right w:w="20" w:type="dxa"/>
            </w:tcMar>
            <w:vAlign w:val="bottom"/>
          </w:tcPr>
          <w:p w14:paraId="54066FA6" w14:textId="77777777" w:rsidR="00611BDD" w:rsidRDefault="00611BDD">
            <w:pPr>
              <w:jc w:val="right"/>
              <w:rPr>
                <w:rFonts w:ascii="宋体"/>
              </w:rPr>
            </w:pPr>
          </w:p>
        </w:tc>
      </w:tr>
      <w:tr w:rsidR="00611BDD" w14:paraId="54066FAE" w14:textId="77777777">
        <w:tc>
          <w:tcPr>
            <w:tcW w:w="0" w:type="auto"/>
            <w:gridSpan w:val="3"/>
            <w:shd w:val="clear" w:color="auto" w:fill="E2EFD9"/>
            <w:tcMar>
              <w:top w:w="40" w:type="dxa"/>
              <w:left w:w="20" w:type="dxa"/>
              <w:bottom w:w="40" w:type="dxa"/>
              <w:right w:w="20" w:type="dxa"/>
            </w:tcMar>
            <w:vAlign w:val="bottom"/>
          </w:tcPr>
          <w:p w14:paraId="54066FA8" w14:textId="77777777" w:rsidR="00611BDD" w:rsidRDefault="002E18C7">
            <w:pPr>
              <w:textAlignment w:val="bottom"/>
            </w:pPr>
            <w:r>
              <w:rPr>
                <w:rFonts w:ascii="sans-serif" w:eastAsia="sans-serif" w:hAnsi="sans-serif" w:cs="sans-serif"/>
                <w:color w:val="000000"/>
                <w:sz w:val="20"/>
                <w:szCs w:val="20"/>
              </w:rPr>
              <w:t>Finished goods</w:t>
            </w:r>
          </w:p>
        </w:tc>
        <w:tc>
          <w:tcPr>
            <w:tcW w:w="0" w:type="auto"/>
            <w:gridSpan w:val="2"/>
            <w:shd w:val="clear" w:color="auto" w:fill="E2EFD9"/>
            <w:tcMar>
              <w:top w:w="40" w:type="dxa"/>
              <w:left w:w="20" w:type="dxa"/>
              <w:bottom w:w="40" w:type="dxa"/>
              <w:right w:w="0" w:type="dxa"/>
            </w:tcMar>
            <w:vAlign w:val="bottom"/>
          </w:tcPr>
          <w:p w14:paraId="54066FA9" w14:textId="77777777" w:rsidR="00611BDD" w:rsidRDefault="002E18C7">
            <w:pPr>
              <w:jc w:val="right"/>
              <w:textAlignment w:val="bottom"/>
            </w:pPr>
            <w:r>
              <w:rPr>
                <w:rFonts w:ascii="sans-serif" w:eastAsia="sans-serif" w:hAnsi="sans-serif" w:cs="sans-serif"/>
                <w:color w:val="000000"/>
                <w:sz w:val="20"/>
                <w:szCs w:val="20"/>
              </w:rPr>
              <w:t>736 </w:t>
            </w:r>
          </w:p>
        </w:tc>
        <w:tc>
          <w:tcPr>
            <w:tcW w:w="0" w:type="auto"/>
            <w:shd w:val="clear" w:color="auto" w:fill="E2EFD9"/>
            <w:tcMar>
              <w:top w:w="40" w:type="dxa"/>
              <w:left w:w="0" w:type="dxa"/>
              <w:bottom w:w="40" w:type="dxa"/>
              <w:right w:w="20" w:type="dxa"/>
            </w:tcMar>
            <w:vAlign w:val="bottom"/>
          </w:tcPr>
          <w:p w14:paraId="54066FA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FAB"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FAC" w14:textId="77777777" w:rsidR="00611BDD" w:rsidRDefault="002E18C7">
            <w:pPr>
              <w:jc w:val="right"/>
              <w:textAlignment w:val="bottom"/>
            </w:pPr>
            <w:r>
              <w:rPr>
                <w:rFonts w:ascii="sans-serif" w:eastAsia="sans-serif" w:hAnsi="sans-serif" w:cs="sans-serif"/>
                <w:color w:val="000000"/>
                <w:sz w:val="20"/>
                <w:szCs w:val="20"/>
              </w:rPr>
              <w:t>737 </w:t>
            </w:r>
          </w:p>
        </w:tc>
        <w:tc>
          <w:tcPr>
            <w:tcW w:w="0" w:type="auto"/>
            <w:shd w:val="clear" w:color="auto" w:fill="E2EFD9"/>
            <w:tcMar>
              <w:top w:w="40" w:type="dxa"/>
              <w:left w:w="0" w:type="dxa"/>
              <w:bottom w:w="40" w:type="dxa"/>
              <w:right w:w="20" w:type="dxa"/>
            </w:tcMar>
            <w:vAlign w:val="bottom"/>
          </w:tcPr>
          <w:p w14:paraId="54066FAD" w14:textId="77777777" w:rsidR="00611BDD" w:rsidRDefault="00611BDD">
            <w:pPr>
              <w:jc w:val="right"/>
              <w:rPr>
                <w:rFonts w:ascii="宋体"/>
              </w:rPr>
            </w:pPr>
          </w:p>
        </w:tc>
      </w:tr>
      <w:tr w:rsidR="00611BDD" w14:paraId="54066FB7" w14:textId="77777777">
        <w:tc>
          <w:tcPr>
            <w:tcW w:w="0" w:type="auto"/>
            <w:gridSpan w:val="3"/>
            <w:shd w:val="clear" w:color="auto" w:fill="FFFFFF"/>
            <w:tcMar>
              <w:top w:w="40" w:type="dxa"/>
              <w:left w:w="380" w:type="dxa"/>
              <w:bottom w:w="40" w:type="dxa"/>
              <w:right w:w="20" w:type="dxa"/>
            </w:tcMar>
            <w:vAlign w:val="bottom"/>
          </w:tcPr>
          <w:p w14:paraId="54066FAF" w14:textId="77777777" w:rsidR="00611BDD" w:rsidRDefault="002E18C7">
            <w:pPr>
              <w:textAlignment w:val="bottom"/>
            </w:pPr>
            <w:r>
              <w:rPr>
                <w:rFonts w:ascii="sans-serif" w:eastAsia="sans-serif" w:hAnsi="sans-serif" w:cs="sans-serif"/>
                <w:color w:val="000000"/>
                <w:sz w:val="20"/>
                <w:szCs w:val="20"/>
              </w:rPr>
              <w:t>Total inventories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4066FB0"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4066FB1" w14:textId="77777777" w:rsidR="00611BDD" w:rsidRDefault="002E18C7">
            <w:pPr>
              <w:jc w:val="right"/>
              <w:textAlignment w:val="bottom"/>
            </w:pPr>
            <w:r>
              <w:rPr>
                <w:rFonts w:ascii="sans-serif" w:eastAsia="sans-serif" w:hAnsi="sans-serif" w:cs="sans-serif"/>
                <w:color w:val="000000"/>
                <w:sz w:val="20"/>
                <w:szCs w:val="20"/>
              </w:rPr>
              <w:t>2,114 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4066FB2"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FB3" w14:textId="77777777" w:rsidR="00611BDD" w:rsidRDefault="00611BD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4066FB4"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4066FB5" w14:textId="77777777" w:rsidR="00611BDD" w:rsidRDefault="002E18C7">
            <w:pPr>
              <w:jc w:val="right"/>
              <w:textAlignment w:val="bottom"/>
            </w:pPr>
            <w:r>
              <w:rPr>
                <w:rFonts w:ascii="sans-serif" w:eastAsia="sans-serif" w:hAnsi="sans-serif" w:cs="sans-serif"/>
                <w:color w:val="000000"/>
                <w:sz w:val="20"/>
                <w:szCs w:val="20"/>
              </w:rPr>
              <w:t>1,826 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4066FB6" w14:textId="77777777" w:rsidR="00611BDD" w:rsidRDefault="00611BDD">
            <w:pPr>
              <w:jc w:val="right"/>
              <w:rPr>
                <w:rFonts w:ascii="宋体"/>
              </w:rPr>
            </w:pPr>
          </w:p>
        </w:tc>
      </w:tr>
    </w:tbl>
    <w:p w14:paraId="54066FB8" w14:textId="77777777" w:rsidR="00611BDD" w:rsidRDefault="00611BDD">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39"/>
        <w:gridCol w:w="5909"/>
        <w:gridCol w:w="38"/>
        <w:gridCol w:w="123"/>
        <w:gridCol w:w="974"/>
        <w:gridCol w:w="36"/>
        <w:gridCol w:w="36"/>
        <w:gridCol w:w="36"/>
        <w:gridCol w:w="36"/>
        <w:gridCol w:w="123"/>
        <w:gridCol w:w="938"/>
        <w:gridCol w:w="36"/>
      </w:tblGrid>
      <w:tr w:rsidR="00611BDD" w14:paraId="54066FC5" w14:textId="77777777">
        <w:tc>
          <w:tcPr>
            <w:tcW w:w="50" w:type="pct"/>
            <w:shd w:val="clear" w:color="auto" w:fill="auto"/>
            <w:vAlign w:val="bottom"/>
          </w:tcPr>
          <w:p w14:paraId="54066FB9" w14:textId="77777777" w:rsidR="00611BDD" w:rsidRDefault="00611BDD">
            <w:pPr>
              <w:rPr>
                <w:rFonts w:ascii="宋体"/>
              </w:rPr>
            </w:pPr>
          </w:p>
        </w:tc>
        <w:tc>
          <w:tcPr>
            <w:tcW w:w="3575" w:type="pct"/>
            <w:shd w:val="clear" w:color="auto" w:fill="auto"/>
            <w:vAlign w:val="bottom"/>
          </w:tcPr>
          <w:p w14:paraId="54066FBA" w14:textId="77777777" w:rsidR="00611BDD" w:rsidRDefault="00611BDD">
            <w:pPr>
              <w:rPr>
                <w:rFonts w:ascii="宋体"/>
              </w:rPr>
            </w:pPr>
          </w:p>
        </w:tc>
        <w:tc>
          <w:tcPr>
            <w:tcW w:w="5" w:type="pct"/>
            <w:shd w:val="clear" w:color="auto" w:fill="auto"/>
            <w:vAlign w:val="bottom"/>
          </w:tcPr>
          <w:p w14:paraId="54066FBB" w14:textId="77777777" w:rsidR="00611BDD" w:rsidRDefault="00611BDD">
            <w:pPr>
              <w:rPr>
                <w:rFonts w:ascii="宋体"/>
              </w:rPr>
            </w:pPr>
          </w:p>
        </w:tc>
        <w:tc>
          <w:tcPr>
            <w:tcW w:w="50" w:type="pct"/>
            <w:shd w:val="clear" w:color="auto" w:fill="auto"/>
            <w:vAlign w:val="bottom"/>
          </w:tcPr>
          <w:p w14:paraId="54066FBC" w14:textId="77777777" w:rsidR="00611BDD" w:rsidRDefault="00611BDD">
            <w:pPr>
              <w:rPr>
                <w:rFonts w:ascii="宋体"/>
              </w:rPr>
            </w:pPr>
          </w:p>
        </w:tc>
        <w:tc>
          <w:tcPr>
            <w:tcW w:w="611" w:type="pct"/>
            <w:shd w:val="clear" w:color="auto" w:fill="auto"/>
            <w:vAlign w:val="bottom"/>
          </w:tcPr>
          <w:p w14:paraId="54066FBD" w14:textId="77777777" w:rsidR="00611BDD" w:rsidRDefault="00611BDD">
            <w:pPr>
              <w:rPr>
                <w:rFonts w:ascii="宋体"/>
              </w:rPr>
            </w:pPr>
          </w:p>
        </w:tc>
        <w:tc>
          <w:tcPr>
            <w:tcW w:w="5" w:type="pct"/>
            <w:shd w:val="clear" w:color="auto" w:fill="auto"/>
            <w:vAlign w:val="bottom"/>
          </w:tcPr>
          <w:p w14:paraId="54066FBE" w14:textId="77777777" w:rsidR="00611BDD" w:rsidRDefault="00611BDD">
            <w:pPr>
              <w:rPr>
                <w:rFonts w:ascii="宋体"/>
              </w:rPr>
            </w:pPr>
          </w:p>
        </w:tc>
        <w:tc>
          <w:tcPr>
            <w:tcW w:w="5" w:type="pct"/>
            <w:shd w:val="clear" w:color="auto" w:fill="auto"/>
            <w:vAlign w:val="bottom"/>
          </w:tcPr>
          <w:p w14:paraId="54066FBF" w14:textId="77777777" w:rsidR="00611BDD" w:rsidRDefault="00611BDD">
            <w:pPr>
              <w:rPr>
                <w:rFonts w:ascii="宋体"/>
              </w:rPr>
            </w:pPr>
          </w:p>
        </w:tc>
        <w:tc>
          <w:tcPr>
            <w:tcW w:w="26" w:type="pct"/>
            <w:shd w:val="clear" w:color="auto" w:fill="auto"/>
            <w:vAlign w:val="bottom"/>
          </w:tcPr>
          <w:p w14:paraId="54066FC0" w14:textId="77777777" w:rsidR="00611BDD" w:rsidRDefault="00611BDD">
            <w:pPr>
              <w:rPr>
                <w:rFonts w:ascii="宋体"/>
              </w:rPr>
            </w:pPr>
          </w:p>
        </w:tc>
        <w:tc>
          <w:tcPr>
            <w:tcW w:w="5" w:type="pct"/>
            <w:shd w:val="clear" w:color="auto" w:fill="auto"/>
            <w:vAlign w:val="bottom"/>
          </w:tcPr>
          <w:p w14:paraId="54066FC1" w14:textId="77777777" w:rsidR="00611BDD" w:rsidRDefault="00611BDD">
            <w:pPr>
              <w:rPr>
                <w:rFonts w:ascii="宋体"/>
              </w:rPr>
            </w:pPr>
          </w:p>
        </w:tc>
        <w:tc>
          <w:tcPr>
            <w:tcW w:w="50" w:type="pct"/>
            <w:shd w:val="clear" w:color="auto" w:fill="auto"/>
            <w:vAlign w:val="bottom"/>
          </w:tcPr>
          <w:p w14:paraId="54066FC2" w14:textId="77777777" w:rsidR="00611BDD" w:rsidRDefault="00611BDD">
            <w:pPr>
              <w:rPr>
                <w:rFonts w:ascii="宋体"/>
              </w:rPr>
            </w:pPr>
          </w:p>
        </w:tc>
        <w:tc>
          <w:tcPr>
            <w:tcW w:w="611" w:type="pct"/>
            <w:shd w:val="clear" w:color="auto" w:fill="auto"/>
            <w:vAlign w:val="bottom"/>
          </w:tcPr>
          <w:p w14:paraId="54066FC3" w14:textId="77777777" w:rsidR="00611BDD" w:rsidRDefault="00611BDD">
            <w:pPr>
              <w:rPr>
                <w:rFonts w:ascii="宋体"/>
              </w:rPr>
            </w:pPr>
          </w:p>
        </w:tc>
        <w:tc>
          <w:tcPr>
            <w:tcW w:w="5" w:type="pct"/>
            <w:shd w:val="clear" w:color="auto" w:fill="auto"/>
            <w:vAlign w:val="bottom"/>
          </w:tcPr>
          <w:p w14:paraId="54066FC4" w14:textId="77777777" w:rsidR="00611BDD" w:rsidRDefault="00611BDD">
            <w:pPr>
              <w:rPr>
                <w:rFonts w:ascii="宋体"/>
              </w:rPr>
            </w:pPr>
          </w:p>
        </w:tc>
      </w:tr>
      <w:tr w:rsidR="00611BDD" w14:paraId="54066FCA" w14:textId="77777777">
        <w:tc>
          <w:tcPr>
            <w:tcW w:w="0" w:type="auto"/>
            <w:gridSpan w:val="3"/>
            <w:shd w:val="clear" w:color="auto" w:fill="auto"/>
            <w:tcMar>
              <w:top w:w="0" w:type="dxa"/>
              <w:left w:w="20" w:type="dxa"/>
              <w:bottom w:w="0" w:type="dxa"/>
              <w:right w:w="20" w:type="dxa"/>
            </w:tcMar>
            <w:vAlign w:val="bottom"/>
          </w:tcPr>
          <w:p w14:paraId="54066FC6"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6FC7" w14:textId="77777777" w:rsidR="00611BDD" w:rsidRDefault="002E18C7">
            <w:pPr>
              <w:jc w:val="center"/>
              <w:textAlignment w:val="bottom"/>
            </w:pPr>
            <w:r>
              <w:rPr>
                <w:rFonts w:ascii="sans-serif" w:eastAsia="sans-serif" w:hAnsi="sans-serif" w:cs="sans-serif"/>
                <w:b/>
                <w:bCs/>
                <w:color w:val="000000"/>
                <w:sz w:val="20"/>
                <w:szCs w:val="20"/>
              </w:rPr>
              <w:t>August 1,</w:t>
            </w:r>
          </w:p>
        </w:tc>
        <w:tc>
          <w:tcPr>
            <w:tcW w:w="0" w:type="auto"/>
            <w:gridSpan w:val="3"/>
            <w:shd w:val="clear" w:color="auto" w:fill="auto"/>
            <w:tcMar>
              <w:top w:w="0" w:type="dxa"/>
              <w:left w:w="20" w:type="dxa"/>
              <w:bottom w:w="0" w:type="dxa"/>
              <w:right w:w="20" w:type="dxa"/>
            </w:tcMar>
            <w:vAlign w:val="bottom"/>
          </w:tcPr>
          <w:p w14:paraId="54066FC8"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6FC9" w14:textId="77777777" w:rsidR="00611BDD" w:rsidRDefault="002E18C7">
            <w:pPr>
              <w:jc w:val="center"/>
              <w:textAlignment w:val="bottom"/>
            </w:pPr>
            <w:r>
              <w:rPr>
                <w:rFonts w:ascii="sans-serif" w:eastAsia="sans-serif" w:hAnsi="sans-serif" w:cs="sans-serif"/>
                <w:b/>
                <w:bCs/>
                <w:color w:val="000000"/>
                <w:sz w:val="20"/>
                <w:szCs w:val="20"/>
              </w:rPr>
              <w:t>January 31,</w:t>
            </w:r>
          </w:p>
        </w:tc>
      </w:tr>
      <w:tr w:rsidR="00611BDD" w14:paraId="54066FCF" w14:textId="77777777">
        <w:tc>
          <w:tcPr>
            <w:tcW w:w="0" w:type="auto"/>
            <w:gridSpan w:val="3"/>
            <w:shd w:val="clear" w:color="auto" w:fill="auto"/>
            <w:tcMar>
              <w:top w:w="40" w:type="dxa"/>
              <w:left w:w="20" w:type="dxa"/>
              <w:bottom w:w="40" w:type="dxa"/>
              <w:right w:w="20" w:type="dxa"/>
            </w:tcMar>
            <w:vAlign w:val="bottom"/>
          </w:tcPr>
          <w:p w14:paraId="54066FCB"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4066FCC" w14:textId="77777777" w:rsidR="00611BDD" w:rsidRDefault="002E18C7">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4066FCD"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6FCE" w14:textId="77777777" w:rsidR="00611BDD" w:rsidRDefault="002E18C7">
            <w:pPr>
              <w:jc w:val="center"/>
              <w:textAlignment w:val="bottom"/>
            </w:pPr>
            <w:r>
              <w:rPr>
                <w:rFonts w:ascii="sans-serif" w:eastAsia="sans-serif" w:hAnsi="sans-serif" w:cs="sans-serif"/>
                <w:b/>
                <w:bCs/>
                <w:color w:val="000000"/>
                <w:sz w:val="20"/>
                <w:szCs w:val="20"/>
              </w:rPr>
              <w:t>2021</w:t>
            </w:r>
          </w:p>
        </w:tc>
      </w:tr>
      <w:tr w:rsidR="00611BDD" w14:paraId="54066FD4" w14:textId="77777777">
        <w:trPr>
          <w:trHeight w:val="60"/>
        </w:trPr>
        <w:tc>
          <w:tcPr>
            <w:tcW w:w="0" w:type="auto"/>
            <w:gridSpan w:val="3"/>
            <w:shd w:val="clear" w:color="auto" w:fill="auto"/>
            <w:tcMar>
              <w:top w:w="0" w:type="dxa"/>
              <w:left w:w="20" w:type="dxa"/>
              <w:bottom w:w="0" w:type="dxa"/>
              <w:right w:w="20" w:type="dxa"/>
            </w:tcMar>
            <w:vAlign w:val="bottom"/>
          </w:tcPr>
          <w:p w14:paraId="54066FD0"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FD1"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6FD2"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6FD3" w14:textId="77777777" w:rsidR="00611BDD" w:rsidRDefault="00611BDD">
            <w:pPr>
              <w:rPr>
                <w:rFonts w:ascii="宋体"/>
              </w:rPr>
            </w:pPr>
          </w:p>
        </w:tc>
      </w:tr>
      <w:tr w:rsidR="00611BDD" w14:paraId="54066FD7" w14:textId="77777777">
        <w:tc>
          <w:tcPr>
            <w:tcW w:w="0" w:type="auto"/>
            <w:gridSpan w:val="3"/>
            <w:shd w:val="clear" w:color="auto" w:fill="auto"/>
            <w:tcMar>
              <w:top w:w="40" w:type="dxa"/>
              <w:left w:w="20" w:type="dxa"/>
              <w:bottom w:w="40" w:type="dxa"/>
              <w:right w:w="20" w:type="dxa"/>
            </w:tcMar>
            <w:vAlign w:val="bottom"/>
          </w:tcPr>
          <w:p w14:paraId="54066FD5" w14:textId="77777777" w:rsidR="00611BDD" w:rsidRDefault="002E18C7">
            <w:pPr>
              <w:textAlignment w:val="bottom"/>
            </w:pPr>
            <w:r>
              <w:rPr>
                <w:rFonts w:ascii="sans-serif" w:eastAsia="sans-serif" w:hAnsi="sans-serif" w:cs="sans-serif"/>
                <w:b/>
                <w:bCs/>
                <w:color w:val="000000"/>
                <w:sz w:val="20"/>
                <w:szCs w:val="20"/>
              </w:rPr>
              <w:t>Prepaid expenses and other current assets:</w:t>
            </w:r>
          </w:p>
        </w:tc>
        <w:tc>
          <w:tcPr>
            <w:tcW w:w="0" w:type="auto"/>
            <w:gridSpan w:val="9"/>
            <w:shd w:val="clear" w:color="auto" w:fill="auto"/>
            <w:tcMar>
              <w:top w:w="40" w:type="dxa"/>
              <w:left w:w="20" w:type="dxa"/>
              <w:bottom w:w="40" w:type="dxa"/>
              <w:right w:w="20" w:type="dxa"/>
            </w:tcMar>
            <w:vAlign w:val="bottom"/>
          </w:tcPr>
          <w:p w14:paraId="54066FD6" w14:textId="77777777" w:rsidR="00611BDD" w:rsidRDefault="002E18C7">
            <w:pPr>
              <w:jc w:val="center"/>
              <w:textAlignment w:val="bottom"/>
            </w:pPr>
            <w:r>
              <w:rPr>
                <w:rFonts w:ascii="sans-serif" w:eastAsia="sans-serif" w:hAnsi="sans-serif" w:cs="sans-serif"/>
                <w:i/>
                <w:iCs/>
                <w:color w:val="000000"/>
                <w:sz w:val="20"/>
                <w:szCs w:val="20"/>
              </w:rPr>
              <w:t>(In millions)</w:t>
            </w:r>
          </w:p>
        </w:tc>
      </w:tr>
      <w:tr w:rsidR="00611BDD" w14:paraId="54066FE0" w14:textId="77777777">
        <w:tc>
          <w:tcPr>
            <w:tcW w:w="0" w:type="auto"/>
            <w:gridSpan w:val="3"/>
            <w:shd w:val="clear" w:color="auto" w:fill="E2EFD9"/>
            <w:tcMar>
              <w:top w:w="40" w:type="dxa"/>
              <w:left w:w="20" w:type="dxa"/>
              <w:bottom w:w="40" w:type="dxa"/>
              <w:right w:w="20" w:type="dxa"/>
            </w:tcMar>
            <w:vAlign w:val="bottom"/>
          </w:tcPr>
          <w:p w14:paraId="54066FD8" w14:textId="77777777" w:rsidR="00611BDD" w:rsidRDefault="002E18C7">
            <w:pPr>
              <w:textAlignment w:val="bottom"/>
            </w:pPr>
            <w:r>
              <w:rPr>
                <w:rFonts w:ascii="sans-serif" w:eastAsia="sans-serif" w:hAnsi="sans-serif" w:cs="sans-serif"/>
                <w:color w:val="000000"/>
                <w:sz w:val="20"/>
                <w:szCs w:val="20"/>
              </w:rPr>
              <w:t>Prepaid expenses</w:t>
            </w:r>
          </w:p>
        </w:tc>
        <w:tc>
          <w:tcPr>
            <w:tcW w:w="0" w:type="auto"/>
            <w:shd w:val="clear" w:color="auto" w:fill="E2EFD9"/>
            <w:tcMar>
              <w:top w:w="40" w:type="dxa"/>
              <w:left w:w="20" w:type="dxa"/>
              <w:bottom w:w="40" w:type="dxa"/>
              <w:right w:w="0" w:type="dxa"/>
            </w:tcMar>
            <w:vAlign w:val="bottom"/>
          </w:tcPr>
          <w:p w14:paraId="54066FD9"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FDA" w14:textId="77777777" w:rsidR="00611BDD" w:rsidRDefault="002E18C7">
            <w:pPr>
              <w:jc w:val="right"/>
              <w:textAlignment w:val="bottom"/>
            </w:pPr>
            <w:r>
              <w:rPr>
                <w:rFonts w:ascii="sans-serif" w:eastAsia="sans-serif" w:hAnsi="sans-serif" w:cs="sans-serif"/>
                <w:color w:val="000000"/>
                <w:sz w:val="20"/>
                <w:szCs w:val="20"/>
              </w:rPr>
              <w:t>195 </w:t>
            </w:r>
          </w:p>
        </w:tc>
        <w:tc>
          <w:tcPr>
            <w:tcW w:w="0" w:type="auto"/>
            <w:shd w:val="clear" w:color="auto" w:fill="E2EFD9"/>
            <w:tcMar>
              <w:top w:w="40" w:type="dxa"/>
              <w:left w:w="0" w:type="dxa"/>
              <w:bottom w:w="40" w:type="dxa"/>
              <w:right w:w="20" w:type="dxa"/>
            </w:tcMar>
            <w:vAlign w:val="bottom"/>
          </w:tcPr>
          <w:p w14:paraId="54066FD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FDC"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6FDD"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6FDE" w14:textId="77777777" w:rsidR="00611BDD" w:rsidRDefault="002E18C7">
            <w:pPr>
              <w:jc w:val="right"/>
              <w:textAlignment w:val="bottom"/>
            </w:pPr>
            <w:r>
              <w:rPr>
                <w:rFonts w:ascii="sans-serif" w:eastAsia="sans-serif" w:hAnsi="sans-serif" w:cs="sans-serif"/>
                <w:color w:val="000000"/>
                <w:sz w:val="20"/>
                <w:szCs w:val="20"/>
              </w:rPr>
              <w:t>142 </w:t>
            </w:r>
          </w:p>
        </w:tc>
        <w:tc>
          <w:tcPr>
            <w:tcW w:w="0" w:type="auto"/>
            <w:shd w:val="clear" w:color="auto" w:fill="E2EFD9"/>
            <w:tcMar>
              <w:top w:w="40" w:type="dxa"/>
              <w:left w:w="0" w:type="dxa"/>
              <w:bottom w:w="40" w:type="dxa"/>
              <w:right w:w="20" w:type="dxa"/>
            </w:tcMar>
            <w:vAlign w:val="bottom"/>
          </w:tcPr>
          <w:p w14:paraId="54066FDF" w14:textId="77777777" w:rsidR="00611BDD" w:rsidRDefault="00611BDD">
            <w:pPr>
              <w:jc w:val="right"/>
              <w:rPr>
                <w:rFonts w:ascii="宋体"/>
              </w:rPr>
            </w:pPr>
          </w:p>
        </w:tc>
      </w:tr>
      <w:tr w:rsidR="00611BDD" w14:paraId="54066FE7" w14:textId="77777777">
        <w:tc>
          <w:tcPr>
            <w:tcW w:w="0" w:type="auto"/>
            <w:gridSpan w:val="3"/>
            <w:shd w:val="clear" w:color="auto" w:fill="FFFFFF"/>
            <w:tcMar>
              <w:top w:w="40" w:type="dxa"/>
              <w:left w:w="20" w:type="dxa"/>
              <w:bottom w:w="40" w:type="dxa"/>
              <w:right w:w="20" w:type="dxa"/>
            </w:tcMar>
            <w:vAlign w:val="bottom"/>
          </w:tcPr>
          <w:p w14:paraId="54066FE1" w14:textId="77777777" w:rsidR="00611BDD" w:rsidRDefault="002E18C7">
            <w:pPr>
              <w:textAlignment w:val="bottom"/>
            </w:pPr>
            <w:r>
              <w:rPr>
                <w:rFonts w:ascii="sans-serif" w:eastAsia="sans-serif" w:hAnsi="sans-serif" w:cs="sans-serif"/>
                <w:color w:val="000000"/>
                <w:sz w:val="20"/>
                <w:szCs w:val="20"/>
              </w:rPr>
              <w:t>Publicly-held equity security</w:t>
            </w:r>
          </w:p>
        </w:tc>
        <w:tc>
          <w:tcPr>
            <w:tcW w:w="0" w:type="auto"/>
            <w:gridSpan w:val="2"/>
            <w:shd w:val="clear" w:color="auto" w:fill="FFFFFF"/>
            <w:tcMar>
              <w:top w:w="40" w:type="dxa"/>
              <w:left w:w="20" w:type="dxa"/>
              <w:bottom w:w="40" w:type="dxa"/>
              <w:right w:w="0" w:type="dxa"/>
            </w:tcMar>
            <w:vAlign w:val="bottom"/>
          </w:tcPr>
          <w:p w14:paraId="54066FE2" w14:textId="77777777" w:rsidR="00611BDD" w:rsidRDefault="002E18C7">
            <w:pPr>
              <w:jc w:val="right"/>
              <w:textAlignment w:val="bottom"/>
            </w:pPr>
            <w:r>
              <w:rPr>
                <w:rFonts w:ascii="sans-serif" w:eastAsia="sans-serif" w:hAnsi="sans-serif" w:cs="sans-serif"/>
                <w:color w:val="000000"/>
                <w:sz w:val="20"/>
                <w:szCs w:val="20"/>
              </w:rPr>
              <w:t>128 </w:t>
            </w:r>
          </w:p>
        </w:tc>
        <w:tc>
          <w:tcPr>
            <w:tcW w:w="0" w:type="auto"/>
            <w:shd w:val="clear" w:color="auto" w:fill="FFFFFF"/>
            <w:tcMar>
              <w:top w:w="40" w:type="dxa"/>
              <w:left w:w="0" w:type="dxa"/>
              <w:bottom w:w="40" w:type="dxa"/>
              <w:right w:w="20" w:type="dxa"/>
            </w:tcMar>
            <w:vAlign w:val="bottom"/>
          </w:tcPr>
          <w:p w14:paraId="54066FE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FE4"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6FE5"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4066FE6" w14:textId="77777777" w:rsidR="00611BDD" w:rsidRDefault="00611BDD">
            <w:pPr>
              <w:jc w:val="right"/>
              <w:rPr>
                <w:rFonts w:ascii="宋体"/>
              </w:rPr>
            </w:pPr>
          </w:p>
        </w:tc>
      </w:tr>
      <w:tr w:rsidR="00611BDD" w14:paraId="54066FEE" w14:textId="77777777">
        <w:tc>
          <w:tcPr>
            <w:tcW w:w="0" w:type="auto"/>
            <w:gridSpan w:val="3"/>
            <w:shd w:val="clear" w:color="auto" w:fill="E2EFD9"/>
            <w:tcMar>
              <w:top w:w="40" w:type="dxa"/>
              <w:left w:w="20" w:type="dxa"/>
              <w:bottom w:w="40" w:type="dxa"/>
              <w:right w:w="20" w:type="dxa"/>
            </w:tcMar>
            <w:vAlign w:val="bottom"/>
          </w:tcPr>
          <w:p w14:paraId="54066FE8" w14:textId="77777777" w:rsidR="00611BDD" w:rsidRDefault="002E18C7">
            <w:pPr>
              <w:textAlignment w:val="bottom"/>
            </w:pPr>
            <w:r>
              <w:rPr>
                <w:rFonts w:ascii="sans-serif" w:eastAsia="sans-serif" w:hAnsi="sans-serif" w:cs="sans-serif"/>
                <w:color w:val="000000"/>
                <w:sz w:val="20"/>
                <w:szCs w:val="20"/>
              </w:rPr>
              <w:t>Other</w:t>
            </w:r>
          </w:p>
        </w:tc>
        <w:tc>
          <w:tcPr>
            <w:tcW w:w="0" w:type="auto"/>
            <w:gridSpan w:val="2"/>
            <w:shd w:val="clear" w:color="auto" w:fill="E2EFD9"/>
            <w:tcMar>
              <w:top w:w="40" w:type="dxa"/>
              <w:left w:w="20" w:type="dxa"/>
              <w:bottom w:w="40" w:type="dxa"/>
              <w:right w:w="0" w:type="dxa"/>
            </w:tcMar>
            <w:vAlign w:val="bottom"/>
          </w:tcPr>
          <w:p w14:paraId="54066FE9" w14:textId="77777777" w:rsidR="00611BDD" w:rsidRDefault="002E18C7">
            <w:pPr>
              <w:jc w:val="right"/>
              <w:textAlignment w:val="bottom"/>
            </w:pPr>
            <w:r>
              <w:rPr>
                <w:rFonts w:ascii="sans-serif" w:eastAsia="sans-serif" w:hAnsi="sans-serif" w:cs="sans-serif"/>
                <w:color w:val="000000"/>
                <w:sz w:val="20"/>
                <w:szCs w:val="20"/>
              </w:rPr>
              <w:t>129 </w:t>
            </w:r>
          </w:p>
        </w:tc>
        <w:tc>
          <w:tcPr>
            <w:tcW w:w="0" w:type="auto"/>
            <w:shd w:val="clear" w:color="auto" w:fill="E2EFD9"/>
            <w:tcMar>
              <w:top w:w="40" w:type="dxa"/>
              <w:left w:w="0" w:type="dxa"/>
              <w:bottom w:w="40" w:type="dxa"/>
              <w:right w:w="20" w:type="dxa"/>
            </w:tcMar>
            <w:vAlign w:val="bottom"/>
          </w:tcPr>
          <w:p w14:paraId="54066FE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6FEB"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6FEC" w14:textId="77777777" w:rsidR="00611BDD" w:rsidRDefault="002E18C7">
            <w:pPr>
              <w:jc w:val="right"/>
              <w:textAlignment w:val="bottom"/>
            </w:pPr>
            <w:r>
              <w:rPr>
                <w:rFonts w:ascii="sans-serif" w:eastAsia="sans-serif" w:hAnsi="sans-serif" w:cs="sans-serif"/>
                <w:color w:val="000000"/>
                <w:sz w:val="20"/>
                <w:szCs w:val="20"/>
              </w:rPr>
              <w:t>97 </w:t>
            </w:r>
          </w:p>
        </w:tc>
        <w:tc>
          <w:tcPr>
            <w:tcW w:w="0" w:type="auto"/>
            <w:shd w:val="clear" w:color="auto" w:fill="E2EFD9"/>
            <w:tcMar>
              <w:top w:w="40" w:type="dxa"/>
              <w:left w:w="0" w:type="dxa"/>
              <w:bottom w:w="40" w:type="dxa"/>
              <w:right w:w="20" w:type="dxa"/>
            </w:tcMar>
            <w:vAlign w:val="bottom"/>
          </w:tcPr>
          <w:p w14:paraId="54066FED" w14:textId="77777777" w:rsidR="00611BDD" w:rsidRDefault="00611BDD">
            <w:pPr>
              <w:jc w:val="right"/>
              <w:rPr>
                <w:rFonts w:ascii="宋体"/>
              </w:rPr>
            </w:pPr>
          </w:p>
        </w:tc>
      </w:tr>
      <w:tr w:rsidR="00611BDD" w14:paraId="54066FF7" w14:textId="77777777">
        <w:tc>
          <w:tcPr>
            <w:tcW w:w="0" w:type="auto"/>
            <w:gridSpan w:val="3"/>
            <w:shd w:val="clear" w:color="auto" w:fill="FFFFFF"/>
            <w:tcMar>
              <w:top w:w="40" w:type="dxa"/>
              <w:left w:w="380" w:type="dxa"/>
              <w:bottom w:w="40" w:type="dxa"/>
              <w:right w:w="20" w:type="dxa"/>
            </w:tcMar>
            <w:vAlign w:val="bottom"/>
          </w:tcPr>
          <w:p w14:paraId="54066FEF" w14:textId="77777777" w:rsidR="00611BDD" w:rsidRDefault="002E18C7">
            <w:pPr>
              <w:textAlignment w:val="bottom"/>
            </w:pPr>
            <w:r>
              <w:rPr>
                <w:rFonts w:ascii="sans-serif" w:eastAsia="sans-serif" w:hAnsi="sans-serif" w:cs="sans-serif"/>
                <w:color w:val="000000"/>
                <w:sz w:val="20"/>
                <w:szCs w:val="20"/>
              </w:rPr>
              <w:t>Total prepaid expenses and other current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4066FF0"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4066FF1" w14:textId="77777777" w:rsidR="00611BDD" w:rsidRDefault="002E18C7">
            <w:pPr>
              <w:jc w:val="right"/>
              <w:textAlignment w:val="bottom"/>
            </w:pPr>
            <w:r>
              <w:rPr>
                <w:rFonts w:ascii="sans-serif" w:eastAsia="sans-serif" w:hAnsi="sans-serif" w:cs="sans-serif"/>
                <w:color w:val="000000"/>
                <w:sz w:val="20"/>
                <w:szCs w:val="20"/>
              </w:rPr>
              <w:t>452 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4066FF2"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6FF3" w14:textId="77777777" w:rsidR="00611BDD" w:rsidRDefault="00611BD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4066FF4"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4066FF5" w14:textId="77777777" w:rsidR="00611BDD" w:rsidRDefault="002E18C7">
            <w:pPr>
              <w:jc w:val="right"/>
              <w:textAlignment w:val="bottom"/>
            </w:pPr>
            <w:r>
              <w:rPr>
                <w:rFonts w:ascii="sans-serif" w:eastAsia="sans-serif" w:hAnsi="sans-serif" w:cs="sans-serif"/>
                <w:color w:val="000000"/>
                <w:sz w:val="20"/>
                <w:szCs w:val="20"/>
              </w:rPr>
              <w:t>239 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4066FF6" w14:textId="77777777" w:rsidR="00611BDD" w:rsidRDefault="00611BDD">
            <w:pPr>
              <w:jc w:val="right"/>
              <w:rPr>
                <w:rFonts w:ascii="宋体"/>
              </w:rPr>
            </w:pPr>
          </w:p>
        </w:tc>
      </w:tr>
    </w:tbl>
    <w:p w14:paraId="54066FF8" w14:textId="77777777" w:rsidR="00611BDD" w:rsidRDefault="002E18C7">
      <w:pPr>
        <w:spacing w:after="180"/>
        <w:jc w:val="center"/>
      </w:pPr>
      <w:r>
        <w:rPr>
          <w:rFonts w:ascii="sans-serif" w:eastAsia="sans-serif" w:hAnsi="sans-serif" w:cs="sans-serif"/>
          <w:color w:val="000000"/>
          <w:sz w:val="20"/>
          <w:szCs w:val="20"/>
        </w:rPr>
        <w:t>16</w:t>
      </w:r>
    </w:p>
    <w:p w14:paraId="54066FF9" w14:textId="77777777" w:rsidR="00611BDD" w:rsidRDefault="002E18C7">
      <w:r>
        <w:pict w14:anchorId="54067C34">
          <v:rect id="_x0000_i1040" style="width:415.3pt;height:1.5pt" o:hralign="center" o:hrstd="t" o:hr="t" fillcolor="#a0a0a0" stroked="f"/>
        </w:pict>
      </w:r>
    </w:p>
    <w:p w14:paraId="54066FFA" w14:textId="77777777" w:rsidR="00611BDD" w:rsidRDefault="002E18C7">
      <w:pPr>
        <w:jc w:val="center"/>
      </w:pPr>
      <w:r>
        <w:rPr>
          <w:rFonts w:ascii="sans-serif" w:eastAsia="sans-serif" w:hAnsi="sans-serif" w:cs="sans-serif"/>
          <w:b/>
          <w:bCs/>
          <w:color w:val="000000"/>
          <w:sz w:val="20"/>
          <w:szCs w:val="20"/>
        </w:rPr>
        <w:t>NVIDIA CORPORATION AND SUBSIDIARIES</w:t>
      </w:r>
    </w:p>
    <w:p w14:paraId="54066FFB" w14:textId="77777777" w:rsidR="00611BDD" w:rsidRDefault="002E18C7">
      <w:pPr>
        <w:jc w:val="center"/>
      </w:pPr>
      <w:r>
        <w:rPr>
          <w:rFonts w:ascii="sans-serif" w:eastAsia="sans-serif" w:hAnsi="sans-serif" w:cs="sans-serif"/>
          <w:b/>
          <w:bCs/>
          <w:color w:val="000000"/>
          <w:sz w:val="20"/>
          <w:szCs w:val="20"/>
        </w:rPr>
        <w:t>NOTES TO CONDENSED CONSOLIDATED FINANCIAL STATEMENTS (Continued)</w:t>
      </w:r>
    </w:p>
    <w:p w14:paraId="54066FFC" w14:textId="77777777" w:rsidR="00611BDD" w:rsidRDefault="002E18C7">
      <w:pPr>
        <w:jc w:val="center"/>
      </w:pPr>
      <w:r>
        <w:rPr>
          <w:rFonts w:ascii="sans-serif" w:eastAsia="sans-serif" w:hAnsi="sans-serif" w:cs="sans-serif"/>
          <w:b/>
          <w:bCs/>
          <w:color w:val="000000"/>
          <w:sz w:val="20"/>
          <w:szCs w:val="20"/>
        </w:rPr>
        <w:t>(Unaudited)</w:t>
      </w:r>
    </w:p>
    <w:p w14:paraId="54066FFD" w14:textId="77777777" w:rsidR="00611BDD" w:rsidRDefault="00611BDD">
      <w:pPr>
        <w:spacing w:after="180"/>
        <w:jc w:val="both"/>
      </w:pPr>
    </w:p>
    <w:p w14:paraId="54066FFE" w14:textId="77777777" w:rsidR="00611BDD" w:rsidRDefault="00611BDD">
      <w:pPr>
        <w:spacing w:after="180"/>
        <w:jc w:val="both"/>
      </w:pPr>
    </w:p>
    <w:tbl>
      <w:tblPr>
        <w:tblW w:w="4993" w:type="pct"/>
        <w:tblCellMar>
          <w:top w:w="15" w:type="dxa"/>
          <w:left w:w="15" w:type="dxa"/>
          <w:bottom w:w="15" w:type="dxa"/>
          <w:right w:w="15" w:type="dxa"/>
        </w:tblCellMar>
        <w:tblLook w:val="04A0" w:firstRow="1" w:lastRow="0" w:firstColumn="1" w:lastColumn="0" w:noHBand="0" w:noVBand="1"/>
      </w:tblPr>
      <w:tblGrid>
        <w:gridCol w:w="40"/>
        <w:gridCol w:w="5910"/>
        <w:gridCol w:w="36"/>
        <w:gridCol w:w="122"/>
        <w:gridCol w:w="974"/>
        <w:gridCol w:w="36"/>
        <w:gridCol w:w="36"/>
        <w:gridCol w:w="36"/>
        <w:gridCol w:w="36"/>
        <w:gridCol w:w="123"/>
        <w:gridCol w:w="939"/>
        <w:gridCol w:w="36"/>
      </w:tblGrid>
      <w:tr w:rsidR="00611BDD" w14:paraId="5406700B" w14:textId="77777777">
        <w:tc>
          <w:tcPr>
            <w:tcW w:w="50" w:type="pct"/>
            <w:shd w:val="clear" w:color="auto" w:fill="auto"/>
            <w:vAlign w:val="bottom"/>
          </w:tcPr>
          <w:p w14:paraId="54066FFF" w14:textId="77777777" w:rsidR="00611BDD" w:rsidRDefault="00611BDD">
            <w:pPr>
              <w:rPr>
                <w:rFonts w:ascii="宋体"/>
              </w:rPr>
            </w:pPr>
          </w:p>
        </w:tc>
        <w:tc>
          <w:tcPr>
            <w:tcW w:w="3575" w:type="pct"/>
            <w:shd w:val="clear" w:color="auto" w:fill="auto"/>
            <w:vAlign w:val="bottom"/>
          </w:tcPr>
          <w:p w14:paraId="54067000" w14:textId="77777777" w:rsidR="00611BDD" w:rsidRDefault="00611BDD">
            <w:pPr>
              <w:rPr>
                <w:rFonts w:ascii="宋体"/>
              </w:rPr>
            </w:pPr>
          </w:p>
        </w:tc>
        <w:tc>
          <w:tcPr>
            <w:tcW w:w="5" w:type="pct"/>
            <w:shd w:val="clear" w:color="auto" w:fill="auto"/>
            <w:vAlign w:val="bottom"/>
          </w:tcPr>
          <w:p w14:paraId="54067001" w14:textId="77777777" w:rsidR="00611BDD" w:rsidRDefault="00611BDD">
            <w:pPr>
              <w:rPr>
                <w:rFonts w:ascii="宋体"/>
              </w:rPr>
            </w:pPr>
          </w:p>
        </w:tc>
        <w:tc>
          <w:tcPr>
            <w:tcW w:w="50" w:type="pct"/>
            <w:shd w:val="clear" w:color="auto" w:fill="auto"/>
            <w:vAlign w:val="bottom"/>
          </w:tcPr>
          <w:p w14:paraId="54067002" w14:textId="77777777" w:rsidR="00611BDD" w:rsidRDefault="00611BDD">
            <w:pPr>
              <w:rPr>
                <w:rFonts w:ascii="宋体"/>
              </w:rPr>
            </w:pPr>
          </w:p>
        </w:tc>
        <w:tc>
          <w:tcPr>
            <w:tcW w:w="611" w:type="pct"/>
            <w:shd w:val="clear" w:color="auto" w:fill="auto"/>
            <w:vAlign w:val="bottom"/>
          </w:tcPr>
          <w:p w14:paraId="54067003" w14:textId="77777777" w:rsidR="00611BDD" w:rsidRDefault="00611BDD">
            <w:pPr>
              <w:rPr>
                <w:rFonts w:ascii="宋体"/>
              </w:rPr>
            </w:pPr>
          </w:p>
        </w:tc>
        <w:tc>
          <w:tcPr>
            <w:tcW w:w="5" w:type="pct"/>
            <w:shd w:val="clear" w:color="auto" w:fill="auto"/>
            <w:vAlign w:val="bottom"/>
          </w:tcPr>
          <w:p w14:paraId="54067004" w14:textId="77777777" w:rsidR="00611BDD" w:rsidRDefault="00611BDD">
            <w:pPr>
              <w:rPr>
                <w:rFonts w:ascii="宋体"/>
              </w:rPr>
            </w:pPr>
          </w:p>
        </w:tc>
        <w:tc>
          <w:tcPr>
            <w:tcW w:w="5" w:type="pct"/>
            <w:shd w:val="clear" w:color="auto" w:fill="auto"/>
            <w:vAlign w:val="bottom"/>
          </w:tcPr>
          <w:p w14:paraId="54067005" w14:textId="77777777" w:rsidR="00611BDD" w:rsidRDefault="00611BDD">
            <w:pPr>
              <w:rPr>
                <w:rFonts w:ascii="宋体"/>
              </w:rPr>
            </w:pPr>
          </w:p>
        </w:tc>
        <w:tc>
          <w:tcPr>
            <w:tcW w:w="26" w:type="pct"/>
            <w:shd w:val="clear" w:color="auto" w:fill="auto"/>
            <w:vAlign w:val="bottom"/>
          </w:tcPr>
          <w:p w14:paraId="54067006" w14:textId="77777777" w:rsidR="00611BDD" w:rsidRDefault="00611BDD">
            <w:pPr>
              <w:rPr>
                <w:rFonts w:ascii="宋体"/>
              </w:rPr>
            </w:pPr>
          </w:p>
        </w:tc>
        <w:tc>
          <w:tcPr>
            <w:tcW w:w="5" w:type="pct"/>
            <w:shd w:val="clear" w:color="auto" w:fill="auto"/>
            <w:vAlign w:val="bottom"/>
          </w:tcPr>
          <w:p w14:paraId="54067007" w14:textId="77777777" w:rsidR="00611BDD" w:rsidRDefault="00611BDD">
            <w:pPr>
              <w:rPr>
                <w:rFonts w:ascii="宋体"/>
              </w:rPr>
            </w:pPr>
          </w:p>
        </w:tc>
        <w:tc>
          <w:tcPr>
            <w:tcW w:w="50" w:type="pct"/>
            <w:shd w:val="clear" w:color="auto" w:fill="auto"/>
            <w:vAlign w:val="bottom"/>
          </w:tcPr>
          <w:p w14:paraId="54067008" w14:textId="77777777" w:rsidR="00611BDD" w:rsidRDefault="00611BDD">
            <w:pPr>
              <w:rPr>
                <w:rFonts w:ascii="宋体"/>
              </w:rPr>
            </w:pPr>
          </w:p>
        </w:tc>
        <w:tc>
          <w:tcPr>
            <w:tcW w:w="611" w:type="pct"/>
            <w:shd w:val="clear" w:color="auto" w:fill="auto"/>
            <w:vAlign w:val="bottom"/>
          </w:tcPr>
          <w:p w14:paraId="54067009" w14:textId="77777777" w:rsidR="00611BDD" w:rsidRDefault="00611BDD">
            <w:pPr>
              <w:rPr>
                <w:rFonts w:ascii="宋体"/>
              </w:rPr>
            </w:pPr>
          </w:p>
        </w:tc>
        <w:tc>
          <w:tcPr>
            <w:tcW w:w="5" w:type="pct"/>
            <w:shd w:val="clear" w:color="auto" w:fill="auto"/>
            <w:vAlign w:val="bottom"/>
          </w:tcPr>
          <w:p w14:paraId="5406700A" w14:textId="77777777" w:rsidR="00611BDD" w:rsidRDefault="00611BDD">
            <w:pPr>
              <w:rPr>
                <w:rFonts w:ascii="宋体"/>
              </w:rPr>
            </w:pPr>
          </w:p>
        </w:tc>
      </w:tr>
      <w:tr w:rsidR="00611BDD" w14:paraId="54067010" w14:textId="77777777">
        <w:tc>
          <w:tcPr>
            <w:tcW w:w="0" w:type="auto"/>
            <w:gridSpan w:val="3"/>
            <w:shd w:val="clear" w:color="auto" w:fill="auto"/>
            <w:tcMar>
              <w:top w:w="0" w:type="dxa"/>
              <w:left w:w="20" w:type="dxa"/>
              <w:bottom w:w="0" w:type="dxa"/>
              <w:right w:w="20" w:type="dxa"/>
            </w:tcMar>
            <w:vAlign w:val="bottom"/>
          </w:tcPr>
          <w:p w14:paraId="5406700C"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00D" w14:textId="77777777" w:rsidR="00611BDD" w:rsidRDefault="002E18C7">
            <w:pPr>
              <w:jc w:val="center"/>
              <w:textAlignment w:val="bottom"/>
            </w:pPr>
            <w:r>
              <w:rPr>
                <w:rFonts w:ascii="sans-serif" w:eastAsia="sans-serif" w:hAnsi="sans-serif" w:cs="sans-serif"/>
                <w:b/>
                <w:bCs/>
                <w:color w:val="000000"/>
                <w:sz w:val="20"/>
                <w:szCs w:val="20"/>
              </w:rPr>
              <w:t>August 1,</w:t>
            </w:r>
          </w:p>
        </w:tc>
        <w:tc>
          <w:tcPr>
            <w:tcW w:w="0" w:type="auto"/>
            <w:gridSpan w:val="3"/>
            <w:shd w:val="clear" w:color="auto" w:fill="auto"/>
            <w:tcMar>
              <w:top w:w="0" w:type="dxa"/>
              <w:left w:w="20" w:type="dxa"/>
              <w:bottom w:w="0" w:type="dxa"/>
              <w:right w:w="20" w:type="dxa"/>
            </w:tcMar>
            <w:vAlign w:val="bottom"/>
          </w:tcPr>
          <w:p w14:paraId="5406700E"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00F" w14:textId="77777777" w:rsidR="00611BDD" w:rsidRDefault="002E18C7">
            <w:pPr>
              <w:jc w:val="center"/>
              <w:textAlignment w:val="bottom"/>
            </w:pPr>
            <w:r>
              <w:rPr>
                <w:rFonts w:ascii="sans-serif" w:eastAsia="sans-serif" w:hAnsi="sans-serif" w:cs="sans-serif"/>
                <w:b/>
                <w:bCs/>
                <w:color w:val="000000"/>
                <w:sz w:val="20"/>
                <w:szCs w:val="20"/>
              </w:rPr>
              <w:t>January 31,</w:t>
            </w:r>
          </w:p>
        </w:tc>
      </w:tr>
      <w:tr w:rsidR="00611BDD" w14:paraId="54067015" w14:textId="77777777">
        <w:tc>
          <w:tcPr>
            <w:tcW w:w="0" w:type="auto"/>
            <w:gridSpan w:val="3"/>
            <w:shd w:val="clear" w:color="auto" w:fill="auto"/>
            <w:tcMar>
              <w:top w:w="40" w:type="dxa"/>
              <w:left w:w="20" w:type="dxa"/>
              <w:bottom w:w="40" w:type="dxa"/>
              <w:right w:w="20" w:type="dxa"/>
            </w:tcMar>
            <w:vAlign w:val="bottom"/>
          </w:tcPr>
          <w:p w14:paraId="54067011"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4067012" w14:textId="77777777" w:rsidR="00611BDD" w:rsidRDefault="002E18C7">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4067013"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014" w14:textId="77777777" w:rsidR="00611BDD" w:rsidRDefault="002E18C7">
            <w:pPr>
              <w:jc w:val="center"/>
              <w:textAlignment w:val="bottom"/>
            </w:pPr>
            <w:r>
              <w:rPr>
                <w:rFonts w:ascii="sans-serif" w:eastAsia="sans-serif" w:hAnsi="sans-serif" w:cs="sans-serif"/>
                <w:b/>
                <w:bCs/>
                <w:color w:val="000000"/>
                <w:sz w:val="20"/>
                <w:szCs w:val="20"/>
              </w:rPr>
              <w:t>2021</w:t>
            </w:r>
          </w:p>
        </w:tc>
      </w:tr>
      <w:tr w:rsidR="00611BDD" w14:paraId="5406701A" w14:textId="77777777">
        <w:trPr>
          <w:trHeight w:val="60"/>
        </w:trPr>
        <w:tc>
          <w:tcPr>
            <w:tcW w:w="0" w:type="auto"/>
            <w:gridSpan w:val="3"/>
            <w:shd w:val="clear" w:color="auto" w:fill="auto"/>
            <w:tcMar>
              <w:top w:w="0" w:type="dxa"/>
              <w:left w:w="20" w:type="dxa"/>
              <w:bottom w:w="0" w:type="dxa"/>
              <w:right w:w="20" w:type="dxa"/>
            </w:tcMar>
            <w:vAlign w:val="bottom"/>
          </w:tcPr>
          <w:p w14:paraId="54067016"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017"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018"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019" w14:textId="77777777" w:rsidR="00611BDD" w:rsidRDefault="00611BDD">
            <w:pPr>
              <w:rPr>
                <w:rFonts w:ascii="宋体"/>
              </w:rPr>
            </w:pPr>
          </w:p>
        </w:tc>
      </w:tr>
      <w:tr w:rsidR="00611BDD" w14:paraId="5406701D" w14:textId="77777777">
        <w:tc>
          <w:tcPr>
            <w:tcW w:w="0" w:type="auto"/>
            <w:gridSpan w:val="3"/>
            <w:shd w:val="clear" w:color="auto" w:fill="auto"/>
            <w:tcMar>
              <w:top w:w="40" w:type="dxa"/>
              <w:left w:w="20" w:type="dxa"/>
              <w:bottom w:w="40" w:type="dxa"/>
              <w:right w:w="20" w:type="dxa"/>
            </w:tcMar>
            <w:vAlign w:val="bottom"/>
          </w:tcPr>
          <w:p w14:paraId="5406701B" w14:textId="77777777" w:rsidR="00611BDD" w:rsidRDefault="002E18C7">
            <w:pPr>
              <w:textAlignment w:val="bottom"/>
            </w:pPr>
            <w:r>
              <w:rPr>
                <w:rFonts w:ascii="sans-serif" w:eastAsia="sans-serif" w:hAnsi="sans-serif" w:cs="sans-serif"/>
                <w:b/>
                <w:bCs/>
                <w:color w:val="000000"/>
                <w:sz w:val="20"/>
                <w:szCs w:val="20"/>
              </w:rPr>
              <w:t>Other assets:</w:t>
            </w:r>
          </w:p>
        </w:tc>
        <w:tc>
          <w:tcPr>
            <w:tcW w:w="0" w:type="auto"/>
            <w:gridSpan w:val="9"/>
            <w:shd w:val="clear" w:color="auto" w:fill="auto"/>
            <w:tcMar>
              <w:top w:w="40" w:type="dxa"/>
              <w:left w:w="20" w:type="dxa"/>
              <w:bottom w:w="40" w:type="dxa"/>
              <w:right w:w="20" w:type="dxa"/>
            </w:tcMar>
            <w:vAlign w:val="bottom"/>
          </w:tcPr>
          <w:p w14:paraId="5406701C" w14:textId="77777777" w:rsidR="00611BDD" w:rsidRDefault="002E18C7">
            <w:pPr>
              <w:jc w:val="center"/>
              <w:textAlignment w:val="bottom"/>
            </w:pPr>
            <w:r>
              <w:rPr>
                <w:rFonts w:ascii="sans-serif" w:eastAsia="sans-serif" w:hAnsi="sans-serif" w:cs="sans-serif"/>
                <w:i/>
                <w:iCs/>
                <w:color w:val="000000"/>
                <w:sz w:val="20"/>
                <w:szCs w:val="20"/>
              </w:rPr>
              <w:t>(In millions)</w:t>
            </w:r>
          </w:p>
        </w:tc>
      </w:tr>
      <w:tr w:rsidR="00611BDD" w14:paraId="54067026" w14:textId="77777777">
        <w:tc>
          <w:tcPr>
            <w:tcW w:w="0" w:type="auto"/>
            <w:gridSpan w:val="3"/>
            <w:shd w:val="clear" w:color="auto" w:fill="E2EFD9"/>
            <w:tcMar>
              <w:top w:w="40" w:type="dxa"/>
              <w:left w:w="20" w:type="dxa"/>
              <w:bottom w:w="40" w:type="dxa"/>
              <w:right w:w="20" w:type="dxa"/>
            </w:tcMar>
            <w:vAlign w:val="bottom"/>
          </w:tcPr>
          <w:p w14:paraId="5406701E" w14:textId="77777777" w:rsidR="00611BDD" w:rsidRDefault="002E18C7">
            <w:pPr>
              <w:textAlignment w:val="bottom"/>
            </w:pPr>
            <w:r>
              <w:rPr>
                <w:rFonts w:ascii="sans-serif" w:eastAsia="sans-serif" w:hAnsi="sans-serif" w:cs="sans-serif"/>
                <w:color w:val="000000"/>
                <w:sz w:val="20"/>
                <w:szCs w:val="20"/>
              </w:rPr>
              <w:t>Advanced consideration for acquisition</w:t>
            </w:r>
          </w:p>
        </w:tc>
        <w:tc>
          <w:tcPr>
            <w:tcW w:w="0" w:type="auto"/>
            <w:shd w:val="clear" w:color="auto" w:fill="E2EFD9"/>
            <w:tcMar>
              <w:top w:w="40" w:type="dxa"/>
              <w:left w:w="20" w:type="dxa"/>
              <w:bottom w:w="40" w:type="dxa"/>
              <w:right w:w="0" w:type="dxa"/>
            </w:tcMar>
            <w:vAlign w:val="bottom"/>
          </w:tcPr>
          <w:p w14:paraId="5406701F"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020" w14:textId="77777777" w:rsidR="00611BDD" w:rsidRDefault="002E18C7">
            <w:pPr>
              <w:jc w:val="right"/>
              <w:textAlignment w:val="bottom"/>
            </w:pPr>
            <w:r>
              <w:rPr>
                <w:rFonts w:ascii="sans-serif" w:eastAsia="sans-serif" w:hAnsi="sans-serif" w:cs="sans-serif"/>
                <w:color w:val="000000"/>
                <w:sz w:val="20"/>
                <w:szCs w:val="20"/>
              </w:rPr>
              <w:t>1,357 </w:t>
            </w:r>
          </w:p>
        </w:tc>
        <w:tc>
          <w:tcPr>
            <w:tcW w:w="0" w:type="auto"/>
            <w:shd w:val="clear" w:color="auto" w:fill="E2EFD9"/>
            <w:tcMar>
              <w:top w:w="40" w:type="dxa"/>
              <w:left w:w="0" w:type="dxa"/>
              <w:bottom w:w="40" w:type="dxa"/>
              <w:right w:w="20" w:type="dxa"/>
            </w:tcMar>
            <w:vAlign w:val="bottom"/>
          </w:tcPr>
          <w:p w14:paraId="54067021"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022"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023"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024" w14:textId="77777777" w:rsidR="00611BDD" w:rsidRDefault="002E18C7">
            <w:pPr>
              <w:jc w:val="right"/>
              <w:textAlignment w:val="bottom"/>
            </w:pPr>
            <w:r>
              <w:rPr>
                <w:rFonts w:ascii="sans-serif" w:eastAsia="sans-serif" w:hAnsi="sans-serif" w:cs="sans-serif"/>
                <w:color w:val="000000"/>
                <w:sz w:val="20"/>
                <w:szCs w:val="20"/>
              </w:rPr>
              <w:t>1,357 </w:t>
            </w:r>
          </w:p>
        </w:tc>
        <w:tc>
          <w:tcPr>
            <w:tcW w:w="0" w:type="auto"/>
            <w:shd w:val="clear" w:color="auto" w:fill="E2EFD9"/>
            <w:tcMar>
              <w:top w:w="40" w:type="dxa"/>
              <w:left w:w="0" w:type="dxa"/>
              <w:bottom w:w="40" w:type="dxa"/>
              <w:right w:w="20" w:type="dxa"/>
            </w:tcMar>
            <w:vAlign w:val="bottom"/>
          </w:tcPr>
          <w:p w14:paraId="54067025" w14:textId="77777777" w:rsidR="00611BDD" w:rsidRDefault="00611BDD">
            <w:pPr>
              <w:jc w:val="right"/>
              <w:rPr>
                <w:rFonts w:ascii="宋体"/>
              </w:rPr>
            </w:pPr>
          </w:p>
        </w:tc>
      </w:tr>
      <w:tr w:rsidR="00611BDD" w14:paraId="5406702D" w14:textId="77777777">
        <w:tc>
          <w:tcPr>
            <w:tcW w:w="0" w:type="auto"/>
            <w:gridSpan w:val="3"/>
            <w:shd w:val="clear" w:color="auto" w:fill="FFFFFF"/>
            <w:tcMar>
              <w:top w:w="40" w:type="dxa"/>
              <w:left w:w="20" w:type="dxa"/>
              <w:bottom w:w="40" w:type="dxa"/>
              <w:right w:w="20" w:type="dxa"/>
            </w:tcMar>
            <w:vAlign w:val="bottom"/>
          </w:tcPr>
          <w:p w14:paraId="54067027" w14:textId="77777777" w:rsidR="00611BDD" w:rsidRDefault="002E18C7">
            <w:pPr>
              <w:textAlignment w:val="bottom"/>
            </w:pPr>
            <w:r>
              <w:rPr>
                <w:rFonts w:ascii="sans-serif" w:eastAsia="sans-serif" w:hAnsi="sans-serif" w:cs="sans-serif"/>
                <w:color w:val="000000"/>
                <w:sz w:val="20"/>
                <w:szCs w:val="20"/>
              </w:rPr>
              <w:t>Prepaid royalties</w:t>
            </w:r>
          </w:p>
        </w:tc>
        <w:tc>
          <w:tcPr>
            <w:tcW w:w="0" w:type="auto"/>
            <w:gridSpan w:val="2"/>
            <w:shd w:val="clear" w:color="auto" w:fill="FFFFFF"/>
            <w:tcMar>
              <w:top w:w="40" w:type="dxa"/>
              <w:left w:w="20" w:type="dxa"/>
              <w:bottom w:w="40" w:type="dxa"/>
              <w:right w:w="0" w:type="dxa"/>
            </w:tcMar>
            <w:vAlign w:val="bottom"/>
          </w:tcPr>
          <w:p w14:paraId="54067028" w14:textId="77777777" w:rsidR="00611BDD" w:rsidRDefault="002E18C7">
            <w:pPr>
              <w:jc w:val="right"/>
              <w:textAlignment w:val="bottom"/>
            </w:pPr>
            <w:r>
              <w:rPr>
                <w:rFonts w:ascii="sans-serif" w:eastAsia="sans-serif" w:hAnsi="sans-serif" w:cs="sans-serif"/>
                <w:color w:val="000000"/>
                <w:sz w:val="20"/>
                <w:szCs w:val="20"/>
              </w:rPr>
              <w:t>422 </w:t>
            </w:r>
          </w:p>
        </w:tc>
        <w:tc>
          <w:tcPr>
            <w:tcW w:w="0" w:type="auto"/>
            <w:shd w:val="clear" w:color="auto" w:fill="FFFFFF"/>
            <w:tcMar>
              <w:top w:w="40" w:type="dxa"/>
              <w:left w:w="0" w:type="dxa"/>
              <w:bottom w:w="40" w:type="dxa"/>
              <w:right w:w="20" w:type="dxa"/>
            </w:tcMar>
            <w:vAlign w:val="bottom"/>
          </w:tcPr>
          <w:p w14:paraId="5406702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02A"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02B" w14:textId="77777777" w:rsidR="00611BDD" w:rsidRDefault="002E18C7">
            <w:pPr>
              <w:jc w:val="right"/>
              <w:textAlignment w:val="bottom"/>
            </w:pPr>
            <w:r>
              <w:rPr>
                <w:rFonts w:ascii="sans-serif" w:eastAsia="sans-serif" w:hAnsi="sans-serif" w:cs="sans-serif"/>
                <w:color w:val="000000"/>
                <w:sz w:val="20"/>
                <w:szCs w:val="20"/>
              </w:rPr>
              <w:t>440 </w:t>
            </w:r>
          </w:p>
        </w:tc>
        <w:tc>
          <w:tcPr>
            <w:tcW w:w="0" w:type="auto"/>
            <w:shd w:val="clear" w:color="auto" w:fill="FFFFFF"/>
            <w:tcMar>
              <w:top w:w="40" w:type="dxa"/>
              <w:left w:w="0" w:type="dxa"/>
              <w:bottom w:w="40" w:type="dxa"/>
              <w:right w:w="20" w:type="dxa"/>
            </w:tcMar>
            <w:vAlign w:val="bottom"/>
          </w:tcPr>
          <w:p w14:paraId="5406702C" w14:textId="77777777" w:rsidR="00611BDD" w:rsidRDefault="00611BDD">
            <w:pPr>
              <w:jc w:val="right"/>
              <w:rPr>
                <w:rFonts w:ascii="宋体"/>
              </w:rPr>
            </w:pPr>
          </w:p>
        </w:tc>
      </w:tr>
      <w:tr w:rsidR="00611BDD" w14:paraId="54067034" w14:textId="77777777">
        <w:tc>
          <w:tcPr>
            <w:tcW w:w="0" w:type="auto"/>
            <w:gridSpan w:val="3"/>
            <w:shd w:val="clear" w:color="auto" w:fill="E2EFD9"/>
            <w:tcMar>
              <w:top w:w="40" w:type="dxa"/>
              <w:left w:w="20" w:type="dxa"/>
              <w:bottom w:w="40" w:type="dxa"/>
              <w:right w:w="20" w:type="dxa"/>
            </w:tcMar>
            <w:vAlign w:val="bottom"/>
          </w:tcPr>
          <w:p w14:paraId="5406702E" w14:textId="77777777" w:rsidR="00611BDD" w:rsidRDefault="002E18C7">
            <w:pPr>
              <w:textAlignment w:val="bottom"/>
            </w:pPr>
            <w:r>
              <w:rPr>
                <w:rFonts w:ascii="sans-serif" w:eastAsia="sans-serif" w:hAnsi="sans-serif" w:cs="sans-serif"/>
                <w:color w:val="000000"/>
                <w:sz w:val="20"/>
                <w:szCs w:val="20"/>
              </w:rPr>
              <w:t>Investment in non-affiliated entities</w:t>
            </w:r>
          </w:p>
        </w:tc>
        <w:tc>
          <w:tcPr>
            <w:tcW w:w="0" w:type="auto"/>
            <w:gridSpan w:val="2"/>
            <w:shd w:val="clear" w:color="auto" w:fill="E2EFD9"/>
            <w:tcMar>
              <w:top w:w="40" w:type="dxa"/>
              <w:left w:w="20" w:type="dxa"/>
              <w:bottom w:w="40" w:type="dxa"/>
              <w:right w:w="0" w:type="dxa"/>
            </w:tcMar>
            <w:vAlign w:val="bottom"/>
          </w:tcPr>
          <w:p w14:paraId="5406702F" w14:textId="77777777" w:rsidR="00611BDD" w:rsidRDefault="002E18C7">
            <w:pPr>
              <w:jc w:val="right"/>
              <w:textAlignment w:val="bottom"/>
            </w:pPr>
            <w:r>
              <w:rPr>
                <w:rFonts w:ascii="sans-serif" w:eastAsia="sans-serif" w:hAnsi="sans-serif" w:cs="sans-serif"/>
                <w:color w:val="000000"/>
                <w:sz w:val="20"/>
                <w:szCs w:val="20"/>
              </w:rPr>
              <w:t>147 </w:t>
            </w:r>
          </w:p>
        </w:tc>
        <w:tc>
          <w:tcPr>
            <w:tcW w:w="0" w:type="auto"/>
            <w:shd w:val="clear" w:color="auto" w:fill="E2EFD9"/>
            <w:tcMar>
              <w:top w:w="40" w:type="dxa"/>
              <w:left w:w="0" w:type="dxa"/>
              <w:bottom w:w="40" w:type="dxa"/>
              <w:right w:w="20" w:type="dxa"/>
            </w:tcMar>
            <w:vAlign w:val="bottom"/>
          </w:tcPr>
          <w:p w14:paraId="54067030"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031"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032" w14:textId="77777777" w:rsidR="00611BDD" w:rsidRDefault="002E18C7">
            <w:pPr>
              <w:jc w:val="right"/>
              <w:textAlignment w:val="bottom"/>
            </w:pPr>
            <w:r>
              <w:rPr>
                <w:rFonts w:ascii="sans-serif" w:eastAsia="sans-serif" w:hAnsi="sans-serif" w:cs="sans-serif"/>
                <w:color w:val="000000"/>
                <w:sz w:val="20"/>
                <w:szCs w:val="20"/>
              </w:rPr>
              <w:t>144 </w:t>
            </w:r>
          </w:p>
        </w:tc>
        <w:tc>
          <w:tcPr>
            <w:tcW w:w="0" w:type="auto"/>
            <w:shd w:val="clear" w:color="auto" w:fill="E2EFD9"/>
            <w:tcMar>
              <w:top w:w="40" w:type="dxa"/>
              <w:left w:w="0" w:type="dxa"/>
              <w:bottom w:w="40" w:type="dxa"/>
              <w:right w:w="20" w:type="dxa"/>
            </w:tcMar>
            <w:vAlign w:val="bottom"/>
          </w:tcPr>
          <w:p w14:paraId="54067033" w14:textId="77777777" w:rsidR="00611BDD" w:rsidRDefault="00611BDD">
            <w:pPr>
              <w:jc w:val="right"/>
              <w:rPr>
                <w:rFonts w:ascii="宋体"/>
              </w:rPr>
            </w:pPr>
          </w:p>
        </w:tc>
      </w:tr>
      <w:tr w:rsidR="00611BDD" w14:paraId="5406703B" w14:textId="77777777">
        <w:tc>
          <w:tcPr>
            <w:tcW w:w="0" w:type="auto"/>
            <w:gridSpan w:val="3"/>
            <w:shd w:val="clear" w:color="auto" w:fill="FFFFFF"/>
            <w:tcMar>
              <w:top w:w="40" w:type="dxa"/>
              <w:left w:w="20" w:type="dxa"/>
              <w:bottom w:w="40" w:type="dxa"/>
              <w:right w:w="20" w:type="dxa"/>
            </w:tcMar>
            <w:vAlign w:val="bottom"/>
          </w:tcPr>
          <w:p w14:paraId="54067035" w14:textId="77777777" w:rsidR="00611BDD" w:rsidRDefault="002E18C7">
            <w:pPr>
              <w:textAlignment w:val="bottom"/>
            </w:pPr>
            <w:r>
              <w:rPr>
                <w:rFonts w:ascii="sans-serif" w:eastAsia="sans-serif" w:hAnsi="sans-serif" w:cs="sans-serif"/>
                <w:color w:val="000000"/>
                <w:sz w:val="20"/>
                <w:szCs w:val="20"/>
              </w:rPr>
              <w:t>Deposits</w:t>
            </w:r>
          </w:p>
        </w:tc>
        <w:tc>
          <w:tcPr>
            <w:tcW w:w="0" w:type="auto"/>
            <w:gridSpan w:val="2"/>
            <w:shd w:val="clear" w:color="auto" w:fill="FFFFFF"/>
            <w:tcMar>
              <w:top w:w="40" w:type="dxa"/>
              <w:left w:w="20" w:type="dxa"/>
              <w:bottom w:w="40" w:type="dxa"/>
              <w:right w:w="0" w:type="dxa"/>
            </w:tcMar>
            <w:vAlign w:val="bottom"/>
          </w:tcPr>
          <w:p w14:paraId="54067036" w14:textId="77777777" w:rsidR="00611BDD" w:rsidRDefault="002E18C7">
            <w:pPr>
              <w:jc w:val="right"/>
              <w:textAlignment w:val="bottom"/>
            </w:pPr>
            <w:r>
              <w:rPr>
                <w:rFonts w:ascii="sans-serif" w:eastAsia="sans-serif" w:hAnsi="sans-serif" w:cs="sans-serif"/>
                <w:color w:val="000000"/>
                <w:sz w:val="20"/>
                <w:szCs w:val="20"/>
              </w:rPr>
              <w:t>77 </w:t>
            </w:r>
          </w:p>
        </w:tc>
        <w:tc>
          <w:tcPr>
            <w:tcW w:w="0" w:type="auto"/>
            <w:shd w:val="clear" w:color="auto" w:fill="FFFFFF"/>
            <w:tcMar>
              <w:top w:w="40" w:type="dxa"/>
              <w:left w:w="0" w:type="dxa"/>
              <w:bottom w:w="40" w:type="dxa"/>
              <w:right w:w="20" w:type="dxa"/>
            </w:tcMar>
            <w:vAlign w:val="bottom"/>
          </w:tcPr>
          <w:p w14:paraId="54067037"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038"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039" w14:textId="77777777" w:rsidR="00611BDD" w:rsidRDefault="002E18C7">
            <w:pPr>
              <w:jc w:val="right"/>
              <w:textAlignment w:val="bottom"/>
            </w:pPr>
            <w:r>
              <w:rPr>
                <w:rFonts w:ascii="sans-serif" w:eastAsia="sans-serif" w:hAnsi="sans-serif" w:cs="sans-serif"/>
                <w:color w:val="000000"/>
                <w:sz w:val="20"/>
                <w:szCs w:val="20"/>
              </w:rPr>
              <w:t>136 </w:t>
            </w:r>
          </w:p>
        </w:tc>
        <w:tc>
          <w:tcPr>
            <w:tcW w:w="0" w:type="auto"/>
            <w:shd w:val="clear" w:color="auto" w:fill="FFFFFF"/>
            <w:tcMar>
              <w:top w:w="40" w:type="dxa"/>
              <w:left w:w="0" w:type="dxa"/>
              <w:bottom w:w="40" w:type="dxa"/>
              <w:right w:w="20" w:type="dxa"/>
            </w:tcMar>
            <w:vAlign w:val="bottom"/>
          </w:tcPr>
          <w:p w14:paraId="5406703A" w14:textId="77777777" w:rsidR="00611BDD" w:rsidRDefault="00611BDD">
            <w:pPr>
              <w:jc w:val="right"/>
              <w:rPr>
                <w:rFonts w:ascii="宋体"/>
              </w:rPr>
            </w:pPr>
          </w:p>
        </w:tc>
      </w:tr>
      <w:tr w:rsidR="00611BDD" w14:paraId="54067042" w14:textId="77777777">
        <w:tc>
          <w:tcPr>
            <w:tcW w:w="0" w:type="auto"/>
            <w:gridSpan w:val="3"/>
            <w:shd w:val="clear" w:color="auto" w:fill="E2EFD9"/>
            <w:tcMar>
              <w:top w:w="40" w:type="dxa"/>
              <w:left w:w="20" w:type="dxa"/>
              <w:bottom w:w="40" w:type="dxa"/>
              <w:right w:w="20" w:type="dxa"/>
            </w:tcMar>
            <w:vAlign w:val="bottom"/>
          </w:tcPr>
          <w:p w14:paraId="5406703C" w14:textId="77777777" w:rsidR="00611BDD" w:rsidRDefault="002E18C7">
            <w:pPr>
              <w:textAlignment w:val="bottom"/>
            </w:pPr>
            <w:r>
              <w:rPr>
                <w:rFonts w:ascii="sans-serif" w:eastAsia="sans-serif" w:hAnsi="sans-serif" w:cs="sans-serif"/>
                <w:color w:val="000000"/>
                <w:sz w:val="20"/>
                <w:szCs w:val="20"/>
              </w:rPr>
              <w:t>Other</w:t>
            </w:r>
          </w:p>
        </w:tc>
        <w:tc>
          <w:tcPr>
            <w:tcW w:w="0" w:type="auto"/>
            <w:gridSpan w:val="2"/>
            <w:shd w:val="clear" w:color="auto" w:fill="E2EFD9"/>
            <w:tcMar>
              <w:top w:w="40" w:type="dxa"/>
              <w:left w:w="20" w:type="dxa"/>
              <w:bottom w:w="40" w:type="dxa"/>
              <w:right w:w="0" w:type="dxa"/>
            </w:tcMar>
            <w:vAlign w:val="bottom"/>
          </w:tcPr>
          <w:p w14:paraId="5406703D" w14:textId="77777777" w:rsidR="00611BDD" w:rsidRDefault="002E18C7">
            <w:pPr>
              <w:jc w:val="right"/>
              <w:textAlignment w:val="bottom"/>
            </w:pPr>
            <w:r>
              <w:rPr>
                <w:rFonts w:ascii="sans-serif" w:eastAsia="sans-serif" w:hAnsi="sans-serif" w:cs="sans-serif"/>
                <w:color w:val="000000"/>
                <w:sz w:val="20"/>
                <w:szCs w:val="20"/>
              </w:rPr>
              <w:t>47 </w:t>
            </w:r>
          </w:p>
        </w:tc>
        <w:tc>
          <w:tcPr>
            <w:tcW w:w="0" w:type="auto"/>
            <w:shd w:val="clear" w:color="auto" w:fill="E2EFD9"/>
            <w:tcMar>
              <w:top w:w="40" w:type="dxa"/>
              <w:left w:w="0" w:type="dxa"/>
              <w:bottom w:w="40" w:type="dxa"/>
              <w:right w:w="20" w:type="dxa"/>
            </w:tcMar>
            <w:vAlign w:val="bottom"/>
          </w:tcPr>
          <w:p w14:paraId="5406703E"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03F"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040" w14:textId="77777777" w:rsidR="00611BDD" w:rsidRDefault="002E18C7">
            <w:pPr>
              <w:jc w:val="right"/>
              <w:textAlignment w:val="bottom"/>
            </w:pPr>
            <w:r>
              <w:rPr>
                <w:rFonts w:ascii="sans-serif" w:eastAsia="sans-serif" w:hAnsi="sans-serif" w:cs="sans-serif"/>
                <w:color w:val="000000"/>
                <w:sz w:val="20"/>
                <w:szCs w:val="20"/>
              </w:rPr>
              <w:t>67 </w:t>
            </w:r>
          </w:p>
        </w:tc>
        <w:tc>
          <w:tcPr>
            <w:tcW w:w="0" w:type="auto"/>
            <w:shd w:val="clear" w:color="auto" w:fill="E2EFD9"/>
            <w:tcMar>
              <w:top w:w="40" w:type="dxa"/>
              <w:left w:w="0" w:type="dxa"/>
              <w:bottom w:w="40" w:type="dxa"/>
              <w:right w:w="20" w:type="dxa"/>
            </w:tcMar>
            <w:vAlign w:val="bottom"/>
          </w:tcPr>
          <w:p w14:paraId="54067041" w14:textId="77777777" w:rsidR="00611BDD" w:rsidRDefault="00611BDD">
            <w:pPr>
              <w:jc w:val="right"/>
              <w:rPr>
                <w:rFonts w:ascii="宋体"/>
              </w:rPr>
            </w:pPr>
          </w:p>
        </w:tc>
      </w:tr>
      <w:tr w:rsidR="00611BDD" w14:paraId="5406704B" w14:textId="77777777">
        <w:tc>
          <w:tcPr>
            <w:tcW w:w="0" w:type="auto"/>
            <w:gridSpan w:val="3"/>
            <w:shd w:val="clear" w:color="auto" w:fill="FFFFFF"/>
            <w:tcMar>
              <w:top w:w="40" w:type="dxa"/>
              <w:left w:w="380" w:type="dxa"/>
              <w:bottom w:w="40" w:type="dxa"/>
              <w:right w:w="20" w:type="dxa"/>
            </w:tcMar>
            <w:vAlign w:val="bottom"/>
          </w:tcPr>
          <w:p w14:paraId="54067043" w14:textId="77777777" w:rsidR="00611BDD" w:rsidRDefault="002E18C7">
            <w:pPr>
              <w:textAlignment w:val="bottom"/>
            </w:pPr>
            <w:r>
              <w:rPr>
                <w:rFonts w:ascii="sans-serif" w:eastAsia="sans-serif" w:hAnsi="sans-serif" w:cs="sans-serif"/>
                <w:color w:val="000000"/>
                <w:sz w:val="20"/>
                <w:szCs w:val="20"/>
              </w:rPr>
              <w:t>Total other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4067044"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4067045" w14:textId="77777777" w:rsidR="00611BDD" w:rsidRDefault="002E18C7">
            <w:pPr>
              <w:jc w:val="right"/>
              <w:textAlignment w:val="bottom"/>
            </w:pPr>
            <w:r>
              <w:rPr>
                <w:rFonts w:ascii="sans-serif" w:eastAsia="sans-serif" w:hAnsi="sans-serif" w:cs="sans-serif"/>
                <w:color w:val="000000"/>
                <w:sz w:val="20"/>
                <w:szCs w:val="20"/>
              </w:rPr>
              <w:t>2,050 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406704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047" w14:textId="77777777" w:rsidR="00611BDD" w:rsidRDefault="00611BD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4067048"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4067049" w14:textId="77777777" w:rsidR="00611BDD" w:rsidRDefault="002E18C7">
            <w:pPr>
              <w:jc w:val="right"/>
              <w:textAlignment w:val="bottom"/>
            </w:pPr>
            <w:r>
              <w:rPr>
                <w:rFonts w:ascii="sans-serif" w:eastAsia="sans-serif" w:hAnsi="sans-serif" w:cs="sans-serif"/>
                <w:color w:val="000000"/>
                <w:sz w:val="20"/>
                <w:szCs w:val="20"/>
              </w:rPr>
              <w:t>2,144 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406704A" w14:textId="77777777" w:rsidR="00611BDD" w:rsidRDefault="00611BDD">
            <w:pPr>
              <w:jc w:val="right"/>
              <w:rPr>
                <w:rFonts w:ascii="宋体"/>
              </w:rPr>
            </w:pPr>
          </w:p>
        </w:tc>
      </w:tr>
    </w:tbl>
    <w:p w14:paraId="5406704C" w14:textId="77777777" w:rsidR="00611BDD" w:rsidRDefault="00611BDD">
      <w:pPr>
        <w:pBdr>
          <w:left w:val="none" w:sz="0" w:space="0" w:color="auto"/>
        </w:pBdr>
      </w:pPr>
    </w:p>
    <w:tbl>
      <w:tblPr>
        <w:tblW w:w="4993" w:type="pct"/>
        <w:tblCellMar>
          <w:top w:w="15" w:type="dxa"/>
          <w:left w:w="15" w:type="dxa"/>
          <w:bottom w:w="15" w:type="dxa"/>
          <w:right w:w="15" w:type="dxa"/>
        </w:tblCellMar>
        <w:tblLook w:val="04A0" w:firstRow="1" w:lastRow="0" w:firstColumn="1" w:lastColumn="0" w:noHBand="0" w:noVBand="1"/>
      </w:tblPr>
      <w:tblGrid>
        <w:gridCol w:w="39"/>
        <w:gridCol w:w="5910"/>
        <w:gridCol w:w="38"/>
        <w:gridCol w:w="122"/>
        <w:gridCol w:w="974"/>
        <w:gridCol w:w="36"/>
        <w:gridCol w:w="36"/>
        <w:gridCol w:w="36"/>
        <w:gridCol w:w="36"/>
        <w:gridCol w:w="123"/>
        <w:gridCol w:w="938"/>
        <w:gridCol w:w="36"/>
      </w:tblGrid>
      <w:tr w:rsidR="00611BDD" w14:paraId="54067059" w14:textId="77777777">
        <w:tc>
          <w:tcPr>
            <w:tcW w:w="50" w:type="pct"/>
            <w:shd w:val="clear" w:color="auto" w:fill="auto"/>
            <w:vAlign w:val="bottom"/>
          </w:tcPr>
          <w:p w14:paraId="5406704D" w14:textId="77777777" w:rsidR="00611BDD" w:rsidRDefault="00611BDD">
            <w:pPr>
              <w:rPr>
                <w:rFonts w:ascii="宋体"/>
              </w:rPr>
            </w:pPr>
          </w:p>
        </w:tc>
        <w:tc>
          <w:tcPr>
            <w:tcW w:w="3575" w:type="pct"/>
            <w:shd w:val="clear" w:color="auto" w:fill="auto"/>
            <w:vAlign w:val="bottom"/>
          </w:tcPr>
          <w:p w14:paraId="5406704E" w14:textId="77777777" w:rsidR="00611BDD" w:rsidRDefault="00611BDD">
            <w:pPr>
              <w:rPr>
                <w:rFonts w:ascii="宋体"/>
              </w:rPr>
            </w:pPr>
          </w:p>
        </w:tc>
        <w:tc>
          <w:tcPr>
            <w:tcW w:w="5" w:type="pct"/>
            <w:shd w:val="clear" w:color="auto" w:fill="auto"/>
            <w:vAlign w:val="bottom"/>
          </w:tcPr>
          <w:p w14:paraId="5406704F" w14:textId="77777777" w:rsidR="00611BDD" w:rsidRDefault="00611BDD">
            <w:pPr>
              <w:rPr>
                <w:rFonts w:ascii="宋体"/>
              </w:rPr>
            </w:pPr>
          </w:p>
        </w:tc>
        <w:tc>
          <w:tcPr>
            <w:tcW w:w="50" w:type="pct"/>
            <w:shd w:val="clear" w:color="auto" w:fill="auto"/>
            <w:vAlign w:val="bottom"/>
          </w:tcPr>
          <w:p w14:paraId="54067050" w14:textId="77777777" w:rsidR="00611BDD" w:rsidRDefault="00611BDD">
            <w:pPr>
              <w:rPr>
                <w:rFonts w:ascii="宋体"/>
              </w:rPr>
            </w:pPr>
          </w:p>
        </w:tc>
        <w:tc>
          <w:tcPr>
            <w:tcW w:w="611" w:type="pct"/>
            <w:shd w:val="clear" w:color="auto" w:fill="auto"/>
            <w:vAlign w:val="bottom"/>
          </w:tcPr>
          <w:p w14:paraId="54067051" w14:textId="77777777" w:rsidR="00611BDD" w:rsidRDefault="00611BDD">
            <w:pPr>
              <w:rPr>
                <w:rFonts w:ascii="宋体"/>
              </w:rPr>
            </w:pPr>
          </w:p>
        </w:tc>
        <w:tc>
          <w:tcPr>
            <w:tcW w:w="5" w:type="pct"/>
            <w:shd w:val="clear" w:color="auto" w:fill="auto"/>
            <w:vAlign w:val="bottom"/>
          </w:tcPr>
          <w:p w14:paraId="54067052" w14:textId="77777777" w:rsidR="00611BDD" w:rsidRDefault="00611BDD">
            <w:pPr>
              <w:rPr>
                <w:rFonts w:ascii="宋体"/>
              </w:rPr>
            </w:pPr>
          </w:p>
        </w:tc>
        <w:tc>
          <w:tcPr>
            <w:tcW w:w="5" w:type="pct"/>
            <w:shd w:val="clear" w:color="auto" w:fill="auto"/>
            <w:vAlign w:val="bottom"/>
          </w:tcPr>
          <w:p w14:paraId="54067053" w14:textId="77777777" w:rsidR="00611BDD" w:rsidRDefault="00611BDD">
            <w:pPr>
              <w:rPr>
                <w:rFonts w:ascii="宋体"/>
              </w:rPr>
            </w:pPr>
          </w:p>
        </w:tc>
        <w:tc>
          <w:tcPr>
            <w:tcW w:w="26" w:type="pct"/>
            <w:shd w:val="clear" w:color="auto" w:fill="auto"/>
            <w:vAlign w:val="bottom"/>
          </w:tcPr>
          <w:p w14:paraId="54067054" w14:textId="77777777" w:rsidR="00611BDD" w:rsidRDefault="00611BDD">
            <w:pPr>
              <w:rPr>
                <w:rFonts w:ascii="宋体"/>
              </w:rPr>
            </w:pPr>
          </w:p>
        </w:tc>
        <w:tc>
          <w:tcPr>
            <w:tcW w:w="5" w:type="pct"/>
            <w:shd w:val="clear" w:color="auto" w:fill="auto"/>
            <w:vAlign w:val="bottom"/>
          </w:tcPr>
          <w:p w14:paraId="54067055" w14:textId="77777777" w:rsidR="00611BDD" w:rsidRDefault="00611BDD">
            <w:pPr>
              <w:rPr>
                <w:rFonts w:ascii="宋体"/>
              </w:rPr>
            </w:pPr>
          </w:p>
        </w:tc>
        <w:tc>
          <w:tcPr>
            <w:tcW w:w="50" w:type="pct"/>
            <w:shd w:val="clear" w:color="auto" w:fill="auto"/>
            <w:vAlign w:val="bottom"/>
          </w:tcPr>
          <w:p w14:paraId="54067056" w14:textId="77777777" w:rsidR="00611BDD" w:rsidRDefault="00611BDD">
            <w:pPr>
              <w:rPr>
                <w:rFonts w:ascii="宋体"/>
              </w:rPr>
            </w:pPr>
          </w:p>
        </w:tc>
        <w:tc>
          <w:tcPr>
            <w:tcW w:w="611" w:type="pct"/>
            <w:shd w:val="clear" w:color="auto" w:fill="auto"/>
            <w:vAlign w:val="bottom"/>
          </w:tcPr>
          <w:p w14:paraId="54067057" w14:textId="77777777" w:rsidR="00611BDD" w:rsidRDefault="00611BDD">
            <w:pPr>
              <w:rPr>
                <w:rFonts w:ascii="宋体"/>
              </w:rPr>
            </w:pPr>
          </w:p>
        </w:tc>
        <w:tc>
          <w:tcPr>
            <w:tcW w:w="5" w:type="pct"/>
            <w:shd w:val="clear" w:color="auto" w:fill="auto"/>
            <w:vAlign w:val="bottom"/>
          </w:tcPr>
          <w:p w14:paraId="54067058" w14:textId="77777777" w:rsidR="00611BDD" w:rsidRDefault="00611BDD">
            <w:pPr>
              <w:rPr>
                <w:rFonts w:ascii="宋体"/>
              </w:rPr>
            </w:pPr>
          </w:p>
        </w:tc>
      </w:tr>
      <w:tr w:rsidR="00611BDD" w14:paraId="5406705E" w14:textId="77777777">
        <w:tc>
          <w:tcPr>
            <w:tcW w:w="0" w:type="auto"/>
            <w:gridSpan w:val="3"/>
            <w:shd w:val="clear" w:color="auto" w:fill="auto"/>
            <w:tcMar>
              <w:top w:w="0" w:type="dxa"/>
              <w:left w:w="20" w:type="dxa"/>
              <w:bottom w:w="0" w:type="dxa"/>
              <w:right w:w="20" w:type="dxa"/>
            </w:tcMar>
            <w:vAlign w:val="bottom"/>
          </w:tcPr>
          <w:p w14:paraId="5406705A"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05B" w14:textId="77777777" w:rsidR="00611BDD" w:rsidRDefault="002E18C7">
            <w:pPr>
              <w:jc w:val="center"/>
              <w:textAlignment w:val="bottom"/>
            </w:pPr>
            <w:r>
              <w:rPr>
                <w:rFonts w:ascii="sans-serif" w:eastAsia="sans-serif" w:hAnsi="sans-serif" w:cs="sans-serif"/>
                <w:b/>
                <w:bCs/>
                <w:color w:val="000000"/>
                <w:sz w:val="20"/>
                <w:szCs w:val="20"/>
              </w:rPr>
              <w:t>August 1,</w:t>
            </w:r>
          </w:p>
        </w:tc>
        <w:tc>
          <w:tcPr>
            <w:tcW w:w="0" w:type="auto"/>
            <w:gridSpan w:val="3"/>
            <w:shd w:val="clear" w:color="auto" w:fill="auto"/>
            <w:tcMar>
              <w:top w:w="0" w:type="dxa"/>
              <w:left w:w="20" w:type="dxa"/>
              <w:bottom w:w="0" w:type="dxa"/>
              <w:right w:w="20" w:type="dxa"/>
            </w:tcMar>
            <w:vAlign w:val="bottom"/>
          </w:tcPr>
          <w:p w14:paraId="5406705C"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05D" w14:textId="77777777" w:rsidR="00611BDD" w:rsidRDefault="002E18C7">
            <w:pPr>
              <w:jc w:val="center"/>
              <w:textAlignment w:val="bottom"/>
            </w:pPr>
            <w:r>
              <w:rPr>
                <w:rFonts w:ascii="sans-serif" w:eastAsia="sans-serif" w:hAnsi="sans-serif" w:cs="sans-serif"/>
                <w:b/>
                <w:bCs/>
                <w:color w:val="000000"/>
                <w:sz w:val="20"/>
                <w:szCs w:val="20"/>
              </w:rPr>
              <w:t>January 31,</w:t>
            </w:r>
          </w:p>
        </w:tc>
      </w:tr>
      <w:tr w:rsidR="00611BDD" w14:paraId="54067063" w14:textId="77777777">
        <w:tc>
          <w:tcPr>
            <w:tcW w:w="0" w:type="auto"/>
            <w:gridSpan w:val="3"/>
            <w:shd w:val="clear" w:color="auto" w:fill="auto"/>
            <w:tcMar>
              <w:top w:w="40" w:type="dxa"/>
              <w:left w:w="20" w:type="dxa"/>
              <w:bottom w:w="40" w:type="dxa"/>
              <w:right w:w="20" w:type="dxa"/>
            </w:tcMar>
            <w:vAlign w:val="bottom"/>
          </w:tcPr>
          <w:p w14:paraId="5406705F"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4067060" w14:textId="77777777" w:rsidR="00611BDD" w:rsidRDefault="002E18C7">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4067061"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062" w14:textId="77777777" w:rsidR="00611BDD" w:rsidRDefault="002E18C7">
            <w:pPr>
              <w:jc w:val="center"/>
              <w:textAlignment w:val="bottom"/>
            </w:pPr>
            <w:r>
              <w:rPr>
                <w:rFonts w:ascii="sans-serif" w:eastAsia="sans-serif" w:hAnsi="sans-serif" w:cs="sans-serif"/>
                <w:b/>
                <w:bCs/>
                <w:color w:val="000000"/>
                <w:sz w:val="20"/>
                <w:szCs w:val="20"/>
              </w:rPr>
              <w:t>2021</w:t>
            </w:r>
          </w:p>
        </w:tc>
      </w:tr>
      <w:tr w:rsidR="00611BDD" w14:paraId="54067068" w14:textId="77777777">
        <w:trPr>
          <w:trHeight w:val="60"/>
        </w:trPr>
        <w:tc>
          <w:tcPr>
            <w:tcW w:w="0" w:type="auto"/>
            <w:gridSpan w:val="3"/>
            <w:shd w:val="clear" w:color="auto" w:fill="auto"/>
            <w:tcMar>
              <w:top w:w="0" w:type="dxa"/>
              <w:left w:w="20" w:type="dxa"/>
              <w:bottom w:w="0" w:type="dxa"/>
              <w:right w:w="20" w:type="dxa"/>
            </w:tcMar>
            <w:vAlign w:val="bottom"/>
          </w:tcPr>
          <w:p w14:paraId="54067064"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065"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066"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067" w14:textId="77777777" w:rsidR="00611BDD" w:rsidRDefault="00611BDD">
            <w:pPr>
              <w:rPr>
                <w:rFonts w:ascii="宋体"/>
              </w:rPr>
            </w:pPr>
          </w:p>
        </w:tc>
      </w:tr>
      <w:tr w:rsidR="00611BDD" w14:paraId="5406706B" w14:textId="77777777">
        <w:tc>
          <w:tcPr>
            <w:tcW w:w="0" w:type="auto"/>
            <w:gridSpan w:val="3"/>
            <w:shd w:val="clear" w:color="auto" w:fill="auto"/>
            <w:tcMar>
              <w:top w:w="40" w:type="dxa"/>
              <w:left w:w="20" w:type="dxa"/>
              <w:bottom w:w="40" w:type="dxa"/>
              <w:right w:w="20" w:type="dxa"/>
            </w:tcMar>
            <w:vAlign w:val="bottom"/>
          </w:tcPr>
          <w:p w14:paraId="54067069" w14:textId="77777777" w:rsidR="00611BDD" w:rsidRDefault="002E18C7">
            <w:pPr>
              <w:textAlignment w:val="bottom"/>
            </w:pPr>
            <w:r>
              <w:rPr>
                <w:rFonts w:ascii="sans-serif" w:eastAsia="sans-serif" w:hAnsi="sans-serif" w:cs="sans-serif"/>
                <w:b/>
                <w:bCs/>
                <w:color w:val="000000"/>
                <w:sz w:val="20"/>
                <w:szCs w:val="20"/>
              </w:rPr>
              <w:t>Accrued and Other Current Liabilities:</w:t>
            </w:r>
          </w:p>
        </w:tc>
        <w:tc>
          <w:tcPr>
            <w:tcW w:w="0" w:type="auto"/>
            <w:gridSpan w:val="9"/>
            <w:shd w:val="clear" w:color="auto" w:fill="auto"/>
            <w:tcMar>
              <w:top w:w="40" w:type="dxa"/>
              <w:left w:w="20" w:type="dxa"/>
              <w:bottom w:w="40" w:type="dxa"/>
              <w:right w:w="20" w:type="dxa"/>
            </w:tcMar>
            <w:vAlign w:val="bottom"/>
          </w:tcPr>
          <w:p w14:paraId="5406706A" w14:textId="77777777" w:rsidR="00611BDD" w:rsidRDefault="002E18C7">
            <w:pPr>
              <w:jc w:val="center"/>
              <w:textAlignment w:val="bottom"/>
            </w:pPr>
            <w:r>
              <w:rPr>
                <w:rFonts w:ascii="sans-serif" w:eastAsia="sans-serif" w:hAnsi="sans-serif" w:cs="sans-serif"/>
                <w:i/>
                <w:iCs/>
                <w:color w:val="000000"/>
                <w:sz w:val="20"/>
                <w:szCs w:val="20"/>
              </w:rPr>
              <w:t>(In millions)</w:t>
            </w:r>
          </w:p>
        </w:tc>
      </w:tr>
      <w:tr w:rsidR="00611BDD" w14:paraId="54067074" w14:textId="77777777">
        <w:tc>
          <w:tcPr>
            <w:tcW w:w="0" w:type="auto"/>
            <w:gridSpan w:val="3"/>
            <w:shd w:val="clear" w:color="auto" w:fill="E2EFD9"/>
            <w:tcMar>
              <w:top w:w="40" w:type="dxa"/>
              <w:left w:w="20" w:type="dxa"/>
              <w:bottom w:w="40" w:type="dxa"/>
              <w:right w:w="20" w:type="dxa"/>
            </w:tcMar>
            <w:vAlign w:val="bottom"/>
          </w:tcPr>
          <w:p w14:paraId="5406706C" w14:textId="77777777" w:rsidR="00611BDD" w:rsidRDefault="002E18C7">
            <w:pPr>
              <w:textAlignment w:val="bottom"/>
            </w:pPr>
            <w:r>
              <w:rPr>
                <w:rFonts w:ascii="sans-serif" w:eastAsia="sans-serif" w:hAnsi="sans-serif" w:cs="sans-serif"/>
                <w:color w:val="000000"/>
                <w:sz w:val="20"/>
                <w:szCs w:val="20"/>
              </w:rPr>
              <w:t>Customer program accruals</w:t>
            </w:r>
          </w:p>
        </w:tc>
        <w:tc>
          <w:tcPr>
            <w:tcW w:w="0" w:type="auto"/>
            <w:shd w:val="clear" w:color="auto" w:fill="E2EFD9"/>
            <w:tcMar>
              <w:top w:w="40" w:type="dxa"/>
              <w:left w:w="20" w:type="dxa"/>
              <w:bottom w:w="40" w:type="dxa"/>
              <w:right w:w="0" w:type="dxa"/>
            </w:tcMar>
            <w:vAlign w:val="bottom"/>
          </w:tcPr>
          <w:p w14:paraId="5406706D"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06E" w14:textId="77777777" w:rsidR="00611BDD" w:rsidRDefault="002E18C7">
            <w:pPr>
              <w:jc w:val="right"/>
              <w:textAlignment w:val="bottom"/>
            </w:pPr>
            <w:r>
              <w:rPr>
                <w:rFonts w:ascii="sans-serif" w:eastAsia="sans-serif" w:hAnsi="sans-serif" w:cs="sans-serif"/>
                <w:color w:val="000000"/>
                <w:sz w:val="20"/>
                <w:szCs w:val="20"/>
              </w:rPr>
              <w:t>745 </w:t>
            </w:r>
          </w:p>
        </w:tc>
        <w:tc>
          <w:tcPr>
            <w:tcW w:w="0" w:type="auto"/>
            <w:shd w:val="clear" w:color="auto" w:fill="E2EFD9"/>
            <w:tcMar>
              <w:top w:w="40" w:type="dxa"/>
              <w:left w:w="0" w:type="dxa"/>
              <w:bottom w:w="40" w:type="dxa"/>
              <w:right w:w="20" w:type="dxa"/>
            </w:tcMar>
            <w:vAlign w:val="bottom"/>
          </w:tcPr>
          <w:p w14:paraId="5406706F"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070"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071"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072" w14:textId="77777777" w:rsidR="00611BDD" w:rsidRDefault="002E18C7">
            <w:pPr>
              <w:jc w:val="right"/>
              <w:textAlignment w:val="bottom"/>
            </w:pPr>
            <w:r>
              <w:rPr>
                <w:rFonts w:ascii="sans-serif" w:eastAsia="sans-serif" w:hAnsi="sans-serif" w:cs="sans-serif"/>
                <w:color w:val="000000"/>
                <w:sz w:val="20"/>
                <w:szCs w:val="20"/>
              </w:rPr>
              <w:t>630 </w:t>
            </w:r>
          </w:p>
        </w:tc>
        <w:tc>
          <w:tcPr>
            <w:tcW w:w="0" w:type="auto"/>
            <w:shd w:val="clear" w:color="auto" w:fill="E2EFD9"/>
            <w:tcMar>
              <w:top w:w="40" w:type="dxa"/>
              <w:left w:w="0" w:type="dxa"/>
              <w:bottom w:w="40" w:type="dxa"/>
              <w:right w:w="20" w:type="dxa"/>
            </w:tcMar>
            <w:vAlign w:val="bottom"/>
          </w:tcPr>
          <w:p w14:paraId="54067073" w14:textId="77777777" w:rsidR="00611BDD" w:rsidRDefault="00611BDD">
            <w:pPr>
              <w:jc w:val="right"/>
              <w:rPr>
                <w:rFonts w:ascii="宋体"/>
              </w:rPr>
            </w:pPr>
          </w:p>
        </w:tc>
      </w:tr>
      <w:tr w:rsidR="00611BDD" w14:paraId="5406707B" w14:textId="77777777">
        <w:tc>
          <w:tcPr>
            <w:tcW w:w="0" w:type="auto"/>
            <w:gridSpan w:val="3"/>
            <w:shd w:val="clear" w:color="auto" w:fill="FFFFFF"/>
            <w:tcMar>
              <w:top w:w="40" w:type="dxa"/>
              <w:left w:w="20" w:type="dxa"/>
              <w:bottom w:w="40" w:type="dxa"/>
              <w:right w:w="20" w:type="dxa"/>
            </w:tcMar>
            <w:vAlign w:val="bottom"/>
          </w:tcPr>
          <w:p w14:paraId="54067075" w14:textId="77777777" w:rsidR="00611BDD" w:rsidRDefault="002E18C7">
            <w:pPr>
              <w:textAlignment w:val="bottom"/>
            </w:pPr>
            <w:r>
              <w:rPr>
                <w:rFonts w:ascii="sans-serif" w:eastAsia="sans-serif" w:hAnsi="sans-serif" w:cs="sans-serif"/>
                <w:color w:val="000000"/>
                <w:sz w:val="20"/>
                <w:szCs w:val="20"/>
              </w:rPr>
              <w:t>Accrued payroll and related expenses</w:t>
            </w:r>
          </w:p>
        </w:tc>
        <w:tc>
          <w:tcPr>
            <w:tcW w:w="0" w:type="auto"/>
            <w:gridSpan w:val="2"/>
            <w:shd w:val="clear" w:color="auto" w:fill="FFFFFF"/>
            <w:tcMar>
              <w:top w:w="40" w:type="dxa"/>
              <w:left w:w="20" w:type="dxa"/>
              <w:bottom w:w="40" w:type="dxa"/>
              <w:right w:w="0" w:type="dxa"/>
            </w:tcMar>
            <w:vAlign w:val="bottom"/>
          </w:tcPr>
          <w:p w14:paraId="54067076" w14:textId="77777777" w:rsidR="00611BDD" w:rsidRDefault="002E18C7">
            <w:pPr>
              <w:jc w:val="right"/>
              <w:textAlignment w:val="bottom"/>
            </w:pPr>
            <w:r>
              <w:rPr>
                <w:rFonts w:ascii="sans-serif" w:eastAsia="sans-serif" w:hAnsi="sans-serif" w:cs="sans-serif"/>
                <w:color w:val="000000"/>
                <w:sz w:val="20"/>
                <w:szCs w:val="20"/>
              </w:rPr>
              <w:t>387 </w:t>
            </w:r>
          </w:p>
        </w:tc>
        <w:tc>
          <w:tcPr>
            <w:tcW w:w="0" w:type="auto"/>
            <w:shd w:val="clear" w:color="auto" w:fill="FFFFFF"/>
            <w:tcMar>
              <w:top w:w="40" w:type="dxa"/>
              <w:left w:w="0" w:type="dxa"/>
              <w:bottom w:w="40" w:type="dxa"/>
              <w:right w:w="20" w:type="dxa"/>
            </w:tcMar>
            <w:vAlign w:val="bottom"/>
          </w:tcPr>
          <w:p w14:paraId="54067077"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078"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079" w14:textId="77777777" w:rsidR="00611BDD" w:rsidRDefault="002E18C7">
            <w:pPr>
              <w:jc w:val="right"/>
              <w:textAlignment w:val="bottom"/>
            </w:pPr>
            <w:r>
              <w:rPr>
                <w:rFonts w:ascii="sans-serif" w:eastAsia="sans-serif" w:hAnsi="sans-serif" w:cs="sans-serif"/>
                <w:color w:val="000000"/>
                <w:sz w:val="20"/>
                <w:szCs w:val="20"/>
              </w:rPr>
              <w:t>297 </w:t>
            </w:r>
          </w:p>
        </w:tc>
        <w:tc>
          <w:tcPr>
            <w:tcW w:w="0" w:type="auto"/>
            <w:shd w:val="clear" w:color="auto" w:fill="FFFFFF"/>
            <w:tcMar>
              <w:top w:w="40" w:type="dxa"/>
              <w:left w:w="0" w:type="dxa"/>
              <w:bottom w:w="40" w:type="dxa"/>
              <w:right w:w="20" w:type="dxa"/>
            </w:tcMar>
            <w:vAlign w:val="bottom"/>
          </w:tcPr>
          <w:p w14:paraId="5406707A" w14:textId="77777777" w:rsidR="00611BDD" w:rsidRDefault="00611BDD">
            <w:pPr>
              <w:jc w:val="right"/>
              <w:rPr>
                <w:rFonts w:ascii="宋体"/>
              </w:rPr>
            </w:pPr>
          </w:p>
        </w:tc>
      </w:tr>
      <w:tr w:rsidR="00611BDD" w14:paraId="54067082" w14:textId="77777777">
        <w:tc>
          <w:tcPr>
            <w:tcW w:w="0" w:type="auto"/>
            <w:gridSpan w:val="3"/>
            <w:shd w:val="clear" w:color="auto" w:fill="E2EFD9"/>
            <w:tcMar>
              <w:top w:w="40" w:type="dxa"/>
              <w:left w:w="20" w:type="dxa"/>
              <w:bottom w:w="40" w:type="dxa"/>
              <w:right w:w="20" w:type="dxa"/>
            </w:tcMar>
            <w:vAlign w:val="bottom"/>
          </w:tcPr>
          <w:p w14:paraId="5406707C" w14:textId="77777777" w:rsidR="00611BDD" w:rsidRDefault="002E18C7">
            <w:pPr>
              <w:textAlignment w:val="bottom"/>
            </w:pPr>
            <w:r>
              <w:rPr>
                <w:rFonts w:ascii="sans-serif" w:eastAsia="sans-serif" w:hAnsi="sans-serif" w:cs="sans-serif"/>
                <w:color w:val="000000"/>
                <w:sz w:val="20"/>
                <w:szCs w:val="20"/>
              </w:rPr>
              <w:t>Deferred revenue (1)</w:t>
            </w:r>
          </w:p>
        </w:tc>
        <w:tc>
          <w:tcPr>
            <w:tcW w:w="0" w:type="auto"/>
            <w:gridSpan w:val="2"/>
            <w:shd w:val="clear" w:color="auto" w:fill="E2EFD9"/>
            <w:tcMar>
              <w:top w:w="40" w:type="dxa"/>
              <w:left w:w="20" w:type="dxa"/>
              <w:bottom w:w="40" w:type="dxa"/>
              <w:right w:w="0" w:type="dxa"/>
            </w:tcMar>
            <w:vAlign w:val="bottom"/>
          </w:tcPr>
          <w:p w14:paraId="5406707D" w14:textId="77777777" w:rsidR="00611BDD" w:rsidRDefault="002E18C7">
            <w:pPr>
              <w:jc w:val="right"/>
              <w:textAlignment w:val="bottom"/>
            </w:pPr>
            <w:r>
              <w:rPr>
                <w:rFonts w:ascii="sans-serif" w:eastAsia="sans-serif" w:hAnsi="sans-serif" w:cs="sans-serif"/>
                <w:color w:val="000000"/>
                <w:sz w:val="20"/>
                <w:szCs w:val="20"/>
              </w:rPr>
              <w:t>301 </w:t>
            </w:r>
          </w:p>
        </w:tc>
        <w:tc>
          <w:tcPr>
            <w:tcW w:w="0" w:type="auto"/>
            <w:shd w:val="clear" w:color="auto" w:fill="E2EFD9"/>
            <w:tcMar>
              <w:top w:w="40" w:type="dxa"/>
              <w:left w:w="0" w:type="dxa"/>
              <w:bottom w:w="40" w:type="dxa"/>
              <w:right w:w="20" w:type="dxa"/>
            </w:tcMar>
            <w:vAlign w:val="bottom"/>
          </w:tcPr>
          <w:p w14:paraId="5406707E"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07F"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080" w14:textId="77777777" w:rsidR="00611BDD" w:rsidRDefault="002E18C7">
            <w:pPr>
              <w:jc w:val="right"/>
              <w:textAlignment w:val="bottom"/>
            </w:pPr>
            <w:r>
              <w:rPr>
                <w:rFonts w:ascii="sans-serif" w:eastAsia="sans-serif" w:hAnsi="sans-serif" w:cs="sans-serif"/>
                <w:color w:val="000000"/>
                <w:sz w:val="20"/>
                <w:szCs w:val="20"/>
              </w:rPr>
              <w:t>288 </w:t>
            </w:r>
          </w:p>
        </w:tc>
        <w:tc>
          <w:tcPr>
            <w:tcW w:w="0" w:type="auto"/>
            <w:shd w:val="clear" w:color="auto" w:fill="E2EFD9"/>
            <w:tcMar>
              <w:top w:w="40" w:type="dxa"/>
              <w:left w:w="0" w:type="dxa"/>
              <w:bottom w:w="40" w:type="dxa"/>
              <w:right w:w="20" w:type="dxa"/>
            </w:tcMar>
            <w:vAlign w:val="bottom"/>
          </w:tcPr>
          <w:p w14:paraId="54067081" w14:textId="77777777" w:rsidR="00611BDD" w:rsidRDefault="00611BDD">
            <w:pPr>
              <w:jc w:val="right"/>
              <w:rPr>
                <w:rFonts w:ascii="宋体"/>
              </w:rPr>
            </w:pPr>
          </w:p>
        </w:tc>
      </w:tr>
      <w:tr w:rsidR="00611BDD" w14:paraId="54067089" w14:textId="77777777">
        <w:tc>
          <w:tcPr>
            <w:tcW w:w="0" w:type="auto"/>
            <w:gridSpan w:val="3"/>
            <w:shd w:val="clear" w:color="auto" w:fill="FFFFFF"/>
            <w:tcMar>
              <w:top w:w="40" w:type="dxa"/>
              <w:left w:w="20" w:type="dxa"/>
              <w:bottom w:w="40" w:type="dxa"/>
              <w:right w:w="20" w:type="dxa"/>
            </w:tcMar>
            <w:vAlign w:val="bottom"/>
          </w:tcPr>
          <w:p w14:paraId="54067083" w14:textId="77777777" w:rsidR="00611BDD" w:rsidRDefault="002E18C7">
            <w:pPr>
              <w:textAlignment w:val="bottom"/>
            </w:pPr>
            <w:r>
              <w:rPr>
                <w:rFonts w:ascii="sans-serif" w:eastAsia="sans-serif" w:hAnsi="sans-serif" w:cs="sans-serif"/>
                <w:color w:val="000000"/>
                <w:sz w:val="20"/>
                <w:szCs w:val="20"/>
              </w:rPr>
              <w:t>Operating leases</w:t>
            </w:r>
          </w:p>
        </w:tc>
        <w:tc>
          <w:tcPr>
            <w:tcW w:w="0" w:type="auto"/>
            <w:gridSpan w:val="2"/>
            <w:shd w:val="clear" w:color="auto" w:fill="FFFFFF"/>
            <w:tcMar>
              <w:top w:w="40" w:type="dxa"/>
              <w:left w:w="20" w:type="dxa"/>
              <w:bottom w:w="40" w:type="dxa"/>
              <w:right w:w="0" w:type="dxa"/>
            </w:tcMar>
            <w:vAlign w:val="bottom"/>
          </w:tcPr>
          <w:p w14:paraId="54067084" w14:textId="77777777" w:rsidR="00611BDD" w:rsidRDefault="002E18C7">
            <w:pPr>
              <w:jc w:val="right"/>
              <w:textAlignment w:val="bottom"/>
            </w:pPr>
            <w:r>
              <w:rPr>
                <w:rFonts w:ascii="sans-serif" w:eastAsia="sans-serif" w:hAnsi="sans-serif" w:cs="sans-serif"/>
                <w:color w:val="000000"/>
                <w:sz w:val="20"/>
                <w:szCs w:val="20"/>
              </w:rPr>
              <w:t>132 </w:t>
            </w:r>
          </w:p>
        </w:tc>
        <w:tc>
          <w:tcPr>
            <w:tcW w:w="0" w:type="auto"/>
            <w:shd w:val="clear" w:color="auto" w:fill="FFFFFF"/>
            <w:tcMar>
              <w:top w:w="40" w:type="dxa"/>
              <w:left w:w="0" w:type="dxa"/>
              <w:bottom w:w="40" w:type="dxa"/>
              <w:right w:w="20" w:type="dxa"/>
            </w:tcMar>
            <w:vAlign w:val="bottom"/>
          </w:tcPr>
          <w:p w14:paraId="54067085"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086"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087" w14:textId="77777777" w:rsidR="00611BDD" w:rsidRDefault="002E18C7">
            <w:pPr>
              <w:jc w:val="right"/>
              <w:textAlignment w:val="bottom"/>
            </w:pPr>
            <w:r>
              <w:rPr>
                <w:rFonts w:ascii="sans-serif" w:eastAsia="sans-serif" w:hAnsi="sans-serif" w:cs="sans-serif"/>
                <w:color w:val="000000"/>
                <w:sz w:val="20"/>
                <w:szCs w:val="20"/>
              </w:rPr>
              <w:t>121 </w:t>
            </w:r>
          </w:p>
        </w:tc>
        <w:tc>
          <w:tcPr>
            <w:tcW w:w="0" w:type="auto"/>
            <w:shd w:val="clear" w:color="auto" w:fill="FFFFFF"/>
            <w:tcMar>
              <w:top w:w="40" w:type="dxa"/>
              <w:left w:w="0" w:type="dxa"/>
              <w:bottom w:w="40" w:type="dxa"/>
              <w:right w:w="20" w:type="dxa"/>
            </w:tcMar>
            <w:vAlign w:val="bottom"/>
          </w:tcPr>
          <w:p w14:paraId="54067088" w14:textId="77777777" w:rsidR="00611BDD" w:rsidRDefault="00611BDD">
            <w:pPr>
              <w:jc w:val="right"/>
              <w:rPr>
                <w:rFonts w:ascii="宋体"/>
              </w:rPr>
            </w:pPr>
          </w:p>
        </w:tc>
      </w:tr>
      <w:tr w:rsidR="00611BDD" w14:paraId="54067090" w14:textId="77777777">
        <w:tc>
          <w:tcPr>
            <w:tcW w:w="0" w:type="auto"/>
            <w:gridSpan w:val="3"/>
            <w:shd w:val="clear" w:color="auto" w:fill="E2EFD9"/>
            <w:tcMar>
              <w:top w:w="40" w:type="dxa"/>
              <w:left w:w="20" w:type="dxa"/>
              <w:bottom w:w="40" w:type="dxa"/>
              <w:right w:w="20" w:type="dxa"/>
            </w:tcMar>
            <w:vAlign w:val="bottom"/>
          </w:tcPr>
          <w:p w14:paraId="5406708A" w14:textId="77777777" w:rsidR="00611BDD" w:rsidRDefault="002E18C7">
            <w:pPr>
              <w:textAlignment w:val="bottom"/>
            </w:pPr>
            <w:r>
              <w:rPr>
                <w:rFonts w:ascii="sans-serif" w:eastAsia="sans-serif" w:hAnsi="sans-serif" w:cs="sans-serif"/>
                <w:color w:val="000000"/>
                <w:sz w:val="20"/>
                <w:szCs w:val="20"/>
              </w:rPr>
              <w:t>Licenses and royalties</w:t>
            </w:r>
          </w:p>
        </w:tc>
        <w:tc>
          <w:tcPr>
            <w:tcW w:w="0" w:type="auto"/>
            <w:gridSpan w:val="2"/>
            <w:shd w:val="clear" w:color="auto" w:fill="E2EFD9"/>
            <w:tcMar>
              <w:top w:w="40" w:type="dxa"/>
              <w:left w:w="20" w:type="dxa"/>
              <w:bottom w:w="40" w:type="dxa"/>
              <w:right w:w="0" w:type="dxa"/>
            </w:tcMar>
            <w:vAlign w:val="bottom"/>
          </w:tcPr>
          <w:p w14:paraId="5406708B" w14:textId="77777777" w:rsidR="00611BDD" w:rsidRDefault="002E18C7">
            <w:pPr>
              <w:jc w:val="right"/>
              <w:textAlignment w:val="bottom"/>
            </w:pPr>
            <w:r>
              <w:rPr>
                <w:rFonts w:ascii="sans-serif" w:eastAsia="sans-serif" w:hAnsi="sans-serif" w:cs="sans-serif"/>
                <w:color w:val="000000"/>
                <w:sz w:val="20"/>
                <w:szCs w:val="20"/>
              </w:rPr>
              <w:t>102 </w:t>
            </w:r>
          </w:p>
        </w:tc>
        <w:tc>
          <w:tcPr>
            <w:tcW w:w="0" w:type="auto"/>
            <w:shd w:val="clear" w:color="auto" w:fill="E2EFD9"/>
            <w:tcMar>
              <w:top w:w="40" w:type="dxa"/>
              <w:left w:w="0" w:type="dxa"/>
              <w:bottom w:w="40" w:type="dxa"/>
              <w:right w:w="20" w:type="dxa"/>
            </w:tcMar>
            <w:vAlign w:val="bottom"/>
          </w:tcPr>
          <w:p w14:paraId="5406708C"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08D"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08E" w14:textId="77777777" w:rsidR="00611BDD" w:rsidRDefault="002E18C7">
            <w:pPr>
              <w:jc w:val="right"/>
              <w:textAlignment w:val="bottom"/>
            </w:pPr>
            <w:r>
              <w:rPr>
                <w:rFonts w:ascii="sans-serif" w:eastAsia="sans-serif" w:hAnsi="sans-serif" w:cs="sans-serif"/>
                <w:color w:val="000000"/>
                <w:sz w:val="20"/>
                <w:szCs w:val="20"/>
              </w:rPr>
              <w:t>128 </w:t>
            </w:r>
          </w:p>
        </w:tc>
        <w:tc>
          <w:tcPr>
            <w:tcW w:w="0" w:type="auto"/>
            <w:shd w:val="clear" w:color="auto" w:fill="E2EFD9"/>
            <w:tcMar>
              <w:top w:w="40" w:type="dxa"/>
              <w:left w:w="0" w:type="dxa"/>
              <w:bottom w:w="40" w:type="dxa"/>
              <w:right w:w="20" w:type="dxa"/>
            </w:tcMar>
            <w:vAlign w:val="bottom"/>
          </w:tcPr>
          <w:p w14:paraId="5406708F" w14:textId="77777777" w:rsidR="00611BDD" w:rsidRDefault="00611BDD">
            <w:pPr>
              <w:jc w:val="right"/>
              <w:rPr>
                <w:rFonts w:ascii="宋体"/>
              </w:rPr>
            </w:pPr>
          </w:p>
        </w:tc>
      </w:tr>
      <w:tr w:rsidR="00611BDD" w14:paraId="54067097" w14:textId="77777777">
        <w:tc>
          <w:tcPr>
            <w:tcW w:w="0" w:type="auto"/>
            <w:gridSpan w:val="3"/>
            <w:shd w:val="clear" w:color="auto" w:fill="FFFFFF"/>
            <w:tcMar>
              <w:top w:w="40" w:type="dxa"/>
              <w:left w:w="20" w:type="dxa"/>
              <w:bottom w:w="40" w:type="dxa"/>
              <w:right w:w="20" w:type="dxa"/>
            </w:tcMar>
            <w:vAlign w:val="bottom"/>
          </w:tcPr>
          <w:p w14:paraId="54067091" w14:textId="77777777" w:rsidR="00611BDD" w:rsidRDefault="002E18C7">
            <w:pPr>
              <w:textAlignment w:val="bottom"/>
            </w:pPr>
            <w:r>
              <w:rPr>
                <w:rFonts w:ascii="sans-serif" w:eastAsia="sans-serif" w:hAnsi="sans-serif" w:cs="sans-serif"/>
                <w:color w:val="000000"/>
                <w:sz w:val="20"/>
                <w:szCs w:val="20"/>
              </w:rPr>
              <w:t>Coupon interest on debt obligations</w:t>
            </w:r>
          </w:p>
        </w:tc>
        <w:tc>
          <w:tcPr>
            <w:tcW w:w="0" w:type="auto"/>
            <w:gridSpan w:val="2"/>
            <w:shd w:val="clear" w:color="auto" w:fill="FFFFFF"/>
            <w:tcMar>
              <w:top w:w="40" w:type="dxa"/>
              <w:left w:w="20" w:type="dxa"/>
              <w:bottom w:w="40" w:type="dxa"/>
              <w:right w:w="0" w:type="dxa"/>
            </w:tcMar>
            <w:vAlign w:val="bottom"/>
          </w:tcPr>
          <w:p w14:paraId="54067092" w14:textId="77777777" w:rsidR="00611BDD" w:rsidRDefault="002E18C7">
            <w:pPr>
              <w:jc w:val="right"/>
              <w:textAlignment w:val="bottom"/>
            </w:pPr>
            <w:r>
              <w:rPr>
                <w:rFonts w:ascii="sans-serif" w:eastAsia="sans-serif" w:hAnsi="sans-serif" w:cs="sans-serif"/>
                <w:color w:val="000000"/>
                <w:sz w:val="20"/>
                <w:szCs w:val="20"/>
              </w:rPr>
              <w:t>81 </w:t>
            </w:r>
          </w:p>
        </w:tc>
        <w:tc>
          <w:tcPr>
            <w:tcW w:w="0" w:type="auto"/>
            <w:shd w:val="clear" w:color="auto" w:fill="FFFFFF"/>
            <w:tcMar>
              <w:top w:w="40" w:type="dxa"/>
              <w:left w:w="0" w:type="dxa"/>
              <w:bottom w:w="40" w:type="dxa"/>
              <w:right w:w="20" w:type="dxa"/>
            </w:tcMar>
            <w:vAlign w:val="bottom"/>
          </w:tcPr>
          <w:p w14:paraId="5406709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094"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095" w14:textId="77777777" w:rsidR="00611BDD" w:rsidRDefault="002E18C7">
            <w:pPr>
              <w:jc w:val="right"/>
              <w:textAlignment w:val="bottom"/>
            </w:pPr>
            <w:r>
              <w:rPr>
                <w:rFonts w:ascii="sans-serif" w:eastAsia="sans-serif" w:hAnsi="sans-serif" w:cs="sans-serif"/>
                <w:color w:val="000000"/>
                <w:sz w:val="20"/>
                <w:szCs w:val="20"/>
              </w:rPr>
              <w:t>74 </w:t>
            </w:r>
          </w:p>
        </w:tc>
        <w:tc>
          <w:tcPr>
            <w:tcW w:w="0" w:type="auto"/>
            <w:shd w:val="clear" w:color="auto" w:fill="FFFFFF"/>
            <w:tcMar>
              <w:top w:w="40" w:type="dxa"/>
              <w:left w:w="0" w:type="dxa"/>
              <w:bottom w:w="40" w:type="dxa"/>
              <w:right w:w="20" w:type="dxa"/>
            </w:tcMar>
            <w:vAlign w:val="bottom"/>
          </w:tcPr>
          <w:p w14:paraId="54067096" w14:textId="77777777" w:rsidR="00611BDD" w:rsidRDefault="00611BDD">
            <w:pPr>
              <w:jc w:val="right"/>
              <w:rPr>
                <w:rFonts w:ascii="宋体"/>
              </w:rPr>
            </w:pPr>
          </w:p>
        </w:tc>
      </w:tr>
      <w:tr w:rsidR="00611BDD" w14:paraId="5406709E" w14:textId="77777777">
        <w:tc>
          <w:tcPr>
            <w:tcW w:w="0" w:type="auto"/>
            <w:gridSpan w:val="3"/>
            <w:shd w:val="clear" w:color="auto" w:fill="E2EFD9"/>
            <w:tcMar>
              <w:top w:w="40" w:type="dxa"/>
              <w:left w:w="20" w:type="dxa"/>
              <w:bottom w:w="40" w:type="dxa"/>
              <w:right w:w="20" w:type="dxa"/>
            </w:tcMar>
            <w:vAlign w:val="bottom"/>
          </w:tcPr>
          <w:p w14:paraId="54067098" w14:textId="77777777" w:rsidR="00611BDD" w:rsidRDefault="002E18C7">
            <w:pPr>
              <w:textAlignment w:val="bottom"/>
            </w:pPr>
            <w:r>
              <w:rPr>
                <w:rFonts w:ascii="sans-serif" w:eastAsia="sans-serif" w:hAnsi="sans-serif" w:cs="sans-serif"/>
                <w:color w:val="000000"/>
                <w:sz w:val="20"/>
                <w:szCs w:val="20"/>
              </w:rPr>
              <w:t>Taxes payable</w:t>
            </w:r>
          </w:p>
        </w:tc>
        <w:tc>
          <w:tcPr>
            <w:tcW w:w="0" w:type="auto"/>
            <w:gridSpan w:val="2"/>
            <w:shd w:val="clear" w:color="auto" w:fill="E2EFD9"/>
            <w:tcMar>
              <w:top w:w="40" w:type="dxa"/>
              <w:left w:w="20" w:type="dxa"/>
              <w:bottom w:w="40" w:type="dxa"/>
              <w:right w:w="0" w:type="dxa"/>
            </w:tcMar>
            <w:vAlign w:val="bottom"/>
          </w:tcPr>
          <w:p w14:paraId="54067099" w14:textId="77777777" w:rsidR="00611BDD" w:rsidRDefault="002E18C7">
            <w:pPr>
              <w:jc w:val="right"/>
              <w:textAlignment w:val="bottom"/>
            </w:pPr>
            <w:r>
              <w:rPr>
                <w:rFonts w:ascii="sans-serif" w:eastAsia="sans-serif" w:hAnsi="sans-serif" w:cs="sans-serif"/>
                <w:color w:val="000000"/>
                <w:sz w:val="20"/>
                <w:szCs w:val="20"/>
              </w:rPr>
              <w:t>64 </w:t>
            </w:r>
          </w:p>
        </w:tc>
        <w:tc>
          <w:tcPr>
            <w:tcW w:w="0" w:type="auto"/>
            <w:shd w:val="clear" w:color="auto" w:fill="E2EFD9"/>
            <w:tcMar>
              <w:top w:w="40" w:type="dxa"/>
              <w:left w:w="0" w:type="dxa"/>
              <w:bottom w:w="40" w:type="dxa"/>
              <w:right w:w="20" w:type="dxa"/>
            </w:tcMar>
            <w:vAlign w:val="bottom"/>
          </w:tcPr>
          <w:p w14:paraId="5406709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09B"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09C" w14:textId="77777777" w:rsidR="00611BDD" w:rsidRDefault="002E18C7">
            <w:pPr>
              <w:jc w:val="right"/>
              <w:textAlignment w:val="bottom"/>
            </w:pPr>
            <w:r>
              <w:rPr>
                <w:rFonts w:ascii="sans-serif" w:eastAsia="sans-serif" w:hAnsi="sans-serif" w:cs="sans-serif"/>
                <w:color w:val="000000"/>
                <w:sz w:val="20"/>
                <w:szCs w:val="20"/>
              </w:rPr>
              <w:t>61 </w:t>
            </w:r>
          </w:p>
        </w:tc>
        <w:tc>
          <w:tcPr>
            <w:tcW w:w="0" w:type="auto"/>
            <w:shd w:val="clear" w:color="auto" w:fill="E2EFD9"/>
            <w:tcMar>
              <w:top w:w="40" w:type="dxa"/>
              <w:left w:w="0" w:type="dxa"/>
              <w:bottom w:w="40" w:type="dxa"/>
              <w:right w:w="20" w:type="dxa"/>
            </w:tcMar>
            <w:vAlign w:val="bottom"/>
          </w:tcPr>
          <w:p w14:paraId="5406709D" w14:textId="77777777" w:rsidR="00611BDD" w:rsidRDefault="00611BDD">
            <w:pPr>
              <w:jc w:val="right"/>
              <w:rPr>
                <w:rFonts w:ascii="宋体"/>
              </w:rPr>
            </w:pPr>
          </w:p>
        </w:tc>
      </w:tr>
      <w:tr w:rsidR="00611BDD" w14:paraId="540670A3" w14:textId="77777777">
        <w:trPr>
          <w:hidden/>
        </w:trPr>
        <w:tc>
          <w:tcPr>
            <w:tcW w:w="0" w:type="auto"/>
            <w:gridSpan w:val="3"/>
            <w:shd w:val="clear" w:color="auto" w:fill="auto"/>
            <w:vAlign w:val="bottom"/>
          </w:tcPr>
          <w:p w14:paraId="5406709F" w14:textId="77777777" w:rsidR="00611BDD" w:rsidRDefault="00611BDD">
            <w:pPr>
              <w:rPr>
                <w:rFonts w:ascii="宋体"/>
                <w:vanish/>
              </w:rPr>
            </w:pPr>
          </w:p>
        </w:tc>
        <w:tc>
          <w:tcPr>
            <w:tcW w:w="0" w:type="auto"/>
            <w:gridSpan w:val="3"/>
            <w:shd w:val="clear" w:color="auto" w:fill="auto"/>
            <w:vAlign w:val="bottom"/>
          </w:tcPr>
          <w:p w14:paraId="540670A0" w14:textId="77777777" w:rsidR="00611BDD" w:rsidRDefault="00611BDD">
            <w:pPr>
              <w:rPr>
                <w:rFonts w:ascii="宋体"/>
                <w:vanish/>
              </w:rPr>
            </w:pPr>
          </w:p>
        </w:tc>
        <w:tc>
          <w:tcPr>
            <w:tcW w:w="0" w:type="auto"/>
            <w:gridSpan w:val="3"/>
            <w:shd w:val="clear" w:color="auto" w:fill="auto"/>
            <w:vAlign w:val="bottom"/>
          </w:tcPr>
          <w:p w14:paraId="540670A1" w14:textId="77777777" w:rsidR="00611BDD" w:rsidRDefault="00611BDD">
            <w:pPr>
              <w:rPr>
                <w:rFonts w:ascii="宋体"/>
                <w:vanish/>
              </w:rPr>
            </w:pPr>
          </w:p>
        </w:tc>
        <w:tc>
          <w:tcPr>
            <w:tcW w:w="0" w:type="auto"/>
            <w:gridSpan w:val="3"/>
            <w:shd w:val="clear" w:color="auto" w:fill="auto"/>
            <w:vAlign w:val="bottom"/>
          </w:tcPr>
          <w:p w14:paraId="540670A2" w14:textId="77777777" w:rsidR="00611BDD" w:rsidRDefault="00611BDD">
            <w:pPr>
              <w:rPr>
                <w:rFonts w:ascii="宋体"/>
                <w:vanish/>
              </w:rPr>
            </w:pPr>
          </w:p>
        </w:tc>
      </w:tr>
      <w:tr w:rsidR="00611BDD" w14:paraId="540670AA" w14:textId="77777777">
        <w:tc>
          <w:tcPr>
            <w:tcW w:w="0" w:type="auto"/>
            <w:gridSpan w:val="3"/>
            <w:shd w:val="clear" w:color="auto" w:fill="FFFFFF"/>
            <w:tcMar>
              <w:top w:w="40" w:type="dxa"/>
              <w:left w:w="20" w:type="dxa"/>
              <w:bottom w:w="40" w:type="dxa"/>
              <w:right w:w="20" w:type="dxa"/>
            </w:tcMar>
            <w:vAlign w:val="bottom"/>
          </w:tcPr>
          <w:p w14:paraId="540670A4" w14:textId="77777777" w:rsidR="00611BDD" w:rsidRDefault="002E18C7">
            <w:pPr>
              <w:textAlignment w:val="bottom"/>
            </w:pPr>
            <w:r>
              <w:rPr>
                <w:rFonts w:ascii="sans-serif" w:eastAsia="sans-serif" w:hAnsi="sans-serif" w:cs="sans-serif"/>
                <w:color w:val="000000"/>
                <w:sz w:val="20"/>
                <w:szCs w:val="20"/>
              </w:rPr>
              <w:t>Product warranty and return provisions</w:t>
            </w:r>
          </w:p>
        </w:tc>
        <w:tc>
          <w:tcPr>
            <w:tcW w:w="0" w:type="auto"/>
            <w:gridSpan w:val="2"/>
            <w:shd w:val="clear" w:color="auto" w:fill="FFFFFF"/>
            <w:tcMar>
              <w:top w:w="40" w:type="dxa"/>
              <w:left w:w="20" w:type="dxa"/>
              <w:bottom w:w="40" w:type="dxa"/>
              <w:right w:w="0" w:type="dxa"/>
            </w:tcMar>
            <w:vAlign w:val="bottom"/>
          </w:tcPr>
          <w:p w14:paraId="540670A5" w14:textId="77777777" w:rsidR="00611BDD" w:rsidRDefault="002E18C7">
            <w:pPr>
              <w:jc w:val="right"/>
              <w:textAlignment w:val="bottom"/>
            </w:pPr>
            <w:r>
              <w:rPr>
                <w:rFonts w:ascii="sans-serif" w:eastAsia="sans-serif" w:hAnsi="sans-serif" w:cs="sans-serif"/>
                <w:color w:val="000000"/>
                <w:sz w:val="20"/>
                <w:szCs w:val="20"/>
              </w:rPr>
              <w:t>45 </w:t>
            </w:r>
          </w:p>
        </w:tc>
        <w:tc>
          <w:tcPr>
            <w:tcW w:w="0" w:type="auto"/>
            <w:shd w:val="clear" w:color="auto" w:fill="FFFFFF"/>
            <w:tcMar>
              <w:top w:w="40" w:type="dxa"/>
              <w:left w:w="0" w:type="dxa"/>
              <w:bottom w:w="40" w:type="dxa"/>
              <w:right w:w="20" w:type="dxa"/>
            </w:tcMar>
            <w:vAlign w:val="bottom"/>
          </w:tcPr>
          <w:p w14:paraId="540670A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0A7"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0A8" w14:textId="77777777" w:rsidR="00611BDD" w:rsidRDefault="002E18C7">
            <w:pPr>
              <w:jc w:val="right"/>
              <w:textAlignment w:val="bottom"/>
            </w:pPr>
            <w:r>
              <w:rPr>
                <w:rFonts w:ascii="sans-serif" w:eastAsia="sans-serif" w:hAnsi="sans-serif" w:cs="sans-serif"/>
                <w:color w:val="000000"/>
                <w:sz w:val="20"/>
                <w:szCs w:val="20"/>
              </w:rPr>
              <w:t>39 </w:t>
            </w:r>
          </w:p>
        </w:tc>
        <w:tc>
          <w:tcPr>
            <w:tcW w:w="0" w:type="auto"/>
            <w:shd w:val="clear" w:color="auto" w:fill="FFFFFF"/>
            <w:tcMar>
              <w:top w:w="40" w:type="dxa"/>
              <w:left w:w="0" w:type="dxa"/>
              <w:bottom w:w="40" w:type="dxa"/>
              <w:right w:w="20" w:type="dxa"/>
            </w:tcMar>
            <w:vAlign w:val="bottom"/>
          </w:tcPr>
          <w:p w14:paraId="540670A9" w14:textId="77777777" w:rsidR="00611BDD" w:rsidRDefault="00611BDD">
            <w:pPr>
              <w:jc w:val="right"/>
              <w:rPr>
                <w:rFonts w:ascii="宋体"/>
              </w:rPr>
            </w:pPr>
          </w:p>
        </w:tc>
      </w:tr>
      <w:tr w:rsidR="00611BDD" w14:paraId="540670B1" w14:textId="77777777">
        <w:tc>
          <w:tcPr>
            <w:tcW w:w="0" w:type="auto"/>
            <w:gridSpan w:val="3"/>
            <w:shd w:val="clear" w:color="auto" w:fill="E2EFD9"/>
            <w:tcMar>
              <w:top w:w="40" w:type="dxa"/>
              <w:left w:w="20" w:type="dxa"/>
              <w:bottom w:w="40" w:type="dxa"/>
              <w:right w:w="20" w:type="dxa"/>
            </w:tcMar>
            <w:vAlign w:val="bottom"/>
          </w:tcPr>
          <w:p w14:paraId="540670AB" w14:textId="77777777" w:rsidR="00611BDD" w:rsidRDefault="002E18C7">
            <w:pPr>
              <w:textAlignment w:val="bottom"/>
            </w:pPr>
            <w:r>
              <w:rPr>
                <w:rFonts w:ascii="sans-serif" w:eastAsia="sans-serif" w:hAnsi="sans-serif" w:cs="sans-serif"/>
                <w:color w:val="000000"/>
                <w:sz w:val="20"/>
                <w:szCs w:val="20"/>
              </w:rPr>
              <w:t>Professional service fees</w:t>
            </w:r>
          </w:p>
        </w:tc>
        <w:tc>
          <w:tcPr>
            <w:tcW w:w="0" w:type="auto"/>
            <w:gridSpan w:val="2"/>
            <w:shd w:val="clear" w:color="auto" w:fill="E2EFD9"/>
            <w:tcMar>
              <w:top w:w="40" w:type="dxa"/>
              <w:left w:w="20" w:type="dxa"/>
              <w:bottom w:w="40" w:type="dxa"/>
              <w:right w:w="0" w:type="dxa"/>
            </w:tcMar>
            <w:vAlign w:val="bottom"/>
          </w:tcPr>
          <w:p w14:paraId="540670AC" w14:textId="77777777" w:rsidR="00611BDD" w:rsidRDefault="002E18C7">
            <w:pPr>
              <w:jc w:val="right"/>
              <w:textAlignment w:val="bottom"/>
            </w:pPr>
            <w:r>
              <w:rPr>
                <w:rFonts w:ascii="sans-serif" w:eastAsia="sans-serif" w:hAnsi="sans-serif" w:cs="sans-serif"/>
                <w:color w:val="000000"/>
                <w:sz w:val="20"/>
                <w:szCs w:val="20"/>
              </w:rPr>
              <w:t>32 </w:t>
            </w:r>
          </w:p>
        </w:tc>
        <w:tc>
          <w:tcPr>
            <w:tcW w:w="0" w:type="auto"/>
            <w:shd w:val="clear" w:color="auto" w:fill="E2EFD9"/>
            <w:tcMar>
              <w:top w:w="40" w:type="dxa"/>
              <w:left w:w="0" w:type="dxa"/>
              <w:bottom w:w="40" w:type="dxa"/>
              <w:right w:w="20" w:type="dxa"/>
            </w:tcMar>
            <w:vAlign w:val="bottom"/>
          </w:tcPr>
          <w:p w14:paraId="540670AD"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0AE"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0AF" w14:textId="77777777" w:rsidR="00611BDD" w:rsidRDefault="002E18C7">
            <w:pPr>
              <w:jc w:val="right"/>
              <w:textAlignment w:val="bottom"/>
            </w:pPr>
            <w:r>
              <w:rPr>
                <w:rFonts w:ascii="sans-serif" w:eastAsia="sans-serif" w:hAnsi="sans-serif" w:cs="sans-serif"/>
                <w:color w:val="000000"/>
                <w:sz w:val="20"/>
                <w:szCs w:val="20"/>
              </w:rPr>
              <w:t>26 </w:t>
            </w:r>
          </w:p>
        </w:tc>
        <w:tc>
          <w:tcPr>
            <w:tcW w:w="0" w:type="auto"/>
            <w:shd w:val="clear" w:color="auto" w:fill="E2EFD9"/>
            <w:tcMar>
              <w:top w:w="40" w:type="dxa"/>
              <w:left w:w="0" w:type="dxa"/>
              <w:bottom w:w="40" w:type="dxa"/>
              <w:right w:w="20" w:type="dxa"/>
            </w:tcMar>
            <w:vAlign w:val="bottom"/>
          </w:tcPr>
          <w:p w14:paraId="540670B0" w14:textId="77777777" w:rsidR="00611BDD" w:rsidRDefault="00611BDD">
            <w:pPr>
              <w:jc w:val="right"/>
              <w:rPr>
                <w:rFonts w:ascii="宋体"/>
              </w:rPr>
            </w:pPr>
          </w:p>
        </w:tc>
      </w:tr>
      <w:tr w:rsidR="00611BDD" w14:paraId="540670B6" w14:textId="77777777">
        <w:trPr>
          <w:hidden/>
        </w:trPr>
        <w:tc>
          <w:tcPr>
            <w:tcW w:w="0" w:type="auto"/>
            <w:gridSpan w:val="3"/>
            <w:shd w:val="clear" w:color="auto" w:fill="auto"/>
            <w:vAlign w:val="bottom"/>
          </w:tcPr>
          <w:p w14:paraId="540670B2" w14:textId="77777777" w:rsidR="00611BDD" w:rsidRDefault="00611BDD">
            <w:pPr>
              <w:rPr>
                <w:rFonts w:ascii="宋体"/>
                <w:vanish/>
              </w:rPr>
            </w:pPr>
          </w:p>
        </w:tc>
        <w:tc>
          <w:tcPr>
            <w:tcW w:w="0" w:type="auto"/>
            <w:gridSpan w:val="3"/>
            <w:shd w:val="clear" w:color="auto" w:fill="auto"/>
            <w:vAlign w:val="bottom"/>
          </w:tcPr>
          <w:p w14:paraId="540670B3" w14:textId="77777777" w:rsidR="00611BDD" w:rsidRDefault="00611BDD">
            <w:pPr>
              <w:rPr>
                <w:rFonts w:ascii="宋体"/>
                <w:vanish/>
              </w:rPr>
            </w:pPr>
          </w:p>
        </w:tc>
        <w:tc>
          <w:tcPr>
            <w:tcW w:w="0" w:type="auto"/>
            <w:gridSpan w:val="3"/>
            <w:shd w:val="clear" w:color="auto" w:fill="auto"/>
            <w:vAlign w:val="bottom"/>
          </w:tcPr>
          <w:p w14:paraId="540670B4" w14:textId="77777777" w:rsidR="00611BDD" w:rsidRDefault="00611BDD">
            <w:pPr>
              <w:rPr>
                <w:rFonts w:ascii="宋体"/>
                <w:vanish/>
              </w:rPr>
            </w:pPr>
          </w:p>
        </w:tc>
        <w:tc>
          <w:tcPr>
            <w:tcW w:w="0" w:type="auto"/>
            <w:gridSpan w:val="3"/>
            <w:shd w:val="clear" w:color="auto" w:fill="auto"/>
            <w:vAlign w:val="bottom"/>
          </w:tcPr>
          <w:p w14:paraId="540670B5" w14:textId="77777777" w:rsidR="00611BDD" w:rsidRDefault="00611BDD">
            <w:pPr>
              <w:rPr>
                <w:rFonts w:ascii="宋体"/>
                <w:vanish/>
              </w:rPr>
            </w:pPr>
          </w:p>
        </w:tc>
      </w:tr>
      <w:tr w:rsidR="00611BDD" w14:paraId="540670BB" w14:textId="77777777">
        <w:trPr>
          <w:hidden/>
        </w:trPr>
        <w:tc>
          <w:tcPr>
            <w:tcW w:w="0" w:type="auto"/>
            <w:gridSpan w:val="3"/>
            <w:shd w:val="clear" w:color="auto" w:fill="auto"/>
            <w:vAlign w:val="bottom"/>
          </w:tcPr>
          <w:p w14:paraId="540670B7" w14:textId="77777777" w:rsidR="00611BDD" w:rsidRDefault="00611BDD">
            <w:pPr>
              <w:rPr>
                <w:rFonts w:ascii="宋体"/>
                <w:vanish/>
              </w:rPr>
            </w:pPr>
          </w:p>
        </w:tc>
        <w:tc>
          <w:tcPr>
            <w:tcW w:w="0" w:type="auto"/>
            <w:gridSpan w:val="3"/>
            <w:shd w:val="clear" w:color="auto" w:fill="auto"/>
            <w:vAlign w:val="bottom"/>
          </w:tcPr>
          <w:p w14:paraId="540670B8" w14:textId="77777777" w:rsidR="00611BDD" w:rsidRDefault="00611BDD">
            <w:pPr>
              <w:rPr>
                <w:rFonts w:ascii="宋体"/>
                <w:vanish/>
              </w:rPr>
            </w:pPr>
          </w:p>
        </w:tc>
        <w:tc>
          <w:tcPr>
            <w:tcW w:w="0" w:type="auto"/>
            <w:gridSpan w:val="3"/>
            <w:shd w:val="clear" w:color="auto" w:fill="auto"/>
            <w:vAlign w:val="bottom"/>
          </w:tcPr>
          <w:p w14:paraId="540670B9" w14:textId="77777777" w:rsidR="00611BDD" w:rsidRDefault="00611BDD">
            <w:pPr>
              <w:rPr>
                <w:rFonts w:ascii="宋体"/>
                <w:vanish/>
              </w:rPr>
            </w:pPr>
          </w:p>
        </w:tc>
        <w:tc>
          <w:tcPr>
            <w:tcW w:w="0" w:type="auto"/>
            <w:gridSpan w:val="3"/>
            <w:shd w:val="clear" w:color="auto" w:fill="auto"/>
            <w:vAlign w:val="bottom"/>
          </w:tcPr>
          <w:p w14:paraId="540670BA" w14:textId="77777777" w:rsidR="00611BDD" w:rsidRDefault="00611BDD">
            <w:pPr>
              <w:rPr>
                <w:rFonts w:ascii="宋体"/>
                <w:vanish/>
              </w:rPr>
            </w:pPr>
          </w:p>
        </w:tc>
      </w:tr>
      <w:tr w:rsidR="00611BDD" w14:paraId="540670C0" w14:textId="77777777">
        <w:trPr>
          <w:hidden/>
        </w:trPr>
        <w:tc>
          <w:tcPr>
            <w:tcW w:w="0" w:type="auto"/>
            <w:gridSpan w:val="3"/>
            <w:shd w:val="clear" w:color="auto" w:fill="auto"/>
            <w:vAlign w:val="bottom"/>
          </w:tcPr>
          <w:p w14:paraId="540670BC" w14:textId="77777777" w:rsidR="00611BDD" w:rsidRDefault="00611BDD">
            <w:pPr>
              <w:rPr>
                <w:rFonts w:ascii="宋体"/>
                <w:vanish/>
              </w:rPr>
            </w:pPr>
          </w:p>
        </w:tc>
        <w:tc>
          <w:tcPr>
            <w:tcW w:w="0" w:type="auto"/>
            <w:gridSpan w:val="3"/>
            <w:shd w:val="clear" w:color="auto" w:fill="auto"/>
            <w:vAlign w:val="bottom"/>
          </w:tcPr>
          <w:p w14:paraId="540670BD" w14:textId="77777777" w:rsidR="00611BDD" w:rsidRDefault="00611BDD">
            <w:pPr>
              <w:rPr>
                <w:rFonts w:ascii="宋体"/>
                <w:vanish/>
              </w:rPr>
            </w:pPr>
          </w:p>
        </w:tc>
        <w:tc>
          <w:tcPr>
            <w:tcW w:w="0" w:type="auto"/>
            <w:gridSpan w:val="3"/>
            <w:shd w:val="clear" w:color="auto" w:fill="auto"/>
            <w:vAlign w:val="bottom"/>
          </w:tcPr>
          <w:p w14:paraId="540670BE" w14:textId="77777777" w:rsidR="00611BDD" w:rsidRDefault="00611BDD">
            <w:pPr>
              <w:rPr>
                <w:rFonts w:ascii="宋体"/>
                <w:vanish/>
              </w:rPr>
            </w:pPr>
          </w:p>
        </w:tc>
        <w:tc>
          <w:tcPr>
            <w:tcW w:w="0" w:type="auto"/>
            <w:gridSpan w:val="3"/>
            <w:shd w:val="clear" w:color="auto" w:fill="auto"/>
            <w:vAlign w:val="bottom"/>
          </w:tcPr>
          <w:p w14:paraId="540670BF" w14:textId="77777777" w:rsidR="00611BDD" w:rsidRDefault="00611BDD">
            <w:pPr>
              <w:rPr>
                <w:rFonts w:ascii="宋体"/>
                <w:vanish/>
              </w:rPr>
            </w:pPr>
          </w:p>
        </w:tc>
      </w:tr>
      <w:tr w:rsidR="00611BDD" w14:paraId="540670C5" w14:textId="77777777">
        <w:trPr>
          <w:hidden/>
        </w:trPr>
        <w:tc>
          <w:tcPr>
            <w:tcW w:w="0" w:type="auto"/>
            <w:gridSpan w:val="3"/>
            <w:shd w:val="clear" w:color="auto" w:fill="auto"/>
            <w:vAlign w:val="bottom"/>
          </w:tcPr>
          <w:p w14:paraId="540670C1" w14:textId="77777777" w:rsidR="00611BDD" w:rsidRDefault="00611BDD">
            <w:pPr>
              <w:rPr>
                <w:rFonts w:ascii="宋体"/>
                <w:vanish/>
              </w:rPr>
            </w:pPr>
          </w:p>
        </w:tc>
        <w:tc>
          <w:tcPr>
            <w:tcW w:w="0" w:type="auto"/>
            <w:gridSpan w:val="3"/>
            <w:shd w:val="clear" w:color="auto" w:fill="auto"/>
            <w:vAlign w:val="bottom"/>
          </w:tcPr>
          <w:p w14:paraId="540670C2" w14:textId="77777777" w:rsidR="00611BDD" w:rsidRDefault="00611BDD">
            <w:pPr>
              <w:rPr>
                <w:rFonts w:ascii="宋体"/>
                <w:vanish/>
              </w:rPr>
            </w:pPr>
          </w:p>
        </w:tc>
        <w:tc>
          <w:tcPr>
            <w:tcW w:w="0" w:type="auto"/>
            <w:gridSpan w:val="3"/>
            <w:shd w:val="clear" w:color="auto" w:fill="auto"/>
            <w:vAlign w:val="bottom"/>
          </w:tcPr>
          <w:p w14:paraId="540670C3" w14:textId="77777777" w:rsidR="00611BDD" w:rsidRDefault="00611BDD">
            <w:pPr>
              <w:rPr>
                <w:rFonts w:ascii="宋体"/>
                <w:vanish/>
              </w:rPr>
            </w:pPr>
          </w:p>
        </w:tc>
        <w:tc>
          <w:tcPr>
            <w:tcW w:w="0" w:type="auto"/>
            <w:gridSpan w:val="3"/>
            <w:shd w:val="clear" w:color="auto" w:fill="auto"/>
            <w:vAlign w:val="bottom"/>
          </w:tcPr>
          <w:p w14:paraId="540670C4" w14:textId="77777777" w:rsidR="00611BDD" w:rsidRDefault="00611BDD">
            <w:pPr>
              <w:rPr>
                <w:rFonts w:ascii="宋体"/>
                <w:vanish/>
              </w:rPr>
            </w:pPr>
          </w:p>
        </w:tc>
      </w:tr>
      <w:tr w:rsidR="00611BDD" w14:paraId="540670CA" w14:textId="77777777">
        <w:trPr>
          <w:hidden/>
        </w:trPr>
        <w:tc>
          <w:tcPr>
            <w:tcW w:w="0" w:type="auto"/>
            <w:gridSpan w:val="3"/>
            <w:shd w:val="clear" w:color="auto" w:fill="auto"/>
            <w:vAlign w:val="bottom"/>
          </w:tcPr>
          <w:p w14:paraId="540670C6" w14:textId="77777777" w:rsidR="00611BDD" w:rsidRDefault="00611BDD">
            <w:pPr>
              <w:rPr>
                <w:rFonts w:ascii="宋体"/>
                <w:vanish/>
              </w:rPr>
            </w:pPr>
          </w:p>
        </w:tc>
        <w:tc>
          <w:tcPr>
            <w:tcW w:w="0" w:type="auto"/>
            <w:gridSpan w:val="3"/>
            <w:shd w:val="clear" w:color="auto" w:fill="auto"/>
            <w:vAlign w:val="bottom"/>
          </w:tcPr>
          <w:p w14:paraId="540670C7" w14:textId="77777777" w:rsidR="00611BDD" w:rsidRDefault="00611BDD">
            <w:pPr>
              <w:rPr>
                <w:rFonts w:ascii="宋体"/>
                <w:vanish/>
              </w:rPr>
            </w:pPr>
          </w:p>
        </w:tc>
        <w:tc>
          <w:tcPr>
            <w:tcW w:w="0" w:type="auto"/>
            <w:gridSpan w:val="3"/>
            <w:shd w:val="clear" w:color="auto" w:fill="auto"/>
            <w:vAlign w:val="bottom"/>
          </w:tcPr>
          <w:p w14:paraId="540670C8" w14:textId="77777777" w:rsidR="00611BDD" w:rsidRDefault="00611BDD">
            <w:pPr>
              <w:rPr>
                <w:rFonts w:ascii="宋体"/>
                <w:vanish/>
              </w:rPr>
            </w:pPr>
          </w:p>
        </w:tc>
        <w:tc>
          <w:tcPr>
            <w:tcW w:w="0" w:type="auto"/>
            <w:gridSpan w:val="3"/>
            <w:shd w:val="clear" w:color="auto" w:fill="auto"/>
            <w:vAlign w:val="bottom"/>
          </w:tcPr>
          <w:p w14:paraId="540670C9" w14:textId="77777777" w:rsidR="00611BDD" w:rsidRDefault="00611BDD">
            <w:pPr>
              <w:rPr>
                <w:rFonts w:ascii="宋体"/>
                <w:vanish/>
              </w:rPr>
            </w:pPr>
          </w:p>
        </w:tc>
      </w:tr>
      <w:tr w:rsidR="00611BDD" w14:paraId="540670CF" w14:textId="77777777">
        <w:trPr>
          <w:hidden/>
        </w:trPr>
        <w:tc>
          <w:tcPr>
            <w:tcW w:w="0" w:type="auto"/>
            <w:gridSpan w:val="3"/>
            <w:shd w:val="clear" w:color="auto" w:fill="auto"/>
            <w:vAlign w:val="bottom"/>
          </w:tcPr>
          <w:p w14:paraId="540670CB" w14:textId="77777777" w:rsidR="00611BDD" w:rsidRDefault="00611BDD">
            <w:pPr>
              <w:rPr>
                <w:rFonts w:ascii="宋体"/>
                <w:vanish/>
              </w:rPr>
            </w:pPr>
          </w:p>
        </w:tc>
        <w:tc>
          <w:tcPr>
            <w:tcW w:w="0" w:type="auto"/>
            <w:gridSpan w:val="3"/>
            <w:shd w:val="clear" w:color="auto" w:fill="auto"/>
            <w:vAlign w:val="bottom"/>
          </w:tcPr>
          <w:p w14:paraId="540670CC" w14:textId="77777777" w:rsidR="00611BDD" w:rsidRDefault="00611BDD">
            <w:pPr>
              <w:rPr>
                <w:rFonts w:ascii="宋体"/>
                <w:vanish/>
              </w:rPr>
            </w:pPr>
          </w:p>
        </w:tc>
        <w:tc>
          <w:tcPr>
            <w:tcW w:w="0" w:type="auto"/>
            <w:gridSpan w:val="3"/>
            <w:shd w:val="clear" w:color="auto" w:fill="auto"/>
            <w:vAlign w:val="bottom"/>
          </w:tcPr>
          <w:p w14:paraId="540670CD" w14:textId="77777777" w:rsidR="00611BDD" w:rsidRDefault="00611BDD">
            <w:pPr>
              <w:rPr>
                <w:rFonts w:ascii="宋体"/>
                <w:vanish/>
              </w:rPr>
            </w:pPr>
          </w:p>
        </w:tc>
        <w:tc>
          <w:tcPr>
            <w:tcW w:w="0" w:type="auto"/>
            <w:gridSpan w:val="3"/>
            <w:shd w:val="clear" w:color="auto" w:fill="auto"/>
            <w:vAlign w:val="bottom"/>
          </w:tcPr>
          <w:p w14:paraId="540670CE" w14:textId="77777777" w:rsidR="00611BDD" w:rsidRDefault="00611BDD">
            <w:pPr>
              <w:rPr>
                <w:rFonts w:ascii="宋体"/>
                <w:vanish/>
              </w:rPr>
            </w:pPr>
          </w:p>
        </w:tc>
      </w:tr>
      <w:tr w:rsidR="00611BDD" w14:paraId="540670D4" w14:textId="77777777">
        <w:trPr>
          <w:hidden/>
        </w:trPr>
        <w:tc>
          <w:tcPr>
            <w:tcW w:w="0" w:type="auto"/>
            <w:gridSpan w:val="3"/>
            <w:shd w:val="clear" w:color="auto" w:fill="auto"/>
            <w:vAlign w:val="bottom"/>
          </w:tcPr>
          <w:p w14:paraId="540670D0" w14:textId="77777777" w:rsidR="00611BDD" w:rsidRDefault="00611BDD">
            <w:pPr>
              <w:rPr>
                <w:rFonts w:ascii="宋体"/>
                <w:vanish/>
              </w:rPr>
            </w:pPr>
          </w:p>
        </w:tc>
        <w:tc>
          <w:tcPr>
            <w:tcW w:w="0" w:type="auto"/>
            <w:gridSpan w:val="3"/>
            <w:shd w:val="clear" w:color="auto" w:fill="auto"/>
            <w:vAlign w:val="bottom"/>
          </w:tcPr>
          <w:p w14:paraId="540670D1" w14:textId="77777777" w:rsidR="00611BDD" w:rsidRDefault="00611BDD">
            <w:pPr>
              <w:rPr>
                <w:rFonts w:ascii="宋体"/>
                <w:vanish/>
              </w:rPr>
            </w:pPr>
          </w:p>
        </w:tc>
        <w:tc>
          <w:tcPr>
            <w:tcW w:w="0" w:type="auto"/>
            <w:gridSpan w:val="3"/>
            <w:shd w:val="clear" w:color="auto" w:fill="auto"/>
            <w:vAlign w:val="bottom"/>
          </w:tcPr>
          <w:p w14:paraId="540670D2" w14:textId="77777777" w:rsidR="00611BDD" w:rsidRDefault="00611BDD">
            <w:pPr>
              <w:rPr>
                <w:rFonts w:ascii="宋体"/>
                <w:vanish/>
              </w:rPr>
            </w:pPr>
          </w:p>
        </w:tc>
        <w:tc>
          <w:tcPr>
            <w:tcW w:w="0" w:type="auto"/>
            <w:gridSpan w:val="3"/>
            <w:shd w:val="clear" w:color="auto" w:fill="auto"/>
            <w:vAlign w:val="bottom"/>
          </w:tcPr>
          <w:p w14:paraId="540670D3" w14:textId="77777777" w:rsidR="00611BDD" w:rsidRDefault="00611BDD">
            <w:pPr>
              <w:rPr>
                <w:rFonts w:ascii="宋体"/>
                <w:vanish/>
              </w:rPr>
            </w:pPr>
          </w:p>
        </w:tc>
      </w:tr>
      <w:tr w:rsidR="00611BDD" w14:paraId="540670D9" w14:textId="77777777">
        <w:trPr>
          <w:hidden/>
        </w:trPr>
        <w:tc>
          <w:tcPr>
            <w:tcW w:w="0" w:type="auto"/>
            <w:gridSpan w:val="3"/>
            <w:shd w:val="clear" w:color="auto" w:fill="auto"/>
            <w:vAlign w:val="bottom"/>
          </w:tcPr>
          <w:p w14:paraId="540670D5" w14:textId="77777777" w:rsidR="00611BDD" w:rsidRDefault="00611BDD">
            <w:pPr>
              <w:rPr>
                <w:rFonts w:ascii="宋体"/>
                <w:vanish/>
              </w:rPr>
            </w:pPr>
          </w:p>
        </w:tc>
        <w:tc>
          <w:tcPr>
            <w:tcW w:w="0" w:type="auto"/>
            <w:gridSpan w:val="3"/>
            <w:shd w:val="clear" w:color="auto" w:fill="auto"/>
            <w:vAlign w:val="bottom"/>
          </w:tcPr>
          <w:p w14:paraId="540670D6" w14:textId="77777777" w:rsidR="00611BDD" w:rsidRDefault="00611BDD">
            <w:pPr>
              <w:rPr>
                <w:rFonts w:ascii="宋体"/>
                <w:vanish/>
              </w:rPr>
            </w:pPr>
          </w:p>
        </w:tc>
        <w:tc>
          <w:tcPr>
            <w:tcW w:w="0" w:type="auto"/>
            <w:gridSpan w:val="3"/>
            <w:shd w:val="clear" w:color="auto" w:fill="auto"/>
            <w:vAlign w:val="bottom"/>
          </w:tcPr>
          <w:p w14:paraId="540670D7" w14:textId="77777777" w:rsidR="00611BDD" w:rsidRDefault="00611BDD">
            <w:pPr>
              <w:rPr>
                <w:rFonts w:ascii="宋体"/>
                <w:vanish/>
              </w:rPr>
            </w:pPr>
          </w:p>
        </w:tc>
        <w:tc>
          <w:tcPr>
            <w:tcW w:w="0" w:type="auto"/>
            <w:gridSpan w:val="3"/>
            <w:shd w:val="clear" w:color="auto" w:fill="auto"/>
            <w:vAlign w:val="bottom"/>
          </w:tcPr>
          <w:p w14:paraId="540670D8" w14:textId="77777777" w:rsidR="00611BDD" w:rsidRDefault="00611BDD">
            <w:pPr>
              <w:rPr>
                <w:rFonts w:ascii="宋体"/>
                <w:vanish/>
              </w:rPr>
            </w:pPr>
          </w:p>
        </w:tc>
      </w:tr>
      <w:tr w:rsidR="00611BDD" w14:paraId="540670E0" w14:textId="77777777">
        <w:tc>
          <w:tcPr>
            <w:tcW w:w="0" w:type="auto"/>
            <w:gridSpan w:val="3"/>
            <w:shd w:val="clear" w:color="auto" w:fill="FFFFFF"/>
            <w:tcMar>
              <w:top w:w="40" w:type="dxa"/>
              <w:left w:w="20" w:type="dxa"/>
              <w:bottom w:w="40" w:type="dxa"/>
              <w:right w:w="20" w:type="dxa"/>
            </w:tcMar>
            <w:vAlign w:val="bottom"/>
          </w:tcPr>
          <w:p w14:paraId="540670DA" w14:textId="77777777" w:rsidR="00611BDD" w:rsidRDefault="002E18C7">
            <w:pPr>
              <w:textAlignment w:val="bottom"/>
            </w:pPr>
            <w:r>
              <w:rPr>
                <w:rFonts w:ascii="sans-serif" w:eastAsia="sans-serif" w:hAnsi="sans-serif" w:cs="sans-serif"/>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540670DB" w14:textId="77777777" w:rsidR="00611BDD" w:rsidRDefault="002E18C7">
            <w:pPr>
              <w:jc w:val="right"/>
              <w:textAlignment w:val="bottom"/>
            </w:pPr>
            <w:r>
              <w:rPr>
                <w:rFonts w:ascii="sans-serif" w:eastAsia="sans-serif" w:hAnsi="sans-serif" w:cs="sans-serif"/>
                <w:color w:val="000000"/>
                <w:sz w:val="20"/>
                <w:szCs w:val="20"/>
              </w:rPr>
              <w:t>85 </w:t>
            </w:r>
          </w:p>
        </w:tc>
        <w:tc>
          <w:tcPr>
            <w:tcW w:w="0" w:type="auto"/>
            <w:shd w:val="clear" w:color="auto" w:fill="FFFFFF"/>
            <w:tcMar>
              <w:top w:w="40" w:type="dxa"/>
              <w:left w:w="0" w:type="dxa"/>
              <w:bottom w:w="40" w:type="dxa"/>
              <w:right w:w="20" w:type="dxa"/>
            </w:tcMar>
            <w:vAlign w:val="bottom"/>
          </w:tcPr>
          <w:p w14:paraId="540670DC"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0DD"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0DE" w14:textId="77777777" w:rsidR="00611BDD" w:rsidRDefault="002E18C7">
            <w:pPr>
              <w:jc w:val="right"/>
              <w:textAlignment w:val="bottom"/>
            </w:pPr>
            <w:r>
              <w:rPr>
                <w:rFonts w:ascii="sans-serif" w:eastAsia="sans-serif" w:hAnsi="sans-serif" w:cs="sans-serif"/>
                <w:color w:val="000000"/>
                <w:sz w:val="20"/>
                <w:szCs w:val="20"/>
              </w:rPr>
              <w:t>61 </w:t>
            </w:r>
          </w:p>
        </w:tc>
        <w:tc>
          <w:tcPr>
            <w:tcW w:w="0" w:type="auto"/>
            <w:shd w:val="clear" w:color="auto" w:fill="FFFFFF"/>
            <w:tcMar>
              <w:top w:w="40" w:type="dxa"/>
              <w:left w:w="0" w:type="dxa"/>
              <w:bottom w:w="40" w:type="dxa"/>
              <w:right w:w="20" w:type="dxa"/>
            </w:tcMar>
            <w:vAlign w:val="bottom"/>
          </w:tcPr>
          <w:p w14:paraId="540670DF" w14:textId="77777777" w:rsidR="00611BDD" w:rsidRDefault="00611BDD">
            <w:pPr>
              <w:jc w:val="right"/>
              <w:rPr>
                <w:rFonts w:ascii="宋体"/>
              </w:rPr>
            </w:pPr>
          </w:p>
        </w:tc>
      </w:tr>
      <w:tr w:rsidR="00611BDD" w14:paraId="540670E9" w14:textId="77777777">
        <w:tc>
          <w:tcPr>
            <w:tcW w:w="0" w:type="auto"/>
            <w:gridSpan w:val="3"/>
            <w:shd w:val="clear" w:color="auto" w:fill="E2EFD9"/>
            <w:tcMar>
              <w:top w:w="40" w:type="dxa"/>
              <w:left w:w="380" w:type="dxa"/>
              <w:bottom w:w="40" w:type="dxa"/>
              <w:right w:w="20" w:type="dxa"/>
            </w:tcMar>
            <w:vAlign w:val="bottom"/>
          </w:tcPr>
          <w:p w14:paraId="540670E1" w14:textId="77777777" w:rsidR="00611BDD" w:rsidRDefault="002E18C7">
            <w:pPr>
              <w:textAlignment w:val="bottom"/>
            </w:pPr>
            <w:r>
              <w:rPr>
                <w:rFonts w:ascii="sans-serif" w:eastAsia="sans-serif" w:hAnsi="sans-serif" w:cs="sans-serif"/>
                <w:color w:val="000000"/>
                <w:sz w:val="20"/>
                <w:szCs w:val="20"/>
              </w:rPr>
              <w:t>Total accrued and other current liabilities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0E2"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0E3" w14:textId="77777777" w:rsidR="00611BDD" w:rsidRDefault="002E18C7">
            <w:pPr>
              <w:jc w:val="right"/>
              <w:textAlignment w:val="bottom"/>
            </w:pPr>
            <w:r>
              <w:rPr>
                <w:rFonts w:ascii="sans-serif" w:eastAsia="sans-serif" w:hAnsi="sans-serif" w:cs="sans-serif"/>
                <w:color w:val="000000"/>
                <w:sz w:val="20"/>
                <w:szCs w:val="20"/>
              </w:rPr>
              <w:t>1,974 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0E4"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0E5"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0E6"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0E7" w14:textId="77777777" w:rsidR="00611BDD" w:rsidRDefault="002E18C7">
            <w:pPr>
              <w:jc w:val="right"/>
              <w:textAlignment w:val="bottom"/>
            </w:pPr>
            <w:r>
              <w:rPr>
                <w:rFonts w:ascii="sans-serif" w:eastAsia="sans-serif" w:hAnsi="sans-serif" w:cs="sans-serif"/>
                <w:color w:val="000000"/>
                <w:sz w:val="20"/>
                <w:szCs w:val="20"/>
              </w:rPr>
              <w:t>1,725 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0E8" w14:textId="77777777" w:rsidR="00611BDD" w:rsidRDefault="00611BDD">
            <w:pPr>
              <w:jc w:val="right"/>
              <w:rPr>
                <w:rFonts w:ascii="宋体"/>
              </w:rPr>
            </w:pPr>
          </w:p>
        </w:tc>
      </w:tr>
    </w:tbl>
    <w:p w14:paraId="540670EA" w14:textId="77777777" w:rsidR="00611BDD" w:rsidRDefault="002E18C7">
      <w:pPr>
        <w:pBdr>
          <w:left w:val="none" w:sz="0" w:space="0" w:color="auto"/>
        </w:pBdr>
        <w:spacing w:after="180"/>
        <w:ind w:hanging="360"/>
        <w:jc w:val="both"/>
      </w:pPr>
      <w:r>
        <w:rPr>
          <w:rFonts w:ascii="sans-serif" w:eastAsia="sans-serif" w:hAnsi="sans-serif" w:cs="sans-serif"/>
          <w:color w:val="000000"/>
          <w:sz w:val="16"/>
          <w:szCs w:val="16"/>
        </w:rPr>
        <w:t xml:space="preserve">(1)    Deferred revenue primarily includes customer advances and deferrals related to </w:t>
      </w:r>
      <w:r>
        <w:rPr>
          <w:rFonts w:ascii="sans-serif" w:eastAsia="sans-serif" w:hAnsi="sans-serif" w:cs="sans-serif"/>
          <w:color w:val="000000"/>
          <w:sz w:val="16"/>
          <w:szCs w:val="16"/>
        </w:rPr>
        <w:t>license and development arrangements and post-contract customer support, or PCS.</w:t>
      </w:r>
    </w:p>
    <w:tbl>
      <w:tblPr>
        <w:tblW w:w="4993" w:type="pct"/>
        <w:tblCellMar>
          <w:top w:w="15" w:type="dxa"/>
          <w:left w:w="15" w:type="dxa"/>
          <w:bottom w:w="15" w:type="dxa"/>
          <w:right w:w="15" w:type="dxa"/>
        </w:tblCellMar>
        <w:tblLook w:val="04A0" w:firstRow="1" w:lastRow="0" w:firstColumn="1" w:lastColumn="0" w:noHBand="0" w:noVBand="1"/>
      </w:tblPr>
      <w:tblGrid>
        <w:gridCol w:w="40"/>
        <w:gridCol w:w="5910"/>
        <w:gridCol w:w="37"/>
        <w:gridCol w:w="122"/>
        <w:gridCol w:w="974"/>
        <w:gridCol w:w="36"/>
        <w:gridCol w:w="36"/>
        <w:gridCol w:w="36"/>
        <w:gridCol w:w="36"/>
        <w:gridCol w:w="123"/>
        <w:gridCol w:w="938"/>
        <w:gridCol w:w="36"/>
      </w:tblGrid>
      <w:tr w:rsidR="00611BDD" w14:paraId="540670F7" w14:textId="77777777">
        <w:tc>
          <w:tcPr>
            <w:tcW w:w="50" w:type="pct"/>
            <w:shd w:val="clear" w:color="auto" w:fill="auto"/>
            <w:vAlign w:val="bottom"/>
          </w:tcPr>
          <w:p w14:paraId="540670EB" w14:textId="77777777" w:rsidR="00611BDD" w:rsidRDefault="00611BDD">
            <w:pPr>
              <w:rPr>
                <w:rFonts w:ascii="宋体"/>
              </w:rPr>
            </w:pPr>
          </w:p>
        </w:tc>
        <w:tc>
          <w:tcPr>
            <w:tcW w:w="3575" w:type="pct"/>
            <w:shd w:val="clear" w:color="auto" w:fill="auto"/>
            <w:vAlign w:val="bottom"/>
          </w:tcPr>
          <w:p w14:paraId="540670EC" w14:textId="77777777" w:rsidR="00611BDD" w:rsidRDefault="00611BDD">
            <w:pPr>
              <w:rPr>
                <w:rFonts w:ascii="宋体"/>
              </w:rPr>
            </w:pPr>
          </w:p>
        </w:tc>
        <w:tc>
          <w:tcPr>
            <w:tcW w:w="5" w:type="pct"/>
            <w:shd w:val="clear" w:color="auto" w:fill="auto"/>
            <w:vAlign w:val="bottom"/>
          </w:tcPr>
          <w:p w14:paraId="540670ED" w14:textId="77777777" w:rsidR="00611BDD" w:rsidRDefault="00611BDD">
            <w:pPr>
              <w:rPr>
                <w:rFonts w:ascii="宋体"/>
              </w:rPr>
            </w:pPr>
          </w:p>
        </w:tc>
        <w:tc>
          <w:tcPr>
            <w:tcW w:w="50" w:type="pct"/>
            <w:shd w:val="clear" w:color="auto" w:fill="auto"/>
            <w:vAlign w:val="bottom"/>
          </w:tcPr>
          <w:p w14:paraId="540670EE" w14:textId="77777777" w:rsidR="00611BDD" w:rsidRDefault="00611BDD">
            <w:pPr>
              <w:rPr>
                <w:rFonts w:ascii="宋体"/>
              </w:rPr>
            </w:pPr>
          </w:p>
        </w:tc>
        <w:tc>
          <w:tcPr>
            <w:tcW w:w="611" w:type="pct"/>
            <w:shd w:val="clear" w:color="auto" w:fill="auto"/>
            <w:vAlign w:val="bottom"/>
          </w:tcPr>
          <w:p w14:paraId="540670EF" w14:textId="77777777" w:rsidR="00611BDD" w:rsidRDefault="00611BDD">
            <w:pPr>
              <w:rPr>
                <w:rFonts w:ascii="宋体"/>
              </w:rPr>
            </w:pPr>
          </w:p>
        </w:tc>
        <w:tc>
          <w:tcPr>
            <w:tcW w:w="5" w:type="pct"/>
            <w:shd w:val="clear" w:color="auto" w:fill="auto"/>
            <w:vAlign w:val="bottom"/>
          </w:tcPr>
          <w:p w14:paraId="540670F0" w14:textId="77777777" w:rsidR="00611BDD" w:rsidRDefault="00611BDD">
            <w:pPr>
              <w:rPr>
                <w:rFonts w:ascii="宋体"/>
              </w:rPr>
            </w:pPr>
          </w:p>
        </w:tc>
        <w:tc>
          <w:tcPr>
            <w:tcW w:w="5" w:type="pct"/>
            <w:shd w:val="clear" w:color="auto" w:fill="auto"/>
            <w:vAlign w:val="bottom"/>
          </w:tcPr>
          <w:p w14:paraId="540670F1" w14:textId="77777777" w:rsidR="00611BDD" w:rsidRDefault="00611BDD">
            <w:pPr>
              <w:rPr>
                <w:rFonts w:ascii="宋体"/>
              </w:rPr>
            </w:pPr>
          </w:p>
        </w:tc>
        <w:tc>
          <w:tcPr>
            <w:tcW w:w="26" w:type="pct"/>
            <w:shd w:val="clear" w:color="auto" w:fill="auto"/>
            <w:vAlign w:val="bottom"/>
          </w:tcPr>
          <w:p w14:paraId="540670F2" w14:textId="77777777" w:rsidR="00611BDD" w:rsidRDefault="00611BDD">
            <w:pPr>
              <w:rPr>
                <w:rFonts w:ascii="宋体"/>
              </w:rPr>
            </w:pPr>
          </w:p>
        </w:tc>
        <w:tc>
          <w:tcPr>
            <w:tcW w:w="5" w:type="pct"/>
            <w:shd w:val="clear" w:color="auto" w:fill="auto"/>
            <w:vAlign w:val="bottom"/>
          </w:tcPr>
          <w:p w14:paraId="540670F3" w14:textId="77777777" w:rsidR="00611BDD" w:rsidRDefault="00611BDD">
            <w:pPr>
              <w:rPr>
                <w:rFonts w:ascii="宋体"/>
              </w:rPr>
            </w:pPr>
          </w:p>
        </w:tc>
        <w:tc>
          <w:tcPr>
            <w:tcW w:w="50" w:type="pct"/>
            <w:shd w:val="clear" w:color="auto" w:fill="auto"/>
            <w:vAlign w:val="bottom"/>
          </w:tcPr>
          <w:p w14:paraId="540670F4" w14:textId="77777777" w:rsidR="00611BDD" w:rsidRDefault="00611BDD">
            <w:pPr>
              <w:rPr>
                <w:rFonts w:ascii="宋体"/>
              </w:rPr>
            </w:pPr>
          </w:p>
        </w:tc>
        <w:tc>
          <w:tcPr>
            <w:tcW w:w="611" w:type="pct"/>
            <w:shd w:val="clear" w:color="auto" w:fill="auto"/>
            <w:vAlign w:val="bottom"/>
          </w:tcPr>
          <w:p w14:paraId="540670F5" w14:textId="77777777" w:rsidR="00611BDD" w:rsidRDefault="00611BDD">
            <w:pPr>
              <w:rPr>
                <w:rFonts w:ascii="宋体"/>
              </w:rPr>
            </w:pPr>
          </w:p>
        </w:tc>
        <w:tc>
          <w:tcPr>
            <w:tcW w:w="5" w:type="pct"/>
            <w:shd w:val="clear" w:color="auto" w:fill="auto"/>
            <w:vAlign w:val="bottom"/>
          </w:tcPr>
          <w:p w14:paraId="540670F6" w14:textId="77777777" w:rsidR="00611BDD" w:rsidRDefault="00611BDD">
            <w:pPr>
              <w:rPr>
                <w:rFonts w:ascii="宋体"/>
              </w:rPr>
            </w:pPr>
          </w:p>
        </w:tc>
      </w:tr>
      <w:tr w:rsidR="00611BDD" w14:paraId="540670FC" w14:textId="77777777">
        <w:tc>
          <w:tcPr>
            <w:tcW w:w="0" w:type="auto"/>
            <w:gridSpan w:val="3"/>
            <w:shd w:val="clear" w:color="auto" w:fill="auto"/>
            <w:tcMar>
              <w:top w:w="0" w:type="dxa"/>
              <w:left w:w="20" w:type="dxa"/>
              <w:bottom w:w="0" w:type="dxa"/>
              <w:right w:w="20" w:type="dxa"/>
            </w:tcMar>
            <w:vAlign w:val="bottom"/>
          </w:tcPr>
          <w:p w14:paraId="540670F8"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0F9" w14:textId="77777777" w:rsidR="00611BDD" w:rsidRDefault="002E18C7">
            <w:pPr>
              <w:jc w:val="center"/>
              <w:textAlignment w:val="bottom"/>
            </w:pPr>
            <w:r>
              <w:rPr>
                <w:rFonts w:ascii="sans-serif" w:eastAsia="sans-serif" w:hAnsi="sans-serif" w:cs="sans-serif"/>
                <w:b/>
                <w:bCs/>
                <w:color w:val="000000"/>
                <w:sz w:val="20"/>
                <w:szCs w:val="20"/>
              </w:rPr>
              <w:t>August 1,</w:t>
            </w:r>
          </w:p>
        </w:tc>
        <w:tc>
          <w:tcPr>
            <w:tcW w:w="0" w:type="auto"/>
            <w:gridSpan w:val="3"/>
            <w:shd w:val="clear" w:color="auto" w:fill="auto"/>
            <w:tcMar>
              <w:top w:w="0" w:type="dxa"/>
              <w:left w:w="20" w:type="dxa"/>
              <w:bottom w:w="0" w:type="dxa"/>
              <w:right w:w="20" w:type="dxa"/>
            </w:tcMar>
            <w:vAlign w:val="bottom"/>
          </w:tcPr>
          <w:p w14:paraId="540670FA"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0FB" w14:textId="77777777" w:rsidR="00611BDD" w:rsidRDefault="002E18C7">
            <w:pPr>
              <w:jc w:val="center"/>
              <w:textAlignment w:val="bottom"/>
            </w:pPr>
            <w:r>
              <w:rPr>
                <w:rFonts w:ascii="sans-serif" w:eastAsia="sans-serif" w:hAnsi="sans-serif" w:cs="sans-serif"/>
                <w:b/>
                <w:bCs/>
                <w:color w:val="000000"/>
                <w:sz w:val="20"/>
                <w:szCs w:val="20"/>
              </w:rPr>
              <w:t>January 31,</w:t>
            </w:r>
          </w:p>
        </w:tc>
      </w:tr>
      <w:tr w:rsidR="00611BDD" w14:paraId="54067101" w14:textId="77777777">
        <w:tc>
          <w:tcPr>
            <w:tcW w:w="0" w:type="auto"/>
            <w:gridSpan w:val="3"/>
            <w:shd w:val="clear" w:color="auto" w:fill="auto"/>
            <w:tcMar>
              <w:top w:w="40" w:type="dxa"/>
              <w:left w:w="20" w:type="dxa"/>
              <w:bottom w:w="40" w:type="dxa"/>
              <w:right w:w="20" w:type="dxa"/>
            </w:tcMar>
            <w:vAlign w:val="bottom"/>
          </w:tcPr>
          <w:p w14:paraId="540670FD"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40670FE" w14:textId="77777777" w:rsidR="00611BDD" w:rsidRDefault="002E18C7">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40670FF"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100" w14:textId="77777777" w:rsidR="00611BDD" w:rsidRDefault="002E18C7">
            <w:pPr>
              <w:jc w:val="center"/>
              <w:textAlignment w:val="bottom"/>
            </w:pPr>
            <w:r>
              <w:rPr>
                <w:rFonts w:ascii="sans-serif" w:eastAsia="sans-serif" w:hAnsi="sans-serif" w:cs="sans-serif"/>
                <w:b/>
                <w:bCs/>
                <w:color w:val="000000"/>
                <w:sz w:val="20"/>
                <w:szCs w:val="20"/>
              </w:rPr>
              <w:t>2021</w:t>
            </w:r>
          </w:p>
        </w:tc>
      </w:tr>
      <w:tr w:rsidR="00611BDD" w14:paraId="54067106" w14:textId="77777777">
        <w:trPr>
          <w:trHeight w:val="60"/>
        </w:trPr>
        <w:tc>
          <w:tcPr>
            <w:tcW w:w="0" w:type="auto"/>
            <w:gridSpan w:val="3"/>
            <w:shd w:val="clear" w:color="auto" w:fill="auto"/>
            <w:tcMar>
              <w:top w:w="0" w:type="dxa"/>
              <w:left w:w="20" w:type="dxa"/>
              <w:bottom w:w="0" w:type="dxa"/>
              <w:right w:w="20" w:type="dxa"/>
            </w:tcMar>
            <w:vAlign w:val="bottom"/>
          </w:tcPr>
          <w:p w14:paraId="54067102"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103"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104"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105" w14:textId="77777777" w:rsidR="00611BDD" w:rsidRDefault="00611BDD">
            <w:pPr>
              <w:rPr>
                <w:rFonts w:ascii="宋体"/>
              </w:rPr>
            </w:pPr>
          </w:p>
        </w:tc>
      </w:tr>
      <w:tr w:rsidR="00611BDD" w14:paraId="54067109" w14:textId="77777777">
        <w:tc>
          <w:tcPr>
            <w:tcW w:w="0" w:type="auto"/>
            <w:gridSpan w:val="3"/>
            <w:shd w:val="clear" w:color="auto" w:fill="auto"/>
            <w:tcMar>
              <w:top w:w="40" w:type="dxa"/>
              <w:left w:w="20" w:type="dxa"/>
              <w:bottom w:w="40" w:type="dxa"/>
              <w:right w:w="20" w:type="dxa"/>
            </w:tcMar>
            <w:vAlign w:val="bottom"/>
          </w:tcPr>
          <w:p w14:paraId="54067107" w14:textId="77777777" w:rsidR="00611BDD" w:rsidRDefault="002E18C7">
            <w:pPr>
              <w:textAlignment w:val="bottom"/>
            </w:pPr>
            <w:r>
              <w:rPr>
                <w:rFonts w:ascii="sans-serif" w:eastAsia="sans-serif" w:hAnsi="sans-serif" w:cs="sans-serif"/>
                <w:b/>
                <w:bCs/>
                <w:color w:val="000000"/>
                <w:sz w:val="20"/>
                <w:szCs w:val="20"/>
              </w:rPr>
              <w:t>Other Long-Term Liabilities:</w:t>
            </w:r>
          </w:p>
        </w:tc>
        <w:tc>
          <w:tcPr>
            <w:tcW w:w="0" w:type="auto"/>
            <w:gridSpan w:val="9"/>
            <w:shd w:val="clear" w:color="auto" w:fill="auto"/>
            <w:tcMar>
              <w:top w:w="40" w:type="dxa"/>
              <w:left w:w="20" w:type="dxa"/>
              <w:bottom w:w="40" w:type="dxa"/>
              <w:right w:w="20" w:type="dxa"/>
            </w:tcMar>
            <w:vAlign w:val="bottom"/>
          </w:tcPr>
          <w:p w14:paraId="54067108" w14:textId="77777777" w:rsidR="00611BDD" w:rsidRDefault="002E18C7">
            <w:pPr>
              <w:jc w:val="center"/>
              <w:textAlignment w:val="bottom"/>
            </w:pPr>
            <w:r>
              <w:rPr>
                <w:rFonts w:ascii="sans-serif" w:eastAsia="sans-serif" w:hAnsi="sans-serif" w:cs="sans-serif"/>
                <w:i/>
                <w:iCs/>
                <w:color w:val="000000"/>
                <w:sz w:val="20"/>
                <w:szCs w:val="20"/>
              </w:rPr>
              <w:t>(In millions)</w:t>
            </w:r>
          </w:p>
        </w:tc>
      </w:tr>
      <w:tr w:rsidR="00611BDD" w14:paraId="54067112" w14:textId="77777777">
        <w:tc>
          <w:tcPr>
            <w:tcW w:w="0" w:type="auto"/>
            <w:gridSpan w:val="3"/>
            <w:shd w:val="clear" w:color="auto" w:fill="E2EFD9"/>
            <w:tcMar>
              <w:top w:w="40" w:type="dxa"/>
              <w:left w:w="20" w:type="dxa"/>
              <w:bottom w:w="40" w:type="dxa"/>
              <w:right w:w="20" w:type="dxa"/>
            </w:tcMar>
            <w:vAlign w:val="bottom"/>
          </w:tcPr>
          <w:p w14:paraId="5406710A" w14:textId="77777777" w:rsidR="00611BDD" w:rsidRDefault="002E18C7">
            <w:pPr>
              <w:textAlignment w:val="bottom"/>
            </w:pPr>
            <w:r>
              <w:rPr>
                <w:rFonts w:ascii="sans-serif" w:eastAsia="sans-serif" w:hAnsi="sans-serif" w:cs="sans-serif"/>
                <w:color w:val="000000"/>
                <w:sz w:val="20"/>
                <w:szCs w:val="20"/>
              </w:rPr>
              <w:t>Income tax payable (1)</w:t>
            </w:r>
          </w:p>
        </w:tc>
        <w:tc>
          <w:tcPr>
            <w:tcW w:w="0" w:type="auto"/>
            <w:shd w:val="clear" w:color="auto" w:fill="E2EFD9"/>
            <w:tcMar>
              <w:top w:w="40" w:type="dxa"/>
              <w:left w:w="20" w:type="dxa"/>
              <w:bottom w:w="40" w:type="dxa"/>
              <w:right w:w="0" w:type="dxa"/>
            </w:tcMar>
            <w:vAlign w:val="bottom"/>
          </w:tcPr>
          <w:p w14:paraId="5406710B"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10C" w14:textId="77777777" w:rsidR="00611BDD" w:rsidRDefault="002E18C7">
            <w:pPr>
              <w:jc w:val="right"/>
              <w:textAlignment w:val="bottom"/>
            </w:pPr>
            <w:r>
              <w:rPr>
                <w:rFonts w:ascii="sans-serif" w:eastAsia="sans-serif" w:hAnsi="sans-serif" w:cs="sans-serif"/>
                <w:color w:val="000000"/>
                <w:sz w:val="20"/>
                <w:szCs w:val="20"/>
              </w:rPr>
              <w:t>897 </w:t>
            </w:r>
          </w:p>
        </w:tc>
        <w:tc>
          <w:tcPr>
            <w:tcW w:w="0" w:type="auto"/>
            <w:shd w:val="clear" w:color="auto" w:fill="E2EFD9"/>
            <w:tcMar>
              <w:top w:w="40" w:type="dxa"/>
              <w:left w:w="0" w:type="dxa"/>
              <w:bottom w:w="40" w:type="dxa"/>
              <w:right w:w="20" w:type="dxa"/>
            </w:tcMar>
            <w:vAlign w:val="bottom"/>
          </w:tcPr>
          <w:p w14:paraId="5406710D"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10E"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10F"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110" w14:textId="77777777" w:rsidR="00611BDD" w:rsidRDefault="002E18C7">
            <w:pPr>
              <w:jc w:val="right"/>
              <w:textAlignment w:val="bottom"/>
            </w:pPr>
            <w:r>
              <w:rPr>
                <w:rFonts w:ascii="sans-serif" w:eastAsia="sans-serif" w:hAnsi="sans-serif" w:cs="sans-serif"/>
                <w:color w:val="000000"/>
                <w:sz w:val="20"/>
                <w:szCs w:val="20"/>
              </w:rPr>
              <w:t>836 </w:t>
            </w:r>
          </w:p>
        </w:tc>
        <w:tc>
          <w:tcPr>
            <w:tcW w:w="0" w:type="auto"/>
            <w:shd w:val="clear" w:color="auto" w:fill="E2EFD9"/>
            <w:tcMar>
              <w:top w:w="40" w:type="dxa"/>
              <w:left w:w="0" w:type="dxa"/>
              <w:bottom w:w="40" w:type="dxa"/>
              <w:right w:w="20" w:type="dxa"/>
            </w:tcMar>
            <w:vAlign w:val="bottom"/>
          </w:tcPr>
          <w:p w14:paraId="54067111" w14:textId="77777777" w:rsidR="00611BDD" w:rsidRDefault="00611BDD">
            <w:pPr>
              <w:jc w:val="right"/>
              <w:rPr>
                <w:rFonts w:ascii="宋体"/>
              </w:rPr>
            </w:pPr>
          </w:p>
        </w:tc>
      </w:tr>
      <w:tr w:rsidR="00611BDD" w14:paraId="54067119" w14:textId="77777777">
        <w:tc>
          <w:tcPr>
            <w:tcW w:w="0" w:type="auto"/>
            <w:gridSpan w:val="3"/>
            <w:shd w:val="clear" w:color="auto" w:fill="FFFFFF"/>
            <w:tcMar>
              <w:top w:w="40" w:type="dxa"/>
              <w:left w:w="20" w:type="dxa"/>
              <w:bottom w:w="40" w:type="dxa"/>
              <w:right w:w="20" w:type="dxa"/>
            </w:tcMar>
            <w:vAlign w:val="bottom"/>
          </w:tcPr>
          <w:p w14:paraId="54067113" w14:textId="77777777" w:rsidR="00611BDD" w:rsidRDefault="002E18C7">
            <w:pPr>
              <w:textAlignment w:val="bottom"/>
            </w:pPr>
            <w:r>
              <w:rPr>
                <w:rFonts w:ascii="sans-serif" w:eastAsia="sans-serif" w:hAnsi="sans-serif" w:cs="sans-serif"/>
                <w:color w:val="000000"/>
                <w:sz w:val="20"/>
                <w:szCs w:val="20"/>
              </w:rPr>
              <w:t>Deferred income tax</w:t>
            </w:r>
          </w:p>
        </w:tc>
        <w:tc>
          <w:tcPr>
            <w:tcW w:w="0" w:type="auto"/>
            <w:gridSpan w:val="2"/>
            <w:shd w:val="clear" w:color="auto" w:fill="FFFFFF"/>
            <w:tcMar>
              <w:top w:w="40" w:type="dxa"/>
              <w:left w:w="20" w:type="dxa"/>
              <w:bottom w:w="40" w:type="dxa"/>
              <w:right w:w="0" w:type="dxa"/>
            </w:tcMar>
            <w:vAlign w:val="bottom"/>
          </w:tcPr>
          <w:p w14:paraId="54067114" w14:textId="77777777" w:rsidR="00611BDD" w:rsidRDefault="002E18C7">
            <w:pPr>
              <w:jc w:val="right"/>
              <w:textAlignment w:val="bottom"/>
            </w:pPr>
            <w:r>
              <w:rPr>
                <w:rFonts w:ascii="sans-serif" w:eastAsia="sans-serif" w:hAnsi="sans-serif" w:cs="sans-serif"/>
                <w:color w:val="000000"/>
                <w:sz w:val="20"/>
                <w:szCs w:val="20"/>
              </w:rPr>
              <w:t>229 </w:t>
            </w:r>
          </w:p>
        </w:tc>
        <w:tc>
          <w:tcPr>
            <w:tcW w:w="0" w:type="auto"/>
            <w:shd w:val="clear" w:color="auto" w:fill="FFFFFF"/>
            <w:tcMar>
              <w:top w:w="40" w:type="dxa"/>
              <w:left w:w="0" w:type="dxa"/>
              <w:bottom w:w="40" w:type="dxa"/>
              <w:right w:w="20" w:type="dxa"/>
            </w:tcMar>
            <w:vAlign w:val="bottom"/>
          </w:tcPr>
          <w:p w14:paraId="54067115"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116"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117" w14:textId="77777777" w:rsidR="00611BDD" w:rsidRDefault="002E18C7">
            <w:pPr>
              <w:jc w:val="right"/>
              <w:textAlignment w:val="bottom"/>
            </w:pPr>
            <w:r>
              <w:rPr>
                <w:rFonts w:ascii="sans-serif" w:eastAsia="sans-serif" w:hAnsi="sans-serif" w:cs="sans-serif"/>
                <w:color w:val="000000"/>
                <w:sz w:val="20"/>
                <w:szCs w:val="20"/>
              </w:rPr>
              <w:t>241 </w:t>
            </w:r>
          </w:p>
        </w:tc>
        <w:tc>
          <w:tcPr>
            <w:tcW w:w="0" w:type="auto"/>
            <w:shd w:val="clear" w:color="auto" w:fill="FFFFFF"/>
            <w:tcMar>
              <w:top w:w="40" w:type="dxa"/>
              <w:left w:w="0" w:type="dxa"/>
              <w:bottom w:w="40" w:type="dxa"/>
              <w:right w:w="20" w:type="dxa"/>
            </w:tcMar>
            <w:vAlign w:val="bottom"/>
          </w:tcPr>
          <w:p w14:paraId="54067118" w14:textId="77777777" w:rsidR="00611BDD" w:rsidRDefault="00611BDD">
            <w:pPr>
              <w:jc w:val="right"/>
              <w:rPr>
                <w:rFonts w:ascii="宋体"/>
              </w:rPr>
            </w:pPr>
          </w:p>
        </w:tc>
      </w:tr>
      <w:tr w:rsidR="00611BDD" w14:paraId="54067120" w14:textId="77777777">
        <w:tc>
          <w:tcPr>
            <w:tcW w:w="0" w:type="auto"/>
            <w:gridSpan w:val="3"/>
            <w:shd w:val="clear" w:color="auto" w:fill="E2EFD9"/>
            <w:tcMar>
              <w:top w:w="40" w:type="dxa"/>
              <w:left w:w="20" w:type="dxa"/>
              <w:bottom w:w="40" w:type="dxa"/>
              <w:right w:w="20" w:type="dxa"/>
            </w:tcMar>
            <w:vAlign w:val="bottom"/>
          </w:tcPr>
          <w:p w14:paraId="5406711A" w14:textId="77777777" w:rsidR="00611BDD" w:rsidRDefault="002E18C7">
            <w:pPr>
              <w:textAlignment w:val="bottom"/>
            </w:pPr>
            <w:r>
              <w:rPr>
                <w:rFonts w:ascii="sans-serif" w:eastAsia="sans-serif" w:hAnsi="sans-serif" w:cs="sans-serif"/>
                <w:color w:val="000000"/>
                <w:sz w:val="20"/>
                <w:szCs w:val="20"/>
              </w:rPr>
              <w:t>Deferred revenue (2)</w:t>
            </w:r>
          </w:p>
        </w:tc>
        <w:tc>
          <w:tcPr>
            <w:tcW w:w="0" w:type="auto"/>
            <w:gridSpan w:val="2"/>
            <w:shd w:val="clear" w:color="auto" w:fill="E2EFD9"/>
            <w:tcMar>
              <w:top w:w="40" w:type="dxa"/>
              <w:left w:w="20" w:type="dxa"/>
              <w:bottom w:w="40" w:type="dxa"/>
              <w:right w:w="0" w:type="dxa"/>
            </w:tcMar>
            <w:vAlign w:val="bottom"/>
          </w:tcPr>
          <w:p w14:paraId="5406711B" w14:textId="77777777" w:rsidR="00611BDD" w:rsidRDefault="002E18C7">
            <w:pPr>
              <w:jc w:val="right"/>
              <w:textAlignment w:val="bottom"/>
            </w:pPr>
            <w:r>
              <w:rPr>
                <w:rFonts w:ascii="sans-serif" w:eastAsia="sans-serif" w:hAnsi="sans-serif" w:cs="sans-serif"/>
                <w:color w:val="000000"/>
                <w:sz w:val="20"/>
                <w:szCs w:val="20"/>
              </w:rPr>
              <w:t>189 </w:t>
            </w:r>
          </w:p>
        </w:tc>
        <w:tc>
          <w:tcPr>
            <w:tcW w:w="0" w:type="auto"/>
            <w:shd w:val="clear" w:color="auto" w:fill="E2EFD9"/>
            <w:tcMar>
              <w:top w:w="40" w:type="dxa"/>
              <w:left w:w="0" w:type="dxa"/>
              <w:bottom w:w="40" w:type="dxa"/>
              <w:right w:w="20" w:type="dxa"/>
            </w:tcMar>
            <w:vAlign w:val="bottom"/>
          </w:tcPr>
          <w:p w14:paraId="5406711C"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11D"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11E" w14:textId="77777777" w:rsidR="00611BDD" w:rsidRDefault="002E18C7">
            <w:pPr>
              <w:jc w:val="right"/>
              <w:textAlignment w:val="bottom"/>
            </w:pPr>
            <w:r>
              <w:rPr>
                <w:rFonts w:ascii="sans-serif" w:eastAsia="sans-serif" w:hAnsi="sans-serif" w:cs="sans-serif"/>
                <w:color w:val="000000"/>
                <w:sz w:val="20"/>
                <w:szCs w:val="20"/>
              </w:rPr>
              <w:t>163 </w:t>
            </w:r>
          </w:p>
        </w:tc>
        <w:tc>
          <w:tcPr>
            <w:tcW w:w="0" w:type="auto"/>
            <w:shd w:val="clear" w:color="auto" w:fill="E2EFD9"/>
            <w:tcMar>
              <w:top w:w="40" w:type="dxa"/>
              <w:left w:w="0" w:type="dxa"/>
              <w:bottom w:w="40" w:type="dxa"/>
              <w:right w:w="20" w:type="dxa"/>
            </w:tcMar>
            <w:vAlign w:val="bottom"/>
          </w:tcPr>
          <w:p w14:paraId="5406711F" w14:textId="77777777" w:rsidR="00611BDD" w:rsidRDefault="00611BDD">
            <w:pPr>
              <w:jc w:val="right"/>
              <w:rPr>
                <w:rFonts w:ascii="宋体"/>
              </w:rPr>
            </w:pPr>
          </w:p>
        </w:tc>
      </w:tr>
      <w:tr w:rsidR="00611BDD" w14:paraId="54067127" w14:textId="77777777">
        <w:tc>
          <w:tcPr>
            <w:tcW w:w="0" w:type="auto"/>
            <w:gridSpan w:val="3"/>
            <w:shd w:val="clear" w:color="auto" w:fill="FFFFFF"/>
            <w:tcMar>
              <w:top w:w="40" w:type="dxa"/>
              <w:left w:w="20" w:type="dxa"/>
              <w:bottom w:w="40" w:type="dxa"/>
              <w:right w:w="20" w:type="dxa"/>
            </w:tcMar>
            <w:vAlign w:val="bottom"/>
          </w:tcPr>
          <w:p w14:paraId="54067121" w14:textId="77777777" w:rsidR="00611BDD" w:rsidRDefault="002E18C7">
            <w:pPr>
              <w:textAlignment w:val="bottom"/>
            </w:pPr>
            <w:r>
              <w:rPr>
                <w:rFonts w:ascii="sans-serif" w:eastAsia="sans-serif" w:hAnsi="sans-serif" w:cs="sans-serif"/>
                <w:color w:val="000000"/>
                <w:sz w:val="20"/>
                <w:szCs w:val="20"/>
              </w:rPr>
              <w:t>Employee benefits</w:t>
            </w:r>
          </w:p>
        </w:tc>
        <w:tc>
          <w:tcPr>
            <w:tcW w:w="0" w:type="auto"/>
            <w:gridSpan w:val="2"/>
            <w:shd w:val="clear" w:color="auto" w:fill="FFFFFF"/>
            <w:tcMar>
              <w:top w:w="40" w:type="dxa"/>
              <w:left w:w="20" w:type="dxa"/>
              <w:bottom w:w="40" w:type="dxa"/>
              <w:right w:w="0" w:type="dxa"/>
            </w:tcMar>
            <w:vAlign w:val="bottom"/>
          </w:tcPr>
          <w:p w14:paraId="54067122" w14:textId="77777777" w:rsidR="00611BDD" w:rsidRDefault="002E18C7">
            <w:pPr>
              <w:jc w:val="right"/>
              <w:textAlignment w:val="bottom"/>
            </w:pPr>
            <w:r>
              <w:rPr>
                <w:rFonts w:ascii="sans-serif" w:eastAsia="sans-serif" w:hAnsi="sans-serif" w:cs="sans-serif"/>
                <w:color w:val="000000"/>
                <w:sz w:val="20"/>
                <w:szCs w:val="20"/>
              </w:rPr>
              <w:t>37 </w:t>
            </w:r>
          </w:p>
        </w:tc>
        <w:tc>
          <w:tcPr>
            <w:tcW w:w="0" w:type="auto"/>
            <w:shd w:val="clear" w:color="auto" w:fill="FFFFFF"/>
            <w:tcMar>
              <w:top w:w="40" w:type="dxa"/>
              <w:left w:w="0" w:type="dxa"/>
              <w:bottom w:w="40" w:type="dxa"/>
              <w:right w:w="20" w:type="dxa"/>
            </w:tcMar>
            <w:vAlign w:val="bottom"/>
          </w:tcPr>
          <w:p w14:paraId="5406712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124"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125" w14:textId="77777777" w:rsidR="00611BDD" w:rsidRDefault="002E18C7">
            <w:pPr>
              <w:jc w:val="right"/>
              <w:textAlignment w:val="bottom"/>
            </w:pPr>
            <w:r>
              <w:rPr>
                <w:rFonts w:ascii="sans-serif" w:eastAsia="sans-serif" w:hAnsi="sans-serif" w:cs="sans-serif"/>
                <w:color w:val="000000"/>
                <w:sz w:val="20"/>
                <w:szCs w:val="20"/>
              </w:rPr>
              <w:t>33 </w:t>
            </w:r>
          </w:p>
        </w:tc>
        <w:tc>
          <w:tcPr>
            <w:tcW w:w="0" w:type="auto"/>
            <w:shd w:val="clear" w:color="auto" w:fill="FFFFFF"/>
            <w:tcMar>
              <w:top w:w="40" w:type="dxa"/>
              <w:left w:w="0" w:type="dxa"/>
              <w:bottom w:w="40" w:type="dxa"/>
              <w:right w:w="20" w:type="dxa"/>
            </w:tcMar>
            <w:vAlign w:val="bottom"/>
          </w:tcPr>
          <w:p w14:paraId="54067126" w14:textId="77777777" w:rsidR="00611BDD" w:rsidRDefault="00611BDD">
            <w:pPr>
              <w:jc w:val="right"/>
              <w:rPr>
                <w:rFonts w:ascii="宋体"/>
              </w:rPr>
            </w:pPr>
          </w:p>
        </w:tc>
      </w:tr>
      <w:tr w:rsidR="00611BDD" w14:paraId="5406712E" w14:textId="77777777">
        <w:tc>
          <w:tcPr>
            <w:tcW w:w="0" w:type="auto"/>
            <w:gridSpan w:val="3"/>
            <w:shd w:val="clear" w:color="auto" w:fill="E2EFD9"/>
            <w:tcMar>
              <w:top w:w="40" w:type="dxa"/>
              <w:left w:w="20" w:type="dxa"/>
              <w:bottom w:w="40" w:type="dxa"/>
              <w:right w:w="20" w:type="dxa"/>
            </w:tcMar>
            <w:vAlign w:val="bottom"/>
          </w:tcPr>
          <w:p w14:paraId="54067128" w14:textId="77777777" w:rsidR="00611BDD" w:rsidRDefault="002E18C7">
            <w:pPr>
              <w:textAlignment w:val="bottom"/>
            </w:pPr>
            <w:r>
              <w:rPr>
                <w:rFonts w:ascii="sans-serif" w:eastAsia="sans-serif" w:hAnsi="sans-serif" w:cs="sans-serif"/>
                <w:color w:val="000000"/>
                <w:sz w:val="20"/>
                <w:szCs w:val="20"/>
              </w:rPr>
              <w:t>Licenses payable</w:t>
            </w:r>
          </w:p>
        </w:tc>
        <w:tc>
          <w:tcPr>
            <w:tcW w:w="0" w:type="auto"/>
            <w:gridSpan w:val="2"/>
            <w:shd w:val="clear" w:color="auto" w:fill="E2EFD9"/>
            <w:tcMar>
              <w:top w:w="40" w:type="dxa"/>
              <w:left w:w="20" w:type="dxa"/>
              <w:bottom w:w="40" w:type="dxa"/>
              <w:right w:w="0" w:type="dxa"/>
            </w:tcMar>
            <w:vAlign w:val="bottom"/>
          </w:tcPr>
          <w:p w14:paraId="54067129" w14:textId="77777777" w:rsidR="00611BDD" w:rsidRDefault="002E18C7">
            <w:pPr>
              <w:jc w:val="right"/>
              <w:textAlignment w:val="bottom"/>
            </w:pPr>
            <w:r>
              <w:rPr>
                <w:rFonts w:ascii="sans-serif" w:eastAsia="sans-serif" w:hAnsi="sans-serif" w:cs="sans-serif"/>
                <w:color w:val="000000"/>
                <w:sz w:val="20"/>
                <w:szCs w:val="20"/>
              </w:rPr>
              <w:t>33 </w:t>
            </w:r>
          </w:p>
        </w:tc>
        <w:tc>
          <w:tcPr>
            <w:tcW w:w="0" w:type="auto"/>
            <w:shd w:val="clear" w:color="auto" w:fill="E2EFD9"/>
            <w:tcMar>
              <w:top w:w="40" w:type="dxa"/>
              <w:left w:w="0" w:type="dxa"/>
              <w:bottom w:w="40" w:type="dxa"/>
              <w:right w:w="20" w:type="dxa"/>
            </w:tcMar>
            <w:vAlign w:val="bottom"/>
          </w:tcPr>
          <w:p w14:paraId="5406712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12B"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12C" w14:textId="77777777" w:rsidR="00611BDD" w:rsidRDefault="002E18C7">
            <w:pPr>
              <w:jc w:val="right"/>
              <w:textAlignment w:val="bottom"/>
            </w:pPr>
            <w:r>
              <w:rPr>
                <w:rFonts w:ascii="sans-serif" w:eastAsia="sans-serif" w:hAnsi="sans-serif" w:cs="sans-serif"/>
                <w:color w:val="000000"/>
                <w:sz w:val="20"/>
                <w:szCs w:val="20"/>
              </w:rPr>
              <w:t>56 </w:t>
            </w:r>
          </w:p>
        </w:tc>
        <w:tc>
          <w:tcPr>
            <w:tcW w:w="0" w:type="auto"/>
            <w:shd w:val="clear" w:color="auto" w:fill="E2EFD9"/>
            <w:tcMar>
              <w:top w:w="40" w:type="dxa"/>
              <w:left w:w="0" w:type="dxa"/>
              <w:bottom w:w="40" w:type="dxa"/>
              <w:right w:w="20" w:type="dxa"/>
            </w:tcMar>
            <w:vAlign w:val="bottom"/>
          </w:tcPr>
          <w:p w14:paraId="5406712D" w14:textId="77777777" w:rsidR="00611BDD" w:rsidRDefault="00611BDD">
            <w:pPr>
              <w:jc w:val="right"/>
              <w:rPr>
                <w:rFonts w:ascii="宋体"/>
              </w:rPr>
            </w:pPr>
          </w:p>
        </w:tc>
      </w:tr>
      <w:tr w:rsidR="00611BDD" w14:paraId="54067133" w14:textId="77777777">
        <w:trPr>
          <w:hidden/>
        </w:trPr>
        <w:tc>
          <w:tcPr>
            <w:tcW w:w="0" w:type="auto"/>
            <w:gridSpan w:val="3"/>
            <w:shd w:val="clear" w:color="auto" w:fill="auto"/>
            <w:vAlign w:val="bottom"/>
          </w:tcPr>
          <w:p w14:paraId="5406712F" w14:textId="77777777" w:rsidR="00611BDD" w:rsidRDefault="00611BDD">
            <w:pPr>
              <w:rPr>
                <w:rFonts w:ascii="宋体"/>
                <w:vanish/>
              </w:rPr>
            </w:pPr>
          </w:p>
        </w:tc>
        <w:tc>
          <w:tcPr>
            <w:tcW w:w="0" w:type="auto"/>
            <w:gridSpan w:val="3"/>
            <w:shd w:val="clear" w:color="auto" w:fill="auto"/>
            <w:vAlign w:val="bottom"/>
          </w:tcPr>
          <w:p w14:paraId="54067130" w14:textId="77777777" w:rsidR="00611BDD" w:rsidRDefault="00611BDD">
            <w:pPr>
              <w:rPr>
                <w:rFonts w:ascii="宋体"/>
                <w:vanish/>
              </w:rPr>
            </w:pPr>
          </w:p>
        </w:tc>
        <w:tc>
          <w:tcPr>
            <w:tcW w:w="0" w:type="auto"/>
            <w:gridSpan w:val="3"/>
            <w:shd w:val="clear" w:color="auto" w:fill="auto"/>
            <w:vAlign w:val="bottom"/>
          </w:tcPr>
          <w:p w14:paraId="54067131" w14:textId="77777777" w:rsidR="00611BDD" w:rsidRDefault="00611BDD">
            <w:pPr>
              <w:rPr>
                <w:rFonts w:ascii="宋体"/>
                <w:vanish/>
              </w:rPr>
            </w:pPr>
          </w:p>
        </w:tc>
        <w:tc>
          <w:tcPr>
            <w:tcW w:w="0" w:type="auto"/>
            <w:gridSpan w:val="3"/>
            <w:shd w:val="clear" w:color="auto" w:fill="auto"/>
            <w:vAlign w:val="bottom"/>
          </w:tcPr>
          <w:p w14:paraId="54067132" w14:textId="77777777" w:rsidR="00611BDD" w:rsidRDefault="00611BDD">
            <w:pPr>
              <w:rPr>
                <w:rFonts w:ascii="宋体"/>
                <w:vanish/>
              </w:rPr>
            </w:pPr>
          </w:p>
        </w:tc>
      </w:tr>
      <w:tr w:rsidR="00611BDD" w14:paraId="5406713A" w14:textId="77777777">
        <w:tc>
          <w:tcPr>
            <w:tcW w:w="0" w:type="auto"/>
            <w:gridSpan w:val="3"/>
            <w:shd w:val="clear" w:color="auto" w:fill="FFFFFF"/>
            <w:tcMar>
              <w:top w:w="40" w:type="dxa"/>
              <w:left w:w="20" w:type="dxa"/>
              <w:bottom w:w="40" w:type="dxa"/>
              <w:right w:w="20" w:type="dxa"/>
            </w:tcMar>
            <w:vAlign w:val="bottom"/>
          </w:tcPr>
          <w:p w14:paraId="54067134" w14:textId="77777777" w:rsidR="00611BDD" w:rsidRDefault="002E18C7">
            <w:pPr>
              <w:textAlignment w:val="bottom"/>
            </w:pPr>
            <w:r>
              <w:rPr>
                <w:rFonts w:ascii="sans-serif" w:eastAsia="sans-serif" w:hAnsi="sans-serif" w:cs="sans-serif"/>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54067135" w14:textId="77777777" w:rsidR="00611BDD" w:rsidRDefault="002E18C7">
            <w:pPr>
              <w:jc w:val="right"/>
              <w:textAlignment w:val="bottom"/>
            </w:pPr>
            <w:r>
              <w:rPr>
                <w:rFonts w:ascii="sans-serif" w:eastAsia="sans-serif" w:hAnsi="sans-serif" w:cs="sans-serif"/>
                <w:color w:val="000000"/>
                <w:sz w:val="20"/>
                <w:szCs w:val="20"/>
              </w:rPr>
              <w:t>11 </w:t>
            </w:r>
          </w:p>
        </w:tc>
        <w:tc>
          <w:tcPr>
            <w:tcW w:w="0" w:type="auto"/>
            <w:shd w:val="clear" w:color="auto" w:fill="FFFFFF"/>
            <w:tcMar>
              <w:top w:w="40" w:type="dxa"/>
              <w:left w:w="0" w:type="dxa"/>
              <w:bottom w:w="40" w:type="dxa"/>
              <w:right w:w="20" w:type="dxa"/>
            </w:tcMar>
            <w:vAlign w:val="bottom"/>
          </w:tcPr>
          <w:p w14:paraId="5406713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137"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138" w14:textId="77777777" w:rsidR="00611BDD" w:rsidRDefault="002E18C7">
            <w:pPr>
              <w:jc w:val="right"/>
              <w:textAlignment w:val="bottom"/>
            </w:pPr>
            <w:r>
              <w:rPr>
                <w:rFonts w:ascii="sans-serif" w:eastAsia="sans-serif" w:hAnsi="sans-serif" w:cs="sans-serif"/>
                <w:color w:val="000000"/>
                <w:sz w:val="20"/>
                <w:szCs w:val="20"/>
              </w:rPr>
              <w:t>46 </w:t>
            </w:r>
          </w:p>
        </w:tc>
        <w:tc>
          <w:tcPr>
            <w:tcW w:w="0" w:type="auto"/>
            <w:shd w:val="clear" w:color="auto" w:fill="FFFFFF"/>
            <w:tcMar>
              <w:top w:w="40" w:type="dxa"/>
              <w:left w:w="0" w:type="dxa"/>
              <w:bottom w:w="40" w:type="dxa"/>
              <w:right w:w="20" w:type="dxa"/>
            </w:tcMar>
            <w:vAlign w:val="bottom"/>
          </w:tcPr>
          <w:p w14:paraId="54067139" w14:textId="77777777" w:rsidR="00611BDD" w:rsidRDefault="00611BDD">
            <w:pPr>
              <w:jc w:val="right"/>
              <w:rPr>
                <w:rFonts w:ascii="宋体"/>
              </w:rPr>
            </w:pPr>
          </w:p>
        </w:tc>
      </w:tr>
      <w:tr w:rsidR="00611BDD" w14:paraId="54067143" w14:textId="77777777">
        <w:tc>
          <w:tcPr>
            <w:tcW w:w="0" w:type="auto"/>
            <w:gridSpan w:val="3"/>
            <w:shd w:val="clear" w:color="auto" w:fill="E2EFD9"/>
            <w:tcMar>
              <w:top w:w="40" w:type="dxa"/>
              <w:left w:w="380" w:type="dxa"/>
              <w:bottom w:w="40" w:type="dxa"/>
              <w:right w:w="20" w:type="dxa"/>
            </w:tcMar>
            <w:vAlign w:val="bottom"/>
          </w:tcPr>
          <w:p w14:paraId="5406713B" w14:textId="77777777" w:rsidR="00611BDD" w:rsidRDefault="002E18C7">
            <w:pPr>
              <w:textAlignment w:val="bottom"/>
            </w:pPr>
            <w:r>
              <w:rPr>
                <w:rFonts w:ascii="sans-serif" w:eastAsia="sans-serif" w:hAnsi="sans-serif" w:cs="sans-serif"/>
                <w:color w:val="000000"/>
                <w:sz w:val="20"/>
                <w:szCs w:val="20"/>
              </w:rPr>
              <w:t>Total other long-term liabilities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13C"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13D" w14:textId="77777777" w:rsidR="00611BDD" w:rsidRDefault="002E18C7">
            <w:pPr>
              <w:jc w:val="right"/>
              <w:textAlignment w:val="bottom"/>
            </w:pPr>
            <w:r>
              <w:rPr>
                <w:rFonts w:ascii="sans-serif" w:eastAsia="sans-serif" w:hAnsi="sans-serif" w:cs="sans-serif"/>
                <w:color w:val="000000"/>
                <w:sz w:val="20"/>
                <w:szCs w:val="20"/>
              </w:rPr>
              <w:t>1,396 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13E"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13F"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140"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141" w14:textId="77777777" w:rsidR="00611BDD" w:rsidRDefault="002E18C7">
            <w:pPr>
              <w:jc w:val="right"/>
              <w:textAlignment w:val="bottom"/>
            </w:pPr>
            <w:r>
              <w:rPr>
                <w:rFonts w:ascii="sans-serif" w:eastAsia="sans-serif" w:hAnsi="sans-serif" w:cs="sans-serif"/>
                <w:color w:val="000000"/>
                <w:sz w:val="20"/>
                <w:szCs w:val="20"/>
              </w:rPr>
              <w:t>1,375 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142" w14:textId="77777777" w:rsidR="00611BDD" w:rsidRDefault="00611BDD">
            <w:pPr>
              <w:jc w:val="right"/>
              <w:rPr>
                <w:rFonts w:ascii="宋体"/>
              </w:rPr>
            </w:pPr>
          </w:p>
        </w:tc>
      </w:tr>
    </w:tbl>
    <w:p w14:paraId="54067144" w14:textId="77777777" w:rsidR="00611BDD" w:rsidRDefault="002E18C7">
      <w:pPr>
        <w:pBdr>
          <w:left w:val="none" w:sz="0" w:space="0" w:color="auto"/>
        </w:pBdr>
        <w:spacing w:after="60"/>
        <w:ind w:hanging="360"/>
        <w:jc w:val="both"/>
      </w:pPr>
      <w:r>
        <w:rPr>
          <w:rFonts w:ascii="sans-serif" w:eastAsia="sans-serif" w:hAnsi="sans-serif" w:cs="sans-serif"/>
          <w:color w:val="000000"/>
          <w:sz w:val="16"/>
          <w:szCs w:val="16"/>
        </w:rPr>
        <w:t>(1)    As of August 1, 2021, income tax payable represents the long-term portion of the one-time transition tax payable of $251 million, unrecognized tax benefits of $435 million, related interest and penalties of $52 million, and other foreign long-term t</w:t>
      </w:r>
      <w:r>
        <w:rPr>
          <w:rFonts w:ascii="sans-serif" w:eastAsia="sans-serif" w:hAnsi="sans-serif" w:cs="sans-serif"/>
          <w:color w:val="000000"/>
          <w:sz w:val="16"/>
          <w:szCs w:val="16"/>
        </w:rPr>
        <w:t xml:space="preserve">ax payable of $159 million. </w:t>
      </w:r>
    </w:p>
    <w:p w14:paraId="54067145" w14:textId="77777777" w:rsidR="00611BDD" w:rsidRDefault="002E18C7">
      <w:pPr>
        <w:pBdr>
          <w:left w:val="none" w:sz="0" w:space="0" w:color="auto"/>
        </w:pBdr>
        <w:spacing w:after="60"/>
        <w:ind w:hanging="360"/>
        <w:jc w:val="both"/>
      </w:pPr>
      <w:r>
        <w:rPr>
          <w:rFonts w:ascii="sans-serif" w:eastAsia="sans-serif" w:hAnsi="sans-serif" w:cs="sans-serif"/>
          <w:color w:val="000000"/>
          <w:sz w:val="16"/>
          <w:szCs w:val="16"/>
        </w:rPr>
        <w:t>(2)    Deferred revenue primarily includes deferrals related to PCS.</w:t>
      </w:r>
    </w:p>
    <w:p w14:paraId="54067146" w14:textId="77777777" w:rsidR="00611BDD" w:rsidRDefault="00611BDD">
      <w:pPr>
        <w:spacing w:before="240" w:after="60"/>
        <w:jc w:val="both"/>
      </w:pPr>
    </w:p>
    <w:p w14:paraId="54067147" w14:textId="77777777" w:rsidR="00611BDD" w:rsidRDefault="002E18C7">
      <w:pPr>
        <w:spacing w:after="180"/>
        <w:jc w:val="center"/>
      </w:pPr>
      <w:r>
        <w:rPr>
          <w:rFonts w:ascii="sans-serif" w:eastAsia="sans-serif" w:hAnsi="sans-serif" w:cs="sans-serif"/>
          <w:color w:val="000000"/>
          <w:sz w:val="20"/>
          <w:szCs w:val="20"/>
        </w:rPr>
        <w:t>17</w:t>
      </w:r>
    </w:p>
    <w:p w14:paraId="54067148" w14:textId="77777777" w:rsidR="00611BDD" w:rsidRDefault="002E18C7">
      <w:r>
        <w:pict w14:anchorId="54067C35">
          <v:rect id="_x0000_i1041" style="width:415.3pt;height:1.5pt" o:hralign="center" o:hrstd="t" o:hr="t" fillcolor="#a0a0a0" stroked="f"/>
        </w:pict>
      </w:r>
    </w:p>
    <w:p w14:paraId="54067149" w14:textId="77777777" w:rsidR="00611BDD" w:rsidRDefault="002E18C7">
      <w:pPr>
        <w:jc w:val="center"/>
      </w:pPr>
      <w:r>
        <w:rPr>
          <w:rFonts w:ascii="sans-serif" w:eastAsia="sans-serif" w:hAnsi="sans-serif" w:cs="sans-serif"/>
          <w:b/>
          <w:bCs/>
          <w:color w:val="000000"/>
          <w:sz w:val="20"/>
          <w:szCs w:val="20"/>
        </w:rPr>
        <w:t>NVIDIA CORPORATION AND SUBSIDIARIES</w:t>
      </w:r>
    </w:p>
    <w:p w14:paraId="5406714A" w14:textId="77777777" w:rsidR="00611BDD" w:rsidRDefault="002E18C7">
      <w:pPr>
        <w:jc w:val="center"/>
      </w:pPr>
      <w:r>
        <w:rPr>
          <w:rFonts w:ascii="sans-serif" w:eastAsia="sans-serif" w:hAnsi="sans-serif" w:cs="sans-serif"/>
          <w:b/>
          <w:bCs/>
          <w:color w:val="000000"/>
          <w:sz w:val="20"/>
          <w:szCs w:val="20"/>
        </w:rPr>
        <w:t>NOTES TO CONDENSED CONSOLIDATED FINANCIAL STATEMENTS (Continued)</w:t>
      </w:r>
    </w:p>
    <w:p w14:paraId="5406714B" w14:textId="77777777" w:rsidR="00611BDD" w:rsidRDefault="002E18C7">
      <w:pPr>
        <w:jc w:val="center"/>
      </w:pPr>
      <w:r>
        <w:rPr>
          <w:rFonts w:ascii="sans-serif" w:eastAsia="sans-serif" w:hAnsi="sans-serif" w:cs="sans-serif"/>
          <w:b/>
          <w:bCs/>
          <w:color w:val="000000"/>
          <w:sz w:val="20"/>
          <w:szCs w:val="20"/>
        </w:rPr>
        <w:t>(Unaudited)</w:t>
      </w:r>
    </w:p>
    <w:p w14:paraId="5406714C" w14:textId="77777777" w:rsidR="00611BDD" w:rsidRDefault="00611BDD">
      <w:pPr>
        <w:spacing w:after="180"/>
        <w:jc w:val="both"/>
      </w:pPr>
    </w:p>
    <w:p w14:paraId="5406714D" w14:textId="77777777" w:rsidR="00611BDD" w:rsidRDefault="00611BDD">
      <w:pPr>
        <w:spacing w:after="180"/>
        <w:jc w:val="both"/>
      </w:pPr>
    </w:p>
    <w:p w14:paraId="5406714E" w14:textId="77777777" w:rsidR="00611BDD" w:rsidRDefault="002E18C7">
      <w:pPr>
        <w:spacing w:before="240" w:after="60"/>
        <w:jc w:val="both"/>
      </w:pPr>
      <w:r>
        <w:rPr>
          <w:rFonts w:ascii="sans-serif" w:eastAsia="sans-serif" w:hAnsi="sans-serif" w:cs="sans-serif"/>
          <w:b/>
          <w:bCs/>
          <w:color w:val="76B900"/>
          <w:sz w:val="20"/>
          <w:szCs w:val="20"/>
        </w:rPr>
        <w:t xml:space="preserve">Deferred Revenue </w:t>
      </w:r>
    </w:p>
    <w:p w14:paraId="5406714F" w14:textId="77777777" w:rsidR="00611BDD" w:rsidRDefault="002E18C7">
      <w:pPr>
        <w:spacing w:after="180"/>
      </w:pPr>
      <w:r>
        <w:rPr>
          <w:rFonts w:ascii="sans-serif" w:eastAsia="sans-serif" w:hAnsi="sans-serif" w:cs="sans-serif"/>
          <w:color w:val="000000"/>
          <w:sz w:val="20"/>
          <w:szCs w:val="20"/>
        </w:rPr>
        <w:t>The following table</w:t>
      </w:r>
      <w:r>
        <w:rPr>
          <w:rFonts w:ascii="sans-serif" w:eastAsia="sans-serif" w:hAnsi="sans-serif" w:cs="sans-serif"/>
          <w:color w:val="000000"/>
          <w:sz w:val="20"/>
          <w:szCs w:val="20"/>
        </w:rPr>
        <w:t xml:space="preserve"> shows the changes in deferred revenue during the first half of fiscal years 2022 and 2021:</w:t>
      </w:r>
    </w:p>
    <w:tbl>
      <w:tblPr>
        <w:tblW w:w="4993" w:type="pct"/>
        <w:tblCellMar>
          <w:top w:w="15" w:type="dxa"/>
          <w:left w:w="15" w:type="dxa"/>
          <w:bottom w:w="15" w:type="dxa"/>
          <w:right w:w="15" w:type="dxa"/>
        </w:tblCellMar>
        <w:tblLook w:val="04A0" w:firstRow="1" w:lastRow="0" w:firstColumn="1" w:lastColumn="0" w:noHBand="0" w:noVBand="1"/>
      </w:tblPr>
      <w:tblGrid>
        <w:gridCol w:w="40"/>
        <w:gridCol w:w="5910"/>
        <w:gridCol w:w="37"/>
        <w:gridCol w:w="123"/>
        <w:gridCol w:w="974"/>
        <w:gridCol w:w="36"/>
        <w:gridCol w:w="36"/>
        <w:gridCol w:w="36"/>
        <w:gridCol w:w="36"/>
        <w:gridCol w:w="122"/>
        <w:gridCol w:w="938"/>
        <w:gridCol w:w="36"/>
      </w:tblGrid>
      <w:tr w:rsidR="00611BDD" w14:paraId="5406715C" w14:textId="77777777">
        <w:tc>
          <w:tcPr>
            <w:tcW w:w="50" w:type="pct"/>
            <w:shd w:val="clear" w:color="auto" w:fill="auto"/>
            <w:vAlign w:val="bottom"/>
          </w:tcPr>
          <w:p w14:paraId="54067150" w14:textId="77777777" w:rsidR="00611BDD" w:rsidRDefault="00611BDD">
            <w:pPr>
              <w:rPr>
                <w:rFonts w:ascii="宋体"/>
              </w:rPr>
            </w:pPr>
          </w:p>
        </w:tc>
        <w:tc>
          <w:tcPr>
            <w:tcW w:w="3575" w:type="pct"/>
            <w:shd w:val="clear" w:color="auto" w:fill="auto"/>
            <w:vAlign w:val="bottom"/>
          </w:tcPr>
          <w:p w14:paraId="54067151" w14:textId="77777777" w:rsidR="00611BDD" w:rsidRDefault="00611BDD">
            <w:pPr>
              <w:rPr>
                <w:rFonts w:ascii="宋体"/>
              </w:rPr>
            </w:pPr>
          </w:p>
        </w:tc>
        <w:tc>
          <w:tcPr>
            <w:tcW w:w="5" w:type="pct"/>
            <w:shd w:val="clear" w:color="auto" w:fill="auto"/>
            <w:vAlign w:val="bottom"/>
          </w:tcPr>
          <w:p w14:paraId="54067152" w14:textId="77777777" w:rsidR="00611BDD" w:rsidRDefault="00611BDD">
            <w:pPr>
              <w:rPr>
                <w:rFonts w:ascii="宋体"/>
              </w:rPr>
            </w:pPr>
          </w:p>
        </w:tc>
        <w:tc>
          <w:tcPr>
            <w:tcW w:w="50" w:type="pct"/>
            <w:shd w:val="clear" w:color="auto" w:fill="auto"/>
            <w:vAlign w:val="bottom"/>
          </w:tcPr>
          <w:p w14:paraId="54067153" w14:textId="77777777" w:rsidR="00611BDD" w:rsidRDefault="00611BDD">
            <w:pPr>
              <w:rPr>
                <w:rFonts w:ascii="宋体"/>
              </w:rPr>
            </w:pPr>
          </w:p>
        </w:tc>
        <w:tc>
          <w:tcPr>
            <w:tcW w:w="611" w:type="pct"/>
            <w:shd w:val="clear" w:color="auto" w:fill="auto"/>
            <w:vAlign w:val="bottom"/>
          </w:tcPr>
          <w:p w14:paraId="54067154" w14:textId="77777777" w:rsidR="00611BDD" w:rsidRDefault="00611BDD">
            <w:pPr>
              <w:rPr>
                <w:rFonts w:ascii="宋体"/>
              </w:rPr>
            </w:pPr>
          </w:p>
        </w:tc>
        <w:tc>
          <w:tcPr>
            <w:tcW w:w="5" w:type="pct"/>
            <w:shd w:val="clear" w:color="auto" w:fill="auto"/>
            <w:vAlign w:val="bottom"/>
          </w:tcPr>
          <w:p w14:paraId="54067155" w14:textId="77777777" w:rsidR="00611BDD" w:rsidRDefault="00611BDD">
            <w:pPr>
              <w:rPr>
                <w:rFonts w:ascii="宋体"/>
              </w:rPr>
            </w:pPr>
          </w:p>
        </w:tc>
        <w:tc>
          <w:tcPr>
            <w:tcW w:w="5" w:type="pct"/>
            <w:shd w:val="clear" w:color="auto" w:fill="auto"/>
            <w:vAlign w:val="bottom"/>
          </w:tcPr>
          <w:p w14:paraId="54067156" w14:textId="77777777" w:rsidR="00611BDD" w:rsidRDefault="00611BDD">
            <w:pPr>
              <w:rPr>
                <w:rFonts w:ascii="宋体"/>
              </w:rPr>
            </w:pPr>
          </w:p>
        </w:tc>
        <w:tc>
          <w:tcPr>
            <w:tcW w:w="26" w:type="pct"/>
            <w:shd w:val="clear" w:color="auto" w:fill="auto"/>
            <w:vAlign w:val="bottom"/>
          </w:tcPr>
          <w:p w14:paraId="54067157" w14:textId="77777777" w:rsidR="00611BDD" w:rsidRDefault="00611BDD">
            <w:pPr>
              <w:rPr>
                <w:rFonts w:ascii="宋体"/>
              </w:rPr>
            </w:pPr>
          </w:p>
        </w:tc>
        <w:tc>
          <w:tcPr>
            <w:tcW w:w="5" w:type="pct"/>
            <w:shd w:val="clear" w:color="auto" w:fill="auto"/>
            <w:vAlign w:val="bottom"/>
          </w:tcPr>
          <w:p w14:paraId="54067158" w14:textId="77777777" w:rsidR="00611BDD" w:rsidRDefault="00611BDD">
            <w:pPr>
              <w:rPr>
                <w:rFonts w:ascii="宋体"/>
              </w:rPr>
            </w:pPr>
          </w:p>
        </w:tc>
        <w:tc>
          <w:tcPr>
            <w:tcW w:w="50" w:type="pct"/>
            <w:shd w:val="clear" w:color="auto" w:fill="auto"/>
            <w:vAlign w:val="bottom"/>
          </w:tcPr>
          <w:p w14:paraId="54067159" w14:textId="77777777" w:rsidR="00611BDD" w:rsidRDefault="00611BDD">
            <w:pPr>
              <w:rPr>
                <w:rFonts w:ascii="宋体"/>
              </w:rPr>
            </w:pPr>
          </w:p>
        </w:tc>
        <w:tc>
          <w:tcPr>
            <w:tcW w:w="611" w:type="pct"/>
            <w:shd w:val="clear" w:color="auto" w:fill="auto"/>
            <w:vAlign w:val="bottom"/>
          </w:tcPr>
          <w:p w14:paraId="5406715A" w14:textId="77777777" w:rsidR="00611BDD" w:rsidRDefault="00611BDD">
            <w:pPr>
              <w:rPr>
                <w:rFonts w:ascii="宋体"/>
              </w:rPr>
            </w:pPr>
          </w:p>
        </w:tc>
        <w:tc>
          <w:tcPr>
            <w:tcW w:w="5" w:type="pct"/>
            <w:shd w:val="clear" w:color="auto" w:fill="auto"/>
            <w:vAlign w:val="bottom"/>
          </w:tcPr>
          <w:p w14:paraId="5406715B" w14:textId="77777777" w:rsidR="00611BDD" w:rsidRDefault="00611BDD">
            <w:pPr>
              <w:rPr>
                <w:rFonts w:ascii="宋体"/>
              </w:rPr>
            </w:pPr>
          </w:p>
        </w:tc>
      </w:tr>
      <w:tr w:rsidR="00611BDD" w14:paraId="54067161" w14:textId="77777777">
        <w:tc>
          <w:tcPr>
            <w:tcW w:w="0" w:type="auto"/>
            <w:gridSpan w:val="3"/>
            <w:shd w:val="clear" w:color="auto" w:fill="auto"/>
            <w:tcMar>
              <w:top w:w="0" w:type="dxa"/>
              <w:left w:w="20" w:type="dxa"/>
              <w:bottom w:w="0" w:type="dxa"/>
              <w:right w:w="20" w:type="dxa"/>
            </w:tcMar>
            <w:vAlign w:val="bottom"/>
          </w:tcPr>
          <w:p w14:paraId="5406715D"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15E" w14:textId="77777777" w:rsidR="00611BDD" w:rsidRDefault="002E18C7">
            <w:pPr>
              <w:jc w:val="center"/>
              <w:textAlignment w:val="bottom"/>
            </w:pPr>
            <w:r>
              <w:rPr>
                <w:rFonts w:ascii="sans-serif" w:eastAsia="sans-serif" w:hAnsi="sans-serif" w:cs="sans-serif"/>
                <w:b/>
                <w:bCs/>
                <w:color w:val="000000"/>
                <w:sz w:val="20"/>
                <w:szCs w:val="20"/>
              </w:rPr>
              <w:t>August 1,</w:t>
            </w:r>
          </w:p>
        </w:tc>
        <w:tc>
          <w:tcPr>
            <w:tcW w:w="0" w:type="auto"/>
            <w:gridSpan w:val="3"/>
            <w:shd w:val="clear" w:color="auto" w:fill="auto"/>
            <w:tcMar>
              <w:top w:w="0" w:type="dxa"/>
              <w:left w:w="20" w:type="dxa"/>
              <w:bottom w:w="0" w:type="dxa"/>
              <w:right w:w="20" w:type="dxa"/>
            </w:tcMar>
            <w:vAlign w:val="bottom"/>
          </w:tcPr>
          <w:p w14:paraId="5406715F"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160" w14:textId="77777777" w:rsidR="00611BDD" w:rsidRDefault="002E18C7">
            <w:pPr>
              <w:jc w:val="center"/>
              <w:textAlignment w:val="bottom"/>
            </w:pPr>
            <w:r>
              <w:rPr>
                <w:rFonts w:ascii="sans-serif" w:eastAsia="sans-serif" w:hAnsi="sans-serif" w:cs="sans-serif"/>
                <w:b/>
                <w:bCs/>
                <w:color w:val="000000"/>
                <w:sz w:val="20"/>
                <w:szCs w:val="20"/>
              </w:rPr>
              <w:t>July 26,</w:t>
            </w:r>
          </w:p>
        </w:tc>
      </w:tr>
      <w:tr w:rsidR="00611BDD" w14:paraId="54067166" w14:textId="77777777">
        <w:tc>
          <w:tcPr>
            <w:tcW w:w="0" w:type="auto"/>
            <w:gridSpan w:val="3"/>
            <w:shd w:val="clear" w:color="auto" w:fill="auto"/>
            <w:tcMar>
              <w:top w:w="40" w:type="dxa"/>
              <w:left w:w="20" w:type="dxa"/>
              <w:bottom w:w="40" w:type="dxa"/>
              <w:right w:w="20" w:type="dxa"/>
            </w:tcMar>
            <w:vAlign w:val="bottom"/>
          </w:tcPr>
          <w:p w14:paraId="54067162"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4067163" w14:textId="77777777" w:rsidR="00611BDD" w:rsidRDefault="002E18C7">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4067164"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165" w14:textId="77777777" w:rsidR="00611BDD" w:rsidRDefault="002E18C7">
            <w:pPr>
              <w:jc w:val="center"/>
              <w:textAlignment w:val="bottom"/>
            </w:pPr>
            <w:r>
              <w:rPr>
                <w:rFonts w:ascii="sans-serif" w:eastAsia="sans-serif" w:hAnsi="sans-serif" w:cs="sans-serif"/>
                <w:b/>
                <w:bCs/>
                <w:color w:val="000000"/>
                <w:sz w:val="20"/>
                <w:szCs w:val="20"/>
              </w:rPr>
              <w:t>2020</w:t>
            </w:r>
          </w:p>
        </w:tc>
      </w:tr>
      <w:tr w:rsidR="00611BDD" w14:paraId="5406716B" w14:textId="77777777">
        <w:trPr>
          <w:trHeight w:val="60"/>
        </w:trPr>
        <w:tc>
          <w:tcPr>
            <w:tcW w:w="0" w:type="auto"/>
            <w:gridSpan w:val="3"/>
            <w:shd w:val="clear" w:color="auto" w:fill="auto"/>
            <w:tcMar>
              <w:top w:w="0" w:type="dxa"/>
              <w:left w:w="20" w:type="dxa"/>
              <w:bottom w:w="0" w:type="dxa"/>
              <w:right w:w="20" w:type="dxa"/>
            </w:tcMar>
            <w:vAlign w:val="bottom"/>
          </w:tcPr>
          <w:p w14:paraId="54067167"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168"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169"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16A" w14:textId="77777777" w:rsidR="00611BDD" w:rsidRDefault="00611BDD">
            <w:pPr>
              <w:rPr>
                <w:rFonts w:ascii="宋体"/>
              </w:rPr>
            </w:pPr>
          </w:p>
        </w:tc>
      </w:tr>
      <w:tr w:rsidR="00611BDD" w14:paraId="5406716E" w14:textId="77777777">
        <w:tc>
          <w:tcPr>
            <w:tcW w:w="0" w:type="auto"/>
            <w:gridSpan w:val="3"/>
            <w:shd w:val="clear" w:color="auto" w:fill="auto"/>
            <w:tcMar>
              <w:top w:w="0" w:type="dxa"/>
              <w:left w:w="20" w:type="dxa"/>
              <w:bottom w:w="0" w:type="dxa"/>
              <w:right w:w="20" w:type="dxa"/>
            </w:tcMar>
            <w:vAlign w:val="bottom"/>
          </w:tcPr>
          <w:p w14:paraId="5406716C" w14:textId="77777777" w:rsidR="00611BDD" w:rsidRDefault="00611BDD">
            <w:pPr>
              <w:rPr>
                <w:rFonts w:ascii="宋体"/>
              </w:rPr>
            </w:pPr>
          </w:p>
        </w:tc>
        <w:tc>
          <w:tcPr>
            <w:tcW w:w="0" w:type="auto"/>
            <w:gridSpan w:val="9"/>
            <w:shd w:val="clear" w:color="auto" w:fill="auto"/>
            <w:tcMar>
              <w:top w:w="40" w:type="dxa"/>
              <w:left w:w="20" w:type="dxa"/>
              <w:bottom w:w="40" w:type="dxa"/>
              <w:right w:w="20" w:type="dxa"/>
            </w:tcMar>
            <w:vAlign w:val="bottom"/>
          </w:tcPr>
          <w:p w14:paraId="5406716D" w14:textId="77777777" w:rsidR="00611BDD" w:rsidRDefault="002E18C7">
            <w:pPr>
              <w:jc w:val="center"/>
              <w:textAlignment w:val="bottom"/>
            </w:pPr>
            <w:r>
              <w:rPr>
                <w:rFonts w:ascii="sans-serif" w:eastAsia="sans-serif" w:hAnsi="sans-serif" w:cs="sans-serif"/>
                <w:i/>
                <w:iCs/>
                <w:color w:val="000000"/>
                <w:sz w:val="20"/>
                <w:szCs w:val="20"/>
              </w:rPr>
              <w:t>(In millions)</w:t>
            </w:r>
          </w:p>
        </w:tc>
      </w:tr>
      <w:tr w:rsidR="00611BDD" w14:paraId="54067177" w14:textId="77777777">
        <w:tc>
          <w:tcPr>
            <w:tcW w:w="0" w:type="auto"/>
            <w:gridSpan w:val="3"/>
            <w:shd w:val="clear" w:color="auto" w:fill="E2EFD9"/>
            <w:tcMar>
              <w:top w:w="40" w:type="dxa"/>
              <w:left w:w="20" w:type="dxa"/>
              <w:bottom w:w="40" w:type="dxa"/>
              <w:right w:w="20" w:type="dxa"/>
            </w:tcMar>
            <w:vAlign w:val="bottom"/>
          </w:tcPr>
          <w:p w14:paraId="5406716F" w14:textId="77777777" w:rsidR="00611BDD" w:rsidRDefault="002E18C7">
            <w:pPr>
              <w:textAlignment w:val="bottom"/>
            </w:pPr>
            <w:r>
              <w:rPr>
                <w:rFonts w:ascii="sans-serif" w:eastAsia="sans-serif" w:hAnsi="sans-serif" w:cs="sans-serif"/>
                <w:color w:val="000000"/>
                <w:sz w:val="20"/>
                <w:szCs w:val="20"/>
              </w:rPr>
              <w:t>Balance at beginning of period</w:t>
            </w:r>
          </w:p>
        </w:tc>
        <w:tc>
          <w:tcPr>
            <w:tcW w:w="0" w:type="auto"/>
            <w:shd w:val="clear" w:color="auto" w:fill="E2EFD9"/>
            <w:tcMar>
              <w:top w:w="40" w:type="dxa"/>
              <w:left w:w="20" w:type="dxa"/>
              <w:bottom w:w="40" w:type="dxa"/>
              <w:right w:w="0" w:type="dxa"/>
            </w:tcMar>
            <w:vAlign w:val="bottom"/>
          </w:tcPr>
          <w:p w14:paraId="54067170"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171" w14:textId="77777777" w:rsidR="00611BDD" w:rsidRDefault="002E18C7">
            <w:pPr>
              <w:jc w:val="right"/>
              <w:textAlignment w:val="bottom"/>
            </w:pPr>
            <w:r>
              <w:rPr>
                <w:rFonts w:ascii="sans-serif" w:eastAsia="sans-serif" w:hAnsi="sans-serif" w:cs="sans-serif"/>
                <w:color w:val="000000"/>
                <w:sz w:val="20"/>
                <w:szCs w:val="20"/>
              </w:rPr>
              <w:t>451 </w:t>
            </w:r>
          </w:p>
        </w:tc>
        <w:tc>
          <w:tcPr>
            <w:tcW w:w="0" w:type="auto"/>
            <w:shd w:val="clear" w:color="auto" w:fill="E2EFD9"/>
            <w:tcMar>
              <w:top w:w="40" w:type="dxa"/>
              <w:left w:w="0" w:type="dxa"/>
              <w:bottom w:w="40" w:type="dxa"/>
              <w:right w:w="20" w:type="dxa"/>
            </w:tcMar>
            <w:vAlign w:val="bottom"/>
          </w:tcPr>
          <w:p w14:paraId="54067172"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173"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174"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175" w14:textId="77777777" w:rsidR="00611BDD" w:rsidRDefault="002E18C7">
            <w:pPr>
              <w:jc w:val="right"/>
              <w:textAlignment w:val="bottom"/>
            </w:pPr>
            <w:r>
              <w:rPr>
                <w:rFonts w:ascii="sans-serif" w:eastAsia="sans-serif" w:hAnsi="sans-serif" w:cs="sans-serif"/>
                <w:color w:val="000000"/>
                <w:sz w:val="20"/>
                <w:szCs w:val="20"/>
              </w:rPr>
              <w:t>201 </w:t>
            </w:r>
          </w:p>
        </w:tc>
        <w:tc>
          <w:tcPr>
            <w:tcW w:w="0" w:type="auto"/>
            <w:shd w:val="clear" w:color="auto" w:fill="E2EFD9"/>
            <w:tcMar>
              <w:top w:w="40" w:type="dxa"/>
              <w:left w:w="0" w:type="dxa"/>
              <w:bottom w:w="40" w:type="dxa"/>
              <w:right w:w="20" w:type="dxa"/>
            </w:tcMar>
            <w:vAlign w:val="bottom"/>
          </w:tcPr>
          <w:p w14:paraId="54067176" w14:textId="77777777" w:rsidR="00611BDD" w:rsidRDefault="00611BDD">
            <w:pPr>
              <w:jc w:val="right"/>
              <w:rPr>
                <w:rFonts w:ascii="宋体"/>
              </w:rPr>
            </w:pPr>
          </w:p>
        </w:tc>
      </w:tr>
      <w:tr w:rsidR="00611BDD" w14:paraId="5406717E" w14:textId="77777777">
        <w:tc>
          <w:tcPr>
            <w:tcW w:w="0" w:type="auto"/>
            <w:gridSpan w:val="3"/>
            <w:shd w:val="clear" w:color="auto" w:fill="FFFFFF"/>
            <w:tcMar>
              <w:top w:w="40" w:type="dxa"/>
              <w:left w:w="20" w:type="dxa"/>
              <w:bottom w:w="40" w:type="dxa"/>
              <w:right w:w="20" w:type="dxa"/>
            </w:tcMar>
            <w:vAlign w:val="bottom"/>
          </w:tcPr>
          <w:p w14:paraId="54067178" w14:textId="77777777" w:rsidR="00611BDD" w:rsidRDefault="002E18C7">
            <w:pPr>
              <w:textAlignment w:val="bottom"/>
            </w:pPr>
            <w:r>
              <w:rPr>
                <w:rFonts w:ascii="sans-serif" w:eastAsia="sans-serif" w:hAnsi="sans-serif" w:cs="sans-serif"/>
                <w:color w:val="000000"/>
                <w:sz w:val="20"/>
                <w:szCs w:val="20"/>
              </w:rPr>
              <w:t xml:space="preserve">Deferred revenue added during the </w:t>
            </w:r>
            <w:r>
              <w:rPr>
                <w:rFonts w:ascii="sans-serif" w:eastAsia="sans-serif" w:hAnsi="sans-serif" w:cs="sans-serif"/>
                <w:color w:val="000000"/>
                <w:sz w:val="20"/>
                <w:szCs w:val="20"/>
              </w:rPr>
              <w:t>period</w:t>
            </w:r>
          </w:p>
        </w:tc>
        <w:tc>
          <w:tcPr>
            <w:tcW w:w="0" w:type="auto"/>
            <w:gridSpan w:val="2"/>
            <w:shd w:val="clear" w:color="auto" w:fill="FFFFFF"/>
            <w:tcMar>
              <w:top w:w="40" w:type="dxa"/>
              <w:left w:w="20" w:type="dxa"/>
              <w:bottom w:w="40" w:type="dxa"/>
              <w:right w:w="0" w:type="dxa"/>
            </w:tcMar>
            <w:vAlign w:val="bottom"/>
          </w:tcPr>
          <w:p w14:paraId="54067179" w14:textId="77777777" w:rsidR="00611BDD" w:rsidRDefault="002E18C7">
            <w:pPr>
              <w:jc w:val="right"/>
              <w:textAlignment w:val="bottom"/>
            </w:pPr>
            <w:r>
              <w:rPr>
                <w:rFonts w:ascii="sans-serif" w:eastAsia="sans-serif" w:hAnsi="sans-serif" w:cs="sans-serif"/>
                <w:color w:val="000000"/>
                <w:sz w:val="20"/>
                <w:szCs w:val="20"/>
              </w:rPr>
              <w:t>401 </w:t>
            </w:r>
          </w:p>
        </w:tc>
        <w:tc>
          <w:tcPr>
            <w:tcW w:w="0" w:type="auto"/>
            <w:shd w:val="clear" w:color="auto" w:fill="FFFFFF"/>
            <w:tcMar>
              <w:top w:w="40" w:type="dxa"/>
              <w:left w:w="0" w:type="dxa"/>
              <w:bottom w:w="40" w:type="dxa"/>
              <w:right w:w="20" w:type="dxa"/>
            </w:tcMar>
            <w:vAlign w:val="bottom"/>
          </w:tcPr>
          <w:p w14:paraId="5406717A"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17B"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17C" w14:textId="77777777" w:rsidR="00611BDD" w:rsidRDefault="002E18C7">
            <w:pPr>
              <w:jc w:val="right"/>
              <w:textAlignment w:val="bottom"/>
            </w:pPr>
            <w:r>
              <w:rPr>
                <w:rFonts w:ascii="sans-serif" w:eastAsia="sans-serif" w:hAnsi="sans-serif" w:cs="sans-serif"/>
                <w:color w:val="000000"/>
                <w:sz w:val="20"/>
                <w:szCs w:val="20"/>
              </w:rPr>
              <w:t>213 </w:t>
            </w:r>
          </w:p>
        </w:tc>
        <w:tc>
          <w:tcPr>
            <w:tcW w:w="0" w:type="auto"/>
            <w:shd w:val="clear" w:color="auto" w:fill="FFFFFF"/>
            <w:tcMar>
              <w:top w:w="40" w:type="dxa"/>
              <w:left w:w="0" w:type="dxa"/>
              <w:bottom w:w="40" w:type="dxa"/>
              <w:right w:w="20" w:type="dxa"/>
            </w:tcMar>
            <w:vAlign w:val="bottom"/>
          </w:tcPr>
          <w:p w14:paraId="5406717D" w14:textId="77777777" w:rsidR="00611BDD" w:rsidRDefault="00611BDD">
            <w:pPr>
              <w:jc w:val="right"/>
              <w:rPr>
                <w:rFonts w:ascii="宋体"/>
              </w:rPr>
            </w:pPr>
          </w:p>
        </w:tc>
      </w:tr>
      <w:tr w:rsidR="00611BDD" w14:paraId="54067185" w14:textId="77777777">
        <w:tc>
          <w:tcPr>
            <w:tcW w:w="0" w:type="auto"/>
            <w:gridSpan w:val="3"/>
            <w:shd w:val="clear" w:color="auto" w:fill="E2EFD9"/>
            <w:tcMar>
              <w:top w:w="40" w:type="dxa"/>
              <w:left w:w="20" w:type="dxa"/>
              <w:bottom w:w="40" w:type="dxa"/>
              <w:right w:w="20" w:type="dxa"/>
            </w:tcMar>
            <w:vAlign w:val="bottom"/>
          </w:tcPr>
          <w:p w14:paraId="5406717F" w14:textId="77777777" w:rsidR="00611BDD" w:rsidRDefault="002E18C7">
            <w:pPr>
              <w:textAlignment w:val="bottom"/>
            </w:pPr>
            <w:r>
              <w:rPr>
                <w:rFonts w:ascii="sans-serif" w:eastAsia="sans-serif" w:hAnsi="sans-serif" w:cs="sans-serif"/>
                <w:color w:val="000000"/>
                <w:sz w:val="20"/>
                <w:szCs w:val="20"/>
              </w:rPr>
              <w:t>Addition due to business combinations</w:t>
            </w:r>
          </w:p>
        </w:tc>
        <w:tc>
          <w:tcPr>
            <w:tcW w:w="0" w:type="auto"/>
            <w:gridSpan w:val="2"/>
            <w:shd w:val="clear" w:color="auto" w:fill="E2EFD9"/>
            <w:tcMar>
              <w:top w:w="40" w:type="dxa"/>
              <w:left w:w="20" w:type="dxa"/>
              <w:bottom w:w="40" w:type="dxa"/>
              <w:right w:w="0" w:type="dxa"/>
            </w:tcMar>
            <w:vAlign w:val="bottom"/>
          </w:tcPr>
          <w:p w14:paraId="54067180"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4067181"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182"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183" w14:textId="77777777" w:rsidR="00611BDD" w:rsidRDefault="002E18C7">
            <w:pPr>
              <w:jc w:val="right"/>
              <w:textAlignment w:val="bottom"/>
            </w:pPr>
            <w:r>
              <w:rPr>
                <w:rFonts w:ascii="sans-serif" w:eastAsia="sans-serif" w:hAnsi="sans-serif" w:cs="sans-serif"/>
                <w:color w:val="000000"/>
                <w:sz w:val="20"/>
                <w:szCs w:val="20"/>
              </w:rPr>
              <w:t>75 </w:t>
            </w:r>
          </w:p>
        </w:tc>
        <w:tc>
          <w:tcPr>
            <w:tcW w:w="0" w:type="auto"/>
            <w:shd w:val="clear" w:color="auto" w:fill="E2EFD9"/>
            <w:tcMar>
              <w:top w:w="40" w:type="dxa"/>
              <w:left w:w="0" w:type="dxa"/>
              <w:bottom w:w="40" w:type="dxa"/>
              <w:right w:w="20" w:type="dxa"/>
            </w:tcMar>
            <w:vAlign w:val="bottom"/>
          </w:tcPr>
          <w:p w14:paraId="54067184" w14:textId="77777777" w:rsidR="00611BDD" w:rsidRDefault="00611BDD">
            <w:pPr>
              <w:jc w:val="right"/>
              <w:rPr>
                <w:rFonts w:ascii="宋体"/>
              </w:rPr>
            </w:pPr>
          </w:p>
        </w:tc>
      </w:tr>
      <w:tr w:rsidR="00611BDD" w14:paraId="5406718C" w14:textId="77777777">
        <w:tc>
          <w:tcPr>
            <w:tcW w:w="0" w:type="auto"/>
            <w:gridSpan w:val="3"/>
            <w:shd w:val="clear" w:color="auto" w:fill="FFFFFF"/>
            <w:tcMar>
              <w:top w:w="40" w:type="dxa"/>
              <w:left w:w="20" w:type="dxa"/>
              <w:bottom w:w="40" w:type="dxa"/>
              <w:right w:w="20" w:type="dxa"/>
            </w:tcMar>
            <w:vAlign w:val="bottom"/>
          </w:tcPr>
          <w:p w14:paraId="54067186" w14:textId="77777777" w:rsidR="00611BDD" w:rsidRDefault="002E18C7">
            <w:pPr>
              <w:textAlignment w:val="bottom"/>
            </w:pPr>
            <w:r>
              <w:rPr>
                <w:rFonts w:ascii="sans-serif" w:eastAsia="sans-serif" w:hAnsi="sans-serif" w:cs="sans-serif"/>
                <w:color w:val="000000"/>
                <w:sz w:val="20"/>
                <w:szCs w:val="20"/>
              </w:rPr>
              <w:t>Revenue recognized during the period</w:t>
            </w:r>
          </w:p>
        </w:tc>
        <w:tc>
          <w:tcPr>
            <w:tcW w:w="0" w:type="auto"/>
            <w:gridSpan w:val="2"/>
            <w:shd w:val="clear" w:color="auto" w:fill="FFFFFF"/>
            <w:tcMar>
              <w:top w:w="40" w:type="dxa"/>
              <w:left w:w="20" w:type="dxa"/>
              <w:bottom w:w="40" w:type="dxa"/>
              <w:right w:w="0" w:type="dxa"/>
            </w:tcMar>
            <w:vAlign w:val="bottom"/>
          </w:tcPr>
          <w:p w14:paraId="54067187" w14:textId="77777777" w:rsidR="00611BDD" w:rsidRDefault="002E18C7">
            <w:pPr>
              <w:jc w:val="right"/>
              <w:textAlignment w:val="bottom"/>
            </w:pPr>
            <w:r>
              <w:rPr>
                <w:rFonts w:ascii="sans-serif" w:eastAsia="sans-serif" w:hAnsi="sans-serif" w:cs="sans-serif"/>
                <w:color w:val="000000"/>
                <w:sz w:val="20"/>
                <w:szCs w:val="20"/>
              </w:rPr>
              <w:t>(362)</w:t>
            </w:r>
          </w:p>
        </w:tc>
        <w:tc>
          <w:tcPr>
            <w:tcW w:w="0" w:type="auto"/>
            <w:shd w:val="clear" w:color="auto" w:fill="FFFFFF"/>
            <w:tcMar>
              <w:top w:w="40" w:type="dxa"/>
              <w:left w:w="0" w:type="dxa"/>
              <w:bottom w:w="40" w:type="dxa"/>
              <w:right w:w="20" w:type="dxa"/>
            </w:tcMar>
            <w:vAlign w:val="bottom"/>
          </w:tcPr>
          <w:p w14:paraId="54067188"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189"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18A" w14:textId="77777777" w:rsidR="00611BDD" w:rsidRDefault="002E18C7">
            <w:pPr>
              <w:jc w:val="right"/>
              <w:textAlignment w:val="bottom"/>
            </w:pPr>
            <w:r>
              <w:rPr>
                <w:rFonts w:ascii="sans-serif" w:eastAsia="sans-serif" w:hAnsi="sans-serif" w:cs="sans-serif"/>
                <w:color w:val="000000"/>
                <w:sz w:val="20"/>
                <w:szCs w:val="20"/>
              </w:rPr>
              <w:t>(147)</w:t>
            </w:r>
          </w:p>
        </w:tc>
        <w:tc>
          <w:tcPr>
            <w:tcW w:w="0" w:type="auto"/>
            <w:shd w:val="clear" w:color="auto" w:fill="FFFFFF"/>
            <w:tcMar>
              <w:top w:w="40" w:type="dxa"/>
              <w:left w:w="0" w:type="dxa"/>
              <w:bottom w:w="40" w:type="dxa"/>
              <w:right w:w="20" w:type="dxa"/>
            </w:tcMar>
            <w:vAlign w:val="bottom"/>
          </w:tcPr>
          <w:p w14:paraId="5406718B" w14:textId="77777777" w:rsidR="00611BDD" w:rsidRDefault="00611BDD">
            <w:pPr>
              <w:jc w:val="right"/>
              <w:rPr>
                <w:rFonts w:ascii="宋体"/>
              </w:rPr>
            </w:pPr>
          </w:p>
        </w:tc>
      </w:tr>
      <w:tr w:rsidR="00611BDD" w14:paraId="54067195" w14:textId="77777777">
        <w:tc>
          <w:tcPr>
            <w:tcW w:w="0" w:type="auto"/>
            <w:gridSpan w:val="3"/>
            <w:shd w:val="clear" w:color="auto" w:fill="E2EFD9"/>
            <w:tcMar>
              <w:top w:w="40" w:type="dxa"/>
              <w:left w:w="20" w:type="dxa"/>
              <w:bottom w:w="40" w:type="dxa"/>
              <w:right w:w="20" w:type="dxa"/>
            </w:tcMar>
            <w:vAlign w:val="bottom"/>
          </w:tcPr>
          <w:p w14:paraId="5406718D" w14:textId="77777777" w:rsidR="00611BDD" w:rsidRDefault="002E18C7">
            <w:pPr>
              <w:textAlignment w:val="bottom"/>
            </w:pPr>
            <w:r>
              <w:rPr>
                <w:rFonts w:ascii="sans-serif" w:eastAsia="sans-serif" w:hAnsi="sans-serif" w:cs="sans-serif"/>
                <w:color w:val="000000"/>
                <w:sz w:val="20"/>
                <w:szCs w:val="20"/>
              </w:rPr>
              <w:t>Balance at end of period</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18E"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18F" w14:textId="77777777" w:rsidR="00611BDD" w:rsidRDefault="002E18C7">
            <w:pPr>
              <w:jc w:val="right"/>
              <w:textAlignment w:val="bottom"/>
            </w:pPr>
            <w:r>
              <w:rPr>
                <w:rFonts w:ascii="sans-serif" w:eastAsia="sans-serif" w:hAnsi="sans-serif" w:cs="sans-serif"/>
                <w:color w:val="000000"/>
                <w:sz w:val="20"/>
                <w:szCs w:val="20"/>
              </w:rPr>
              <w:t>490 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190"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191"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192"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193" w14:textId="77777777" w:rsidR="00611BDD" w:rsidRDefault="002E18C7">
            <w:pPr>
              <w:jc w:val="right"/>
              <w:textAlignment w:val="bottom"/>
            </w:pPr>
            <w:r>
              <w:rPr>
                <w:rFonts w:ascii="sans-serif" w:eastAsia="sans-serif" w:hAnsi="sans-serif" w:cs="sans-serif"/>
                <w:color w:val="000000"/>
                <w:sz w:val="20"/>
                <w:szCs w:val="20"/>
              </w:rPr>
              <w:t>342 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194" w14:textId="77777777" w:rsidR="00611BDD" w:rsidRDefault="00611BDD">
            <w:pPr>
              <w:jc w:val="right"/>
              <w:rPr>
                <w:rFonts w:ascii="宋体"/>
              </w:rPr>
            </w:pPr>
          </w:p>
        </w:tc>
      </w:tr>
    </w:tbl>
    <w:p w14:paraId="54067196" w14:textId="77777777" w:rsidR="00611BDD" w:rsidRDefault="002E18C7">
      <w:pPr>
        <w:spacing w:after="60"/>
        <w:jc w:val="both"/>
      </w:pPr>
      <w:r>
        <w:rPr>
          <w:rFonts w:ascii="sans-serif" w:eastAsia="sans-serif" w:hAnsi="sans-serif" w:cs="sans-serif"/>
          <w:color w:val="000000"/>
          <w:sz w:val="20"/>
          <w:szCs w:val="20"/>
        </w:rPr>
        <w:t xml:space="preserve">Revenue related to remaining performance obligations represents the remaining </w:t>
      </w:r>
      <w:r>
        <w:rPr>
          <w:rFonts w:ascii="sans-serif" w:eastAsia="sans-serif" w:hAnsi="sans-serif" w:cs="sans-serif"/>
          <w:color w:val="000000"/>
          <w:sz w:val="20"/>
          <w:szCs w:val="20"/>
        </w:rPr>
        <w:t xml:space="preserve">contracted license, development arrangements and PCS that has not been recognized. This includes related deferred revenue currently recorded and amounts that will be invoiced in future periods. As of August 1, 2021, the amount of our remaining performance </w:t>
      </w:r>
      <w:r>
        <w:rPr>
          <w:rFonts w:ascii="sans-serif" w:eastAsia="sans-serif" w:hAnsi="sans-serif" w:cs="sans-serif"/>
          <w:color w:val="000000"/>
          <w:sz w:val="20"/>
          <w:szCs w:val="20"/>
        </w:rPr>
        <w:t>obligations that has not been recognized as revenue was $646 million, of which we expect to recognize approximately 50% as revenue over the next 12 months and the remainder thereafter. This amount excludes the value of remaining performance obligations for</w:t>
      </w:r>
      <w:r>
        <w:rPr>
          <w:rFonts w:ascii="sans-serif" w:eastAsia="sans-serif" w:hAnsi="sans-serif" w:cs="sans-serif"/>
          <w:color w:val="000000"/>
          <w:sz w:val="20"/>
          <w:szCs w:val="20"/>
        </w:rPr>
        <w:t xml:space="preserve"> contracts with an original expected length of one year or less.</w:t>
      </w:r>
    </w:p>
    <w:p w14:paraId="54067197" w14:textId="77777777" w:rsidR="00611BDD" w:rsidRDefault="002E18C7">
      <w:pPr>
        <w:spacing w:before="240" w:after="120"/>
        <w:jc w:val="both"/>
      </w:pPr>
      <w:r>
        <w:rPr>
          <w:rFonts w:ascii="sans-serif" w:eastAsia="sans-serif" w:hAnsi="sans-serif" w:cs="sans-serif"/>
          <w:b/>
          <w:bCs/>
          <w:color w:val="76B900"/>
          <w:sz w:val="22"/>
          <w:szCs w:val="22"/>
        </w:rPr>
        <w:t>Note 11 - Derivative Financial Instruments</w:t>
      </w:r>
    </w:p>
    <w:p w14:paraId="54067198" w14:textId="77777777" w:rsidR="00611BDD" w:rsidRDefault="002E18C7">
      <w:pPr>
        <w:spacing w:after="180"/>
        <w:jc w:val="both"/>
      </w:pPr>
      <w:r>
        <w:rPr>
          <w:rFonts w:ascii="sans-serif" w:eastAsia="sans-serif" w:hAnsi="sans-serif" w:cs="sans-serif"/>
          <w:color w:val="000000"/>
          <w:sz w:val="20"/>
          <w:szCs w:val="20"/>
        </w:rPr>
        <w:t xml:space="preserve">We enter into foreign currency forward contracts to mitigate the impact of foreign currency exchange rate movements on our operating </w:t>
      </w:r>
      <w:r>
        <w:rPr>
          <w:rFonts w:ascii="sans-serif" w:eastAsia="sans-serif" w:hAnsi="sans-serif" w:cs="sans-serif"/>
          <w:color w:val="000000"/>
          <w:sz w:val="20"/>
          <w:szCs w:val="20"/>
        </w:rPr>
        <w:t>expenses. These contracts are designated as cash flow hedges for hedge accounting treatment. Gains or losses on the contracts are recorded in accumulated other comprehensive income or loss and reclassified to operating expense when the related operating ex</w:t>
      </w:r>
      <w:r>
        <w:rPr>
          <w:rFonts w:ascii="sans-serif" w:eastAsia="sans-serif" w:hAnsi="sans-serif" w:cs="sans-serif"/>
          <w:color w:val="000000"/>
          <w:sz w:val="20"/>
          <w:szCs w:val="20"/>
        </w:rPr>
        <w:t>penses are recognized in earnings or ineffectiveness should occur. The fair value of the contracts was not significant as of August 1, 2021 and January 31, 2021.</w:t>
      </w:r>
    </w:p>
    <w:p w14:paraId="54067199" w14:textId="77777777" w:rsidR="00611BDD" w:rsidRDefault="002E18C7">
      <w:pPr>
        <w:jc w:val="both"/>
      </w:pPr>
      <w:r>
        <w:rPr>
          <w:rFonts w:ascii="sans-serif" w:eastAsia="sans-serif" w:hAnsi="sans-serif" w:cs="sans-serif"/>
          <w:color w:val="000000"/>
          <w:sz w:val="20"/>
          <w:szCs w:val="20"/>
        </w:rPr>
        <w:t>We also enter into foreign currency forward contracts to mitigate the impact of foreign curren</w:t>
      </w:r>
      <w:r>
        <w:rPr>
          <w:rFonts w:ascii="sans-serif" w:eastAsia="sans-serif" w:hAnsi="sans-serif" w:cs="sans-serif"/>
          <w:color w:val="000000"/>
          <w:sz w:val="20"/>
          <w:szCs w:val="20"/>
        </w:rPr>
        <w:t>cy movements on monetary assets and liabilities that are denominated in currencies other than the U.S. dollar. These forward contracts were not designated for hedge accounting treatment. Therefore, the change in fair value of these contracts is recorded in</w:t>
      </w:r>
      <w:r>
        <w:rPr>
          <w:rFonts w:ascii="sans-serif" w:eastAsia="sans-serif" w:hAnsi="sans-serif" w:cs="sans-serif"/>
          <w:color w:val="000000"/>
          <w:sz w:val="20"/>
          <w:szCs w:val="20"/>
        </w:rPr>
        <w:t xml:space="preserve"> other income or expense and offsets the change in fair value of the hedged foreign currency denominated monetary assets and liabilities, which is also recorded in other income or expense. </w:t>
      </w:r>
    </w:p>
    <w:p w14:paraId="5406719A" w14:textId="77777777" w:rsidR="00611BDD" w:rsidRDefault="00611BDD"/>
    <w:p w14:paraId="5406719B" w14:textId="77777777" w:rsidR="00611BDD" w:rsidRDefault="002E18C7">
      <w:pPr>
        <w:spacing w:after="180"/>
        <w:jc w:val="both"/>
      </w:pPr>
      <w:r>
        <w:rPr>
          <w:rFonts w:ascii="sans-serif" w:eastAsia="sans-serif" w:hAnsi="sans-serif" w:cs="sans-serif"/>
          <w:color w:val="000000"/>
          <w:sz w:val="20"/>
          <w:szCs w:val="20"/>
        </w:rPr>
        <w:t>The table below presents the notional value of our foreign curren</w:t>
      </w:r>
      <w:r>
        <w:rPr>
          <w:rFonts w:ascii="sans-serif" w:eastAsia="sans-serif" w:hAnsi="sans-serif" w:cs="sans-serif"/>
          <w:color w:val="000000"/>
          <w:sz w:val="20"/>
          <w:szCs w:val="20"/>
        </w:rPr>
        <w:t>cy forward contracts outstanding as of August 1, 2021 and January 31, 2021:</w:t>
      </w:r>
    </w:p>
    <w:tbl>
      <w:tblPr>
        <w:tblW w:w="5000" w:type="pct"/>
        <w:tblCellMar>
          <w:top w:w="15" w:type="dxa"/>
          <w:left w:w="15" w:type="dxa"/>
          <w:bottom w:w="15" w:type="dxa"/>
          <w:right w:w="15" w:type="dxa"/>
        </w:tblCellMar>
        <w:tblLook w:val="04A0" w:firstRow="1" w:lastRow="0" w:firstColumn="1" w:lastColumn="0" w:noHBand="0" w:noVBand="1"/>
      </w:tblPr>
      <w:tblGrid>
        <w:gridCol w:w="40"/>
        <w:gridCol w:w="5655"/>
        <w:gridCol w:w="36"/>
        <w:gridCol w:w="123"/>
        <w:gridCol w:w="1082"/>
        <w:gridCol w:w="36"/>
        <w:gridCol w:w="36"/>
        <w:gridCol w:w="49"/>
        <w:gridCol w:w="36"/>
        <w:gridCol w:w="123"/>
        <w:gridCol w:w="1084"/>
        <w:gridCol w:w="36"/>
      </w:tblGrid>
      <w:tr w:rsidR="00611BDD" w14:paraId="540671A8" w14:textId="77777777">
        <w:tc>
          <w:tcPr>
            <w:tcW w:w="50" w:type="pct"/>
            <w:shd w:val="clear" w:color="auto" w:fill="auto"/>
            <w:vAlign w:val="bottom"/>
          </w:tcPr>
          <w:p w14:paraId="5406719C" w14:textId="77777777" w:rsidR="00611BDD" w:rsidRDefault="00611BDD">
            <w:pPr>
              <w:rPr>
                <w:rFonts w:ascii="宋体"/>
              </w:rPr>
            </w:pPr>
          </w:p>
        </w:tc>
        <w:tc>
          <w:tcPr>
            <w:tcW w:w="3417" w:type="pct"/>
            <w:shd w:val="clear" w:color="auto" w:fill="auto"/>
            <w:vAlign w:val="bottom"/>
          </w:tcPr>
          <w:p w14:paraId="5406719D" w14:textId="77777777" w:rsidR="00611BDD" w:rsidRDefault="00611BDD">
            <w:pPr>
              <w:rPr>
                <w:rFonts w:ascii="宋体"/>
              </w:rPr>
            </w:pPr>
          </w:p>
        </w:tc>
        <w:tc>
          <w:tcPr>
            <w:tcW w:w="5" w:type="pct"/>
            <w:shd w:val="clear" w:color="auto" w:fill="auto"/>
            <w:vAlign w:val="bottom"/>
          </w:tcPr>
          <w:p w14:paraId="5406719E" w14:textId="77777777" w:rsidR="00611BDD" w:rsidRDefault="00611BDD">
            <w:pPr>
              <w:rPr>
                <w:rFonts w:ascii="宋体"/>
              </w:rPr>
            </w:pPr>
          </w:p>
        </w:tc>
        <w:tc>
          <w:tcPr>
            <w:tcW w:w="50" w:type="pct"/>
            <w:shd w:val="clear" w:color="auto" w:fill="auto"/>
            <w:vAlign w:val="bottom"/>
          </w:tcPr>
          <w:p w14:paraId="5406719F" w14:textId="77777777" w:rsidR="00611BDD" w:rsidRDefault="00611BDD">
            <w:pPr>
              <w:rPr>
                <w:rFonts w:ascii="宋体"/>
              </w:rPr>
            </w:pPr>
          </w:p>
        </w:tc>
        <w:tc>
          <w:tcPr>
            <w:tcW w:w="675" w:type="pct"/>
            <w:shd w:val="clear" w:color="auto" w:fill="auto"/>
            <w:vAlign w:val="bottom"/>
          </w:tcPr>
          <w:p w14:paraId="540671A0" w14:textId="77777777" w:rsidR="00611BDD" w:rsidRDefault="00611BDD">
            <w:pPr>
              <w:rPr>
                <w:rFonts w:ascii="宋体"/>
              </w:rPr>
            </w:pPr>
          </w:p>
        </w:tc>
        <w:tc>
          <w:tcPr>
            <w:tcW w:w="5" w:type="pct"/>
            <w:shd w:val="clear" w:color="auto" w:fill="auto"/>
            <w:vAlign w:val="bottom"/>
          </w:tcPr>
          <w:p w14:paraId="540671A1" w14:textId="77777777" w:rsidR="00611BDD" w:rsidRDefault="00611BDD">
            <w:pPr>
              <w:rPr>
                <w:rFonts w:ascii="宋体"/>
              </w:rPr>
            </w:pPr>
          </w:p>
        </w:tc>
        <w:tc>
          <w:tcPr>
            <w:tcW w:w="5" w:type="pct"/>
            <w:shd w:val="clear" w:color="auto" w:fill="auto"/>
            <w:vAlign w:val="bottom"/>
          </w:tcPr>
          <w:p w14:paraId="540671A2" w14:textId="77777777" w:rsidR="00611BDD" w:rsidRDefault="00611BDD">
            <w:pPr>
              <w:rPr>
                <w:rFonts w:ascii="宋体"/>
              </w:rPr>
            </w:pPr>
          </w:p>
        </w:tc>
        <w:tc>
          <w:tcPr>
            <w:tcW w:w="55" w:type="pct"/>
            <w:shd w:val="clear" w:color="auto" w:fill="auto"/>
            <w:vAlign w:val="bottom"/>
          </w:tcPr>
          <w:p w14:paraId="540671A3" w14:textId="77777777" w:rsidR="00611BDD" w:rsidRDefault="00611BDD">
            <w:pPr>
              <w:rPr>
                <w:rFonts w:ascii="宋体"/>
              </w:rPr>
            </w:pPr>
          </w:p>
        </w:tc>
        <w:tc>
          <w:tcPr>
            <w:tcW w:w="5" w:type="pct"/>
            <w:shd w:val="clear" w:color="auto" w:fill="auto"/>
            <w:vAlign w:val="bottom"/>
          </w:tcPr>
          <w:p w14:paraId="540671A4" w14:textId="77777777" w:rsidR="00611BDD" w:rsidRDefault="00611BDD">
            <w:pPr>
              <w:rPr>
                <w:rFonts w:ascii="宋体"/>
              </w:rPr>
            </w:pPr>
          </w:p>
        </w:tc>
        <w:tc>
          <w:tcPr>
            <w:tcW w:w="50" w:type="pct"/>
            <w:shd w:val="clear" w:color="auto" w:fill="auto"/>
            <w:vAlign w:val="bottom"/>
          </w:tcPr>
          <w:p w14:paraId="540671A5" w14:textId="77777777" w:rsidR="00611BDD" w:rsidRDefault="00611BDD">
            <w:pPr>
              <w:rPr>
                <w:rFonts w:ascii="宋体"/>
              </w:rPr>
            </w:pPr>
          </w:p>
        </w:tc>
        <w:tc>
          <w:tcPr>
            <w:tcW w:w="676" w:type="pct"/>
            <w:shd w:val="clear" w:color="auto" w:fill="auto"/>
            <w:vAlign w:val="bottom"/>
          </w:tcPr>
          <w:p w14:paraId="540671A6" w14:textId="77777777" w:rsidR="00611BDD" w:rsidRDefault="00611BDD">
            <w:pPr>
              <w:rPr>
                <w:rFonts w:ascii="宋体"/>
              </w:rPr>
            </w:pPr>
          </w:p>
        </w:tc>
        <w:tc>
          <w:tcPr>
            <w:tcW w:w="5" w:type="pct"/>
            <w:shd w:val="clear" w:color="auto" w:fill="auto"/>
            <w:vAlign w:val="bottom"/>
          </w:tcPr>
          <w:p w14:paraId="540671A7" w14:textId="77777777" w:rsidR="00611BDD" w:rsidRDefault="00611BDD">
            <w:pPr>
              <w:rPr>
                <w:rFonts w:ascii="宋体"/>
              </w:rPr>
            </w:pPr>
          </w:p>
        </w:tc>
      </w:tr>
      <w:tr w:rsidR="00611BDD" w14:paraId="540671AD" w14:textId="77777777">
        <w:tc>
          <w:tcPr>
            <w:tcW w:w="0" w:type="auto"/>
            <w:gridSpan w:val="3"/>
            <w:shd w:val="clear" w:color="auto" w:fill="auto"/>
            <w:tcMar>
              <w:top w:w="40" w:type="dxa"/>
              <w:left w:w="20" w:type="dxa"/>
              <w:bottom w:w="40" w:type="dxa"/>
              <w:right w:w="20" w:type="dxa"/>
            </w:tcMar>
            <w:vAlign w:val="bottom"/>
          </w:tcPr>
          <w:p w14:paraId="540671A9"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40671AA" w14:textId="77777777" w:rsidR="00611BDD" w:rsidRDefault="002E18C7">
            <w:pPr>
              <w:jc w:val="center"/>
              <w:textAlignment w:val="bottom"/>
            </w:pPr>
            <w:r>
              <w:rPr>
                <w:rFonts w:ascii="sans-serif" w:eastAsia="sans-serif" w:hAnsi="sans-serif" w:cs="sans-serif"/>
                <w:b/>
                <w:bCs/>
                <w:color w:val="000000"/>
                <w:sz w:val="20"/>
                <w:szCs w:val="20"/>
              </w:rPr>
              <w:t>August 1,</w:t>
            </w:r>
            <w:r>
              <w:rPr>
                <w:rFonts w:ascii="sans-serif" w:eastAsia="sans-serif" w:hAnsi="sans-serif" w:cs="sans-serif"/>
                <w:b/>
                <w:bCs/>
                <w:color w:val="000000"/>
                <w:sz w:val="20"/>
                <w:szCs w:val="20"/>
              </w:rPr>
              <w:br/>
              <w:t>2021</w:t>
            </w:r>
          </w:p>
        </w:tc>
        <w:tc>
          <w:tcPr>
            <w:tcW w:w="0" w:type="auto"/>
            <w:gridSpan w:val="3"/>
            <w:shd w:val="clear" w:color="auto" w:fill="auto"/>
            <w:tcMar>
              <w:top w:w="0" w:type="dxa"/>
              <w:left w:w="20" w:type="dxa"/>
              <w:bottom w:w="0" w:type="dxa"/>
              <w:right w:w="20" w:type="dxa"/>
            </w:tcMar>
            <w:vAlign w:val="bottom"/>
          </w:tcPr>
          <w:p w14:paraId="540671AB"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1AC" w14:textId="77777777" w:rsidR="00611BDD" w:rsidRDefault="002E18C7">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r>
      <w:tr w:rsidR="00611BDD" w14:paraId="540671B2" w14:textId="77777777">
        <w:trPr>
          <w:trHeight w:val="60"/>
        </w:trPr>
        <w:tc>
          <w:tcPr>
            <w:tcW w:w="0" w:type="auto"/>
            <w:gridSpan w:val="3"/>
            <w:shd w:val="clear" w:color="auto" w:fill="auto"/>
            <w:tcMar>
              <w:top w:w="0" w:type="dxa"/>
              <w:left w:w="20" w:type="dxa"/>
              <w:bottom w:w="0" w:type="dxa"/>
              <w:right w:w="20" w:type="dxa"/>
            </w:tcMar>
            <w:vAlign w:val="bottom"/>
          </w:tcPr>
          <w:p w14:paraId="540671AE"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1AF"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1B0"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1B1" w14:textId="77777777" w:rsidR="00611BDD" w:rsidRDefault="00611BDD">
            <w:pPr>
              <w:rPr>
                <w:rFonts w:ascii="宋体"/>
              </w:rPr>
            </w:pPr>
          </w:p>
        </w:tc>
      </w:tr>
      <w:tr w:rsidR="00611BDD" w14:paraId="540671B5" w14:textId="77777777">
        <w:tc>
          <w:tcPr>
            <w:tcW w:w="0" w:type="auto"/>
            <w:gridSpan w:val="3"/>
            <w:shd w:val="clear" w:color="auto" w:fill="auto"/>
            <w:tcMar>
              <w:top w:w="0" w:type="dxa"/>
              <w:left w:w="20" w:type="dxa"/>
              <w:bottom w:w="0" w:type="dxa"/>
              <w:right w:w="20" w:type="dxa"/>
            </w:tcMar>
            <w:vAlign w:val="bottom"/>
          </w:tcPr>
          <w:p w14:paraId="540671B3" w14:textId="77777777" w:rsidR="00611BDD" w:rsidRDefault="00611BDD">
            <w:pPr>
              <w:rPr>
                <w:rFonts w:ascii="宋体"/>
              </w:rPr>
            </w:pPr>
          </w:p>
        </w:tc>
        <w:tc>
          <w:tcPr>
            <w:tcW w:w="0" w:type="auto"/>
            <w:gridSpan w:val="9"/>
            <w:shd w:val="clear" w:color="auto" w:fill="auto"/>
            <w:tcMar>
              <w:top w:w="40" w:type="dxa"/>
              <w:left w:w="20" w:type="dxa"/>
              <w:bottom w:w="40" w:type="dxa"/>
              <w:right w:w="20" w:type="dxa"/>
            </w:tcMar>
            <w:vAlign w:val="bottom"/>
          </w:tcPr>
          <w:p w14:paraId="540671B4" w14:textId="77777777" w:rsidR="00611BDD" w:rsidRDefault="002E18C7">
            <w:pPr>
              <w:jc w:val="center"/>
              <w:textAlignment w:val="bottom"/>
            </w:pPr>
            <w:r>
              <w:rPr>
                <w:rFonts w:ascii="sans-serif" w:eastAsia="sans-serif" w:hAnsi="sans-serif" w:cs="sans-serif"/>
                <w:i/>
                <w:iCs/>
                <w:color w:val="000000"/>
                <w:sz w:val="20"/>
                <w:szCs w:val="20"/>
              </w:rPr>
              <w:t>(In millions)</w:t>
            </w:r>
          </w:p>
        </w:tc>
      </w:tr>
      <w:tr w:rsidR="00611BDD" w14:paraId="540671BE" w14:textId="77777777">
        <w:tc>
          <w:tcPr>
            <w:tcW w:w="0" w:type="auto"/>
            <w:gridSpan w:val="3"/>
            <w:shd w:val="clear" w:color="auto" w:fill="E2EFD9"/>
            <w:tcMar>
              <w:top w:w="40" w:type="dxa"/>
              <w:left w:w="20" w:type="dxa"/>
              <w:bottom w:w="40" w:type="dxa"/>
              <w:right w:w="20" w:type="dxa"/>
            </w:tcMar>
            <w:vAlign w:val="bottom"/>
          </w:tcPr>
          <w:p w14:paraId="540671B6" w14:textId="77777777" w:rsidR="00611BDD" w:rsidRDefault="002E18C7">
            <w:pPr>
              <w:textAlignment w:val="bottom"/>
            </w:pPr>
            <w:r>
              <w:rPr>
                <w:rFonts w:ascii="sans-serif" w:eastAsia="sans-serif" w:hAnsi="sans-serif" w:cs="sans-serif"/>
                <w:color w:val="000000"/>
                <w:sz w:val="20"/>
                <w:szCs w:val="20"/>
              </w:rPr>
              <w:t>Designated as cash flow hedges</w:t>
            </w:r>
          </w:p>
        </w:tc>
        <w:tc>
          <w:tcPr>
            <w:tcW w:w="0" w:type="auto"/>
            <w:shd w:val="clear" w:color="auto" w:fill="E2EFD9"/>
            <w:tcMar>
              <w:top w:w="40" w:type="dxa"/>
              <w:left w:w="20" w:type="dxa"/>
              <w:bottom w:w="40" w:type="dxa"/>
              <w:right w:w="0" w:type="dxa"/>
            </w:tcMar>
            <w:vAlign w:val="bottom"/>
          </w:tcPr>
          <w:p w14:paraId="540671B7"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1B8" w14:textId="77777777" w:rsidR="00611BDD" w:rsidRDefault="002E18C7">
            <w:pPr>
              <w:jc w:val="right"/>
              <w:textAlignment w:val="bottom"/>
            </w:pPr>
            <w:r>
              <w:rPr>
                <w:rFonts w:ascii="sans-serif" w:eastAsia="sans-serif" w:hAnsi="sans-serif" w:cs="sans-serif"/>
                <w:color w:val="000000"/>
                <w:sz w:val="20"/>
                <w:szCs w:val="20"/>
              </w:rPr>
              <w:t>902 </w:t>
            </w:r>
          </w:p>
        </w:tc>
        <w:tc>
          <w:tcPr>
            <w:tcW w:w="0" w:type="auto"/>
            <w:shd w:val="clear" w:color="auto" w:fill="E2EFD9"/>
            <w:tcMar>
              <w:top w:w="40" w:type="dxa"/>
              <w:left w:w="0" w:type="dxa"/>
              <w:bottom w:w="40" w:type="dxa"/>
              <w:right w:w="20" w:type="dxa"/>
            </w:tcMar>
            <w:vAlign w:val="bottom"/>
          </w:tcPr>
          <w:p w14:paraId="540671B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1BA"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1BB"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1BC" w14:textId="77777777" w:rsidR="00611BDD" w:rsidRDefault="002E18C7">
            <w:pPr>
              <w:jc w:val="right"/>
              <w:textAlignment w:val="bottom"/>
            </w:pPr>
            <w:r>
              <w:rPr>
                <w:rFonts w:ascii="sans-serif" w:eastAsia="sans-serif" w:hAnsi="sans-serif" w:cs="sans-serif"/>
                <w:color w:val="000000"/>
                <w:sz w:val="20"/>
                <w:szCs w:val="20"/>
              </w:rPr>
              <w:t>840 </w:t>
            </w:r>
          </w:p>
        </w:tc>
        <w:tc>
          <w:tcPr>
            <w:tcW w:w="0" w:type="auto"/>
            <w:shd w:val="clear" w:color="auto" w:fill="E2EFD9"/>
            <w:tcMar>
              <w:top w:w="40" w:type="dxa"/>
              <w:left w:w="0" w:type="dxa"/>
              <w:bottom w:w="40" w:type="dxa"/>
              <w:right w:w="20" w:type="dxa"/>
            </w:tcMar>
            <w:vAlign w:val="bottom"/>
          </w:tcPr>
          <w:p w14:paraId="540671BD" w14:textId="77777777" w:rsidR="00611BDD" w:rsidRDefault="00611BDD">
            <w:pPr>
              <w:jc w:val="right"/>
              <w:rPr>
                <w:rFonts w:ascii="宋体"/>
              </w:rPr>
            </w:pPr>
          </w:p>
        </w:tc>
      </w:tr>
      <w:tr w:rsidR="00611BDD" w14:paraId="540671C7" w14:textId="77777777">
        <w:tc>
          <w:tcPr>
            <w:tcW w:w="0" w:type="auto"/>
            <w:gridSpan w:val="3"/>
            <w:shd w:val="clear" w:color="auto" w:fill="FFFFFF"/>
            <w:tcMar>
              <w:top w:w="40" w:type="dxa"/>
              <w:left w:w="20" w:type="dxa"/>
              <w:bottom w:w="40" w:type="dxa"/>
              <w:right w:w="20" w:type="dxa"/>
            </w:tcMar>
            <w:vAlign w:val="bottom"/>
          </w:tcPr>
          <w:p w14:paraId="540671BF" w14:textId="77777777" w:rsidR="00611BDD" w:rsidRDefault="002E18C7">
            <w:pPr>
              <w:textAlignment w:val="bottom"/>
            </w:pPr>
            <w:r>
              <w:rPr>
                <w:rFonts w:ascii="sans-serif" w:eastAsia="sans-serif" w:hAnsi="sans-serif" w:cs="sans-serif"/>
                <w:color w:val="000000"/>
                <w:sz w:val="20"/>
                <w:szCs w:val="20"/>
              </w:rPr>
              <w:t>Not designated for hedge accounting</w:t>
            </w:r>
          </w:p>
        </w:tc>
        <w:tc>
          <w:tcPr>
            <w:tcW w:w="0" w:type="auto"/>
            <w:shd w:val="clear" w:color="auto" w:fill="FFFFFF"/>
            <w:tcMar>
              <w:top w:w="40" w:type="dxa"/>
              <w:left w:w="20" w:type="dxa"/>
              <w:bottom w:w="40" w:type="dxa"/>
              <w:right w:w="0" w:type="dxa"/>
            </w:tcMar>
            <w:vAlign w:val="bottom"/>
          </w:tcPr>
          <w:p w14:paraId="540671C0"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71C1" w14:textId="77777777" w:rsidR="00611BDD" w:rsidRDefault="002E18C7">
            <w:pPr>
              <w:jc w:val="right"/>
              <w:textAlignment w:val="bottom"/>
            </w:pPr>
            <w:r>
              <w:rPr>
                <w:rFonts w:ascii="sans-serif" w:eastAsia="sans-serif" w:hAnsi="sans-serif" w:cs="sans-serif"/>
                <w:color w:val="000000"/>
                <w:sz w:val="20"/>
                <w:szCs w:val="20"/>
              </w:rPr>
              <w:t>423 </w:t>
            </w:r>
          </w:p>
        </w:tc>
        <w:tc>
          <w:tcPr>
            <w:tcW w:w="0" w:type="auto"/>
            <w:shd w:val="clear" w:color="auto" w:fill="FFFFFF"/>
            <w:tcMar>
              <w:top w:w="40" w:type="dxa"/>
              <w:left w:w="0" w:type="dxa"/>
              <w:bottom w:w="40" w:type="dxa"/>
              <w:right w:w="20" w:type="dxa"/>
            </w:tcMar>
            <w:vAlign w:val="bottom"/>
          </w:tcPr>
          <w:p w14:paraId="540671C2"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1C3"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71C4"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71C5" w14:textId="77777777" w:rsidR="00611BDD" w:rsidRDefault="002E18C7">
            <w:pPr>
              <w:jc w:val="right"/>
              <w:textAlignment w:val="bottom"/>
            </w:pPr>
            <w:r>
              <w:rPr>
                <w:rFonts w:ascii="sans-serif" w:eastAsia="sans-serif" w:hAnsi="sans-serif" w:cs="sans-serif"/>
                <w:color w:val="000000"/>
                <w:sz w:val="20"/>
                <w:szCs w:val="20"/>
              </w:rPr>
              <w:t>441 </w:t>
            </w:r>
          </w:p>
        </w:tc>
        <w:tc>
          <w:tcPr>
            <w:tcW w:w="0" w:type="auto"/>
            <w:shd w:val="clear" w:color="auto" w:fill="FFFFFF"/>
            <w:tcMar>
              <w:top w:w="40" w:type="dxa"/>
              <w:left w:w="0" w:type="dxa"/>
              <w:bottom w:w="40" w:type="dxa"/>
              <w:right w:w="20" w:type="dxa"/>
            </w:tcMar>
            <w:vAlign w:val="bottom"/>
          </w:tcPr>
          <w:p w14:paraId="540671C6" w14:textId="77777777" w:rsidR="00611BDD" w:rsidRDefault="00611BDD">
            <w:pPr>
              <w:jc w:val="right"/>
              <w:rPr>
                <w:rFonts w:ascii="宋体"/>
              </w:rPr>
            </w:pPr>
          </w:p>
        </w:tc>
      </w:tr>
    </w:tbl>
    <w:p w14:paraId="540671C8" w14:textId="77777777" w:rsidR="00611BDD" w:rsidRDefault="002E18C7">
      <w:pPr>
        <w:spacing w:before="180" w:after="180"/>
        <w:jc w:val="both"/>
      </w:pPr>
      <w:r>
        <w:rPr>
          <w:rFonts w:ascii="sans-serif" w:eastAsia="sans-serif" w:hAnsi="sans-serif" w:cs="sans-serif"/>
          <w:color w:val="000000"/>
          <w:sz w:val="20"/>
          <w:szCs w:val="20"/>
        </w:rPr>
        <w:t xml:space="preserve">As </w:t>
      </w:r>
      <w:r>
        <w:rPr>
          <w:rFonts w:ascii="sans-serif" w:eastAsia="sans-serif" w:hAnsi="sans-serif" w:cs="sans-serif"/>
          <w:color w:val="000000"/>
          <w:sz w:val="20"/>
          <w:szCs w:val="20"/>
        </w:rPr>
        <w:t xml:space="preserve">of August 1, 2021, all designated foreign currency forward contracts mature within 18 months. The expected realized gains and losses deferred into accumulated other comprehensive income or loss related to foreign currency forward contracts within the next </w:t>
      </w:r>
      <w:r>
        <w:rPr>
          <w:rFonts w:ascii="sans-serif" w:eastAsia="sans-serif" w:hAnsi="sans-serif" w:cs="sans-serif"/>
          <w:color w:val="000000"/>
          <w:sz w:val="20"/>
          <w:szCs w:val="20"/>
        </w:rPr>
        <w:t>12 months was not significant.</w:t>
      </w:r>
    </w:p>
    <w:p w14:paraId="540671C9" w14:textId="77777777" w:rsidR="00611BDD" w:rsidRDefault="002E18C7">
      <w:pPr>
        <w:spacing w:after="180"/>
        <w:jc w:val="both"/>
      </w:pPr>
      <w:r>
        <w:rPr>
          <w:rFonts w:ascii="sans-serif" w:eastAsia="sans-serif" w:hAnsi="sans-serif" w:cs="sans-serif"/>
          <w:color w:val="000000"/>
          <w:sz w:val="20"/>
          <w:szCs w:val="20"/>
        </w:rPr>
        <w:t xml:space="preserve">During the first half of fiscal years 2022 and 2021, the impact of derivative financial instruments designated for hedge accounting treatment on other comprehensive income or loss was not significant and all such instruments </w:t>
      </w:r>
      <w:r>
        <w:rPr>
          <w:rFonts w:ascii="sans-serif" w:eastAsia="sans-serif" w:hAnsi="sans-serif" w:cs="sans-serif"/>
          <w:color w:val="000000"/>
          <w:sz w:val="20"/>
          <w:szCs w:val="20"/>
        </w:rPr>
        <w:t>were determined to be highly effective. Therefore, there were no gains or losses associated with ineffectiveness.</w:t>
      </w:r>
    </w:p>
    <w:p w14:paraId="540671CA" w14:textId="77777777" w:rsidR="00611BDD" w:rsidRDefault="00611BDD">
      <w:pPr>
        <w:spacing w:before="240" w:after="120"/>
        <w:jc w:val="both"/>
      </w:pPr>
    </w:p>
    <w:p w14:paraId="540671CB" w14:textId="77777777" w:rsidR="00611BDD" w:rsidRDefault="002E18C7">
      <w:pPr>
        <w:spacing w:after="180"/>
        <w:jc w:val="center"/>
      </w:pPr>
      <w:r>
        <w:rPr>
          <w:rFonts w:ascii="sans-serif" w:eastAsia="sans-serif" w:hAnsi="sans-serif" w:cs="sans-serif"/>
          <w:color w:val="000000"/>
          <w:sz w:val="20"/>
          <w:szCs w:val="20"/>
        </w:rPr>
        <w:t>18</w:t>
      </w:r>
    </w:p>
    <w:p w14:paraId="540671CC" w14:textId="77777777" w:rsidR="00611BDD" w:rsidRDefault="002E18C7">
      <w:r>
        <w:pict w14:anchorId="54067C36">
          <v:rect id="_x0000_i1042" style="width:415.3pt;height:1.5pt" o:hralign="center" o:hrstd="t" o:hr="t" fillcolor="#a0a0a0" stroked="f"/>
        </w:pict>
      </w:r>
    </w:p>
    <w:p w14:paraId="540671CD" w14:textId="77777777" w:rsidR="00611BDD" w:rsidRDefault="002E18C7">
      <w:pPr>
        <w:jc w:val="center"/>
      </w:pPr>
      <w:r>
        <w:rPr>
          <w:rFonts w:ascii="sans-serif" w:eastAsia="sans-serif" w:hAnsi="sans-serif" w:cs="sans-serif"/>
          <w:b/>
          <w:bCs/>
          <w:color w:val="000000"/>
          <w:sz w:val="20"/>
          <w:szCs w:val="20"/>
        </w:rPr>
        <w:t>NVIDIA CORPORATION AND SUBSIDIARIES</w:t>
      </w:r>
    </w:p>
    <w:p w14:paraId="540671CE" w14:textId="77777777" w:rsidR="00611BDD" w:rsidRDefault="002E18C7">
      <w:pPr>
        <w:jc w:val="center"/>
      </w:pPr>
      <w:r>
        <w:rPr>
          <w:rFonts w:ascii="sans-serif" w:eastAsia="sans-serif" w:hAnsi="sans-serif" w:cs="sans-serif"/>
          <w:b/>
          <w:bCs/>
          <w:color w:val="000000"/>
          <w:sz w:val="20"/>
          <w:szCs w:val="20"/>
        </w:rPr>
        <w:t>NOTES TO CONDENSED CONSOLIDATED FINANCIAL STATEMENTS (Continued)</w:t>
      </w:r>
    </w:p>
    <w:p w14:paraId="540671CF" w14:textId="77777777" w:rsidR="00611BDD" w:rsidRDefault="002E18C7">
      <w:pPr>
        <w:jc w:val="center"/>
      </w:pPr>
      <w:r>
        <w:rPr>
          <w:rFonts w:ascii="sans-serif" w:eastAsia="sans-serif" w:hAnsi="sans-serif" w:cs="sans-serif"/>
          <w:b/>
          <w:bCs/>
          <w:color w:val="000000"/>
          <w:sz w:val="20"/>
          <w:szCs w:val="20"/>
        </w:rPr>
        <w:t>(Unaudited)</w:t>
      </w:r>
    </w:p>
    <w:p w14:paraId="540671D0" w14:textId="77777777" w:rsidR="00611BDD" w:rsidRDefault="00611BDD">
      <w:pPr>
        <w:spacing w:after="180"/>
        <w:jc w:val="both"/>
      </w:pPr>
    </w:p>
    <w:p w14:paraId="540671D1" w14:textId="77777777" w:rsidR="00611BDD" w:rsidRDefault="00611BDD">
      <w:pPr>
        <w:spacing w:after="180"/>
        <w:jc w:val="both"/>
      </w:pPr>
    </w:p>
    <w:p w14:paraId="540671D2" w14:textId="77777777" w:rsidR="00611BDD" w:rsidRDefault="002E18C7">
      <w:pPr>
        <w:spacing w:before="240" w:after="120"/>
        <w:jc w:val="both"/>
      </w:pPr>
      <w:r>
        <w:rPr>
          <w:rFonts w:ascii="sans-serif" w:eastAsia="sans-serif" w:hAnsi="sans-serif" w:cs="sans-serif"/>
          <w:b/>
          <w:bCs/>
          <w:color w:val="76B900"/>
          <w:sz w:val="22"/>
          <w:szCs w:val="22"/>
        </w:rPr>
        <w:t>Note 12 - Debt</w:t>
      </w:r>
    </w:p>
    <w:p w14:paraId="540671D3" w14:textId="77777777" w:rsidR="00611BDD" w:rsidRDefault="002E18C7">
      <w:pPr>
        <w:spacing w:before="240" w:after="60"/>
        <w:jc w:val="both"/>
      </w:pPr>
      <w:r>
        <w:rPr>
          <w:rFonts w:ascii="sans-serif" w:eastAsia="sans-serif" w:hAnsi="sans-serif" w:cs="sans-serif"/>
          <w:b/>
          <w:bCs/>
          <w:color w:val="76B900"/>
          <w:sz w:val="20"/>
          <w:szCs w:val="20"/>
        </w:rPr>
        <w:t>Long-Term Debt</w:t>
      </w:r>
    </w:p>
    <w:p w14:paraId="540671D4" w14:textId="77777777" w:rsidR="00611BDD" w:rsidRDefault="002E18C7">
      <w:pPr>
        <w:spacing w:after="180"/>
        <w:jc w:val="both"/>
      </w:pPr>
      <w:r>
        <w:rPr>
          <w:rFonts w:ascii="sans-serif" w:eastAsia="sans-serif" w:hAnsi="sans-serif" w:cs="sans-serif"/>
          <w:color w:val="000000"/>
          <w:sz w:val="20"/>
          <w:szCs w:val="20"/>
        </w:rPr>
        <w:t xml:space="preserve">In June 2021, we issued $1.25 billion of the 0.309% Notes Due 2023, $1.25 billion of the 0.584% Notes Due 2024, $1.25 billion of the 1.55% Notes Due 2028, and $1.25 billion of the 2.00% Notes Due 2031, or collectively, the June 2021 </w:t>
      </w:r>
      <w:r>
        <w:rPr>
          <w:rFonts w:ascii="sans-serif" w:eastAsia="sans-serif" w:hAnsi="sans-serif" w:cs="sans-serif"/>
          <w:color w:val="000000"/>
          <w:sz w:val="20"/>
          <w:szCs w:val="20"/>
        </w:rPr>
        <w:t>Notes. Interest on the 0.584% Notes Due 2024 is payable on June 14 and December 14 of each year, beginning on December 14, 2021. Interest on all other series of the June 2021 Notes is payable on June 15 and December 15 of each year, beginning on December 1</w:t>
      </w:r>
      <w:r>
        <w:rPr>
          <w:rFonts w:ascii="sans-serif" w:eastAsia="sans-serif" w:hAnsi="sans-serif" w:cs="sans-serif"/>
          <w:color w:val="000000"/>
          <w:sz w:val="20"/>
          <w:szCs w:val="20"/>
        </w:rPr>
        <w:t>5, 2021. We may redeem the June 2021 Notes for cash prior to maturity, upon at least 10 but no more than 60 days prior notice, at redemption prices that include accrued and unpaid interest and a make-whole premium. However, no make-whole premium will be pa</w:t>
      </w:r>
      <w:r>
        <w:rPr>
          <w:rFonts w:ascii="sans-serif" w:eastAsia="sans-serif" w:hAnsi="sans-serif" w:cs="sans-serif"/>
          <w:color w:val="000000"/>
          <w:sz w:val="20"/>
          <w:szCs w:val="20"/>
        </w:rPr>
        <w:t>id for redemptions of the Notes Due 2023 on or after June 15, 2022, the Notes Due 2024 on or after June 14, 2023, the Notes Due 2028 on or after April 15, 2028, or the Notes Due 2031 on or after March 15, 2031. The net proceeds from the June 2021 Notes wer</w:t>
      </w:r>
      <w:r>
        <w:rPr>
          <w:rFonts w:ascii="sans-serif" w:eastAsia="sans-serif" w:hAnsi="sans-serif" w:cs="sans-serif"/>
          <w:color w:val="000000"/>
          <w:sz w:val="20"/>
          <w:szCs w:val="20"/>
        </w:rPr>
        <w:t>e $4.98 billion, after deducting debt discount and issuance costs.</w:t>
      </w:r>
    </w:p>
    <w:p w14:paraId="540671D5" w14:textId="77777777" w:rsidR="00611BDD" w:rsidRDefault="002E18C7">
      <w:pPr>
        <w:jc w:val="both"/>
      </w:pPr>
      <w:r>
        <w:rPr>
          <w:rFonts w:ascii="sans-serif" w:eastAsia="sans-serif" w:hAnsi="sans-serif" w:cs="sans-serif"/>
          <w:color w:val="000000"/>
          <w:sz w:val="20"/>
          <w:szCs w:val="20"/>
        </w:rPr>
        <w:t>In March 2020, we issued $1.50 billion of the 2.85% Notes Due 2030, $1.00 billion of the 3.50% Notes Due 2040, $2.00 billion of the 3.50% Notes Due 2050, and $500 million of the 3.70% Notes</w:t>
      </w:r>
      <w:r>
        <w:rPr>
          <w:rFonts w:ascii="sans-serif" w:eastAsia="sans-serif" w:hAnsi="sans-serif" w:cs="sans-serif"/>
          <w:color w:val="000000"/>
          <w:sz w:val="20"/>
          <w:szCs w:val="20"/>
        </w:rPr>
        <w:t xml:space="preserve"> Due 2060, or collectively, the March 2020 Notes. Interest on the March 2020 Notes is payable on April 1 and October 1 of each year.</w:t>
      </w:r>
    </w:p>
    <w:p w14:paraId="540671D6" w14:textId="77777777" w:rsidR="00611BDD" w:rsidRDefault="002E18C7">
      <w:pPr>
        <w:spacing w:before="120" w:after="120"/>
        <w:jc w:val="both"/>
      </w:pPr>
      <w:r>
        <w:rPr>
          <w:rFonts w:ascii="sans-serif" w:eastAsia="sans-serif" w:hAnsi="sans-serif" w:cs="sans-serif"/>
          <w:color w:val="000000"/>
          <w:sz w:val="20"/>
          <w:szCs w:val="20"/>
        </w:rPr>
        <w:t>In September 2016, we issued $1.00 billion of the 2.20% Notes Due 2021 and $1.00 billion of the 3.20% Notes Due 2026, or co</w:t>
      </w:r>
      <w:r>
        <w:rPr>
          <w:rFonts w:ascii="sans-serif" w:eastAsia="sans-serif" w:hAnsi="sans-serif" w:cs="sans-serif"/>
          <w:color w:val="000000"/>
          <w:sz w:val="20"/>
          <w:szCs w:val="20"/>
        </w:rPr>
        <w:t xml:space="preserve">llectively, the September 2016 Notes. Interest on the September 2016 Notes is payable on March 16 and September 16 of each year. On August 16, 2021, we repaid the $1.00 billion of 2.20% Notes Due 2021. </w:t>
      </w:r>
    </w:p>
    <w:p w14:paraId="540671D7" w14:textId="77777777" w:rsidR="00611BDD" w:rsidRDefault="002E18C7">
      <w:pPr>
        <w:spacing w:after="180"/>
        <w:jc w:val="both"/>
      </w:pPr>
      <w:r>
        <w:rPr>
          <w:rFonts w:ascii="sans-serif" w:eastAsia="sans-serif" w:hAnsi="sans-serif" w:cs="sans-serif"/>
          <w:color w:val="000000"/>
          <w:sz w:val="20"/>
          <w:szCs w:val="20"/>
        </w:rPr>
        <w:t>The September 2016 Notes, the March 2020 Notes, and t</w:t>
      </w:r>
      <w:r>
        <w:rPr>
          <w:rFonts w:ascii="sans-serif" w:eastAsia="sans-serif" w:hAnsi="sans-serif" w:cs="sans-serif"/>
          <w:color w:val="000000"/>
          <w:sz w:val="20"/>
          <w:szCs w:val="20"/>
        </w:rPr>
        <w:t xml:space="preserve">he June 2021 Notes, or collectively, the Notes, are our unsecured senior obligations and rank equally in right of payment with all existing and future unsecured and unsubordinated indebtedness. The Notes are structurally subordinated to the liabilities of </w:t>
      </w:r>
      <w:r>
        <w:rPr>
          <w:rFonts w:ascii="sans-serif" w:eastAsia="sans-serif" w:hAnsi="sans-serif" w:cs="sans-serif"/>
          <w:color w:val="000000"/>
          <w:sz w:val="20"/>
          <w:szCs w:val="20"/>
        </w:rPr>
        <w:t>our subsidiaries and are effectively subordinated to any secured indebtedness to the extent of the value of the assets securing such indebtedness. All existing and future liabilities of our subsidiaries will be effectively senior to the Notes.</w:t>
      </w:r>
    </w:p>
    <w:p w14:paraId="540671D8" w14:textId="77777777" w:rsidR="00611BDD" w:rsidRDefault="002E18C7">
      <w:pPr>
        <w:spacing w:after="180"/>
        <w:jc w:val="both"/>
      </w:pPr>
      <w:r>
        <w:rPr>
          <w:rFonts w:ascii="sans-serif" w:eastAsia="sans-serif" w:hAnsi="sans-serif" w:cs="sans-serif"/>
          <w:color w:val="000000"/>
          <w:sz w:val="20"/>
          <w:szCs w:val="20"/>
        </w:rPr>
        <w:t>The carrying</w:t>
      </w:r>
      <w:r>
        <w:rPr>
          <w:rFonts w:ascii="sans-serif" w:eastAsia="sans-serif" w:hAnsi="sans-serif" w:cs="sans-serif"/>
          <w:color w:val="000000"/>
          <w:sz w:val="20"/>
          <w:szCs w:val="20"/>
        </w:rPr>
        <w:t xml:space="preserve"> value of the Notes and the associated interest rates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46"/>
        <w:gridCol w:w="3711"/>
        <w:gridCol w:w="38"/>
        <w:gridCol w:w="36"/>
        <w:gridCol w:w="36"/>
        <w:gridCol w:w="36"/>
        <w:gridCol w:w="66"/>
        <w:gridCol w:w="993"/>
        <w:gridCol w:w="36"/>
        <w:gridCol w:w="36"/>
        <w:gridCol w:w="36"/>
        <w:gridCol w:w="36"/>
        <w:gridCol w:w="62"/>
        <w:gridCol w:w="889"/>
        <w:gridCol w:w="36"/>
        <w:gridCol w:w="36"/>
        <w:gridCol w:w="36"/>
        <w:gridCol w:w="36"/>
        <w:gridCol w:w="122"/>
        <w:gridCol w:w="855"/>
        <w:gridCol w:w="36"/>
        <w:gridCol w:w="36"/>
        <w:gridCol w:w="36"/>
        <w:gridCol w:w="36"/>
        <w:gridCol w:w="123"/>
        <w:gridCol w:w="855"/>
        <w:gridCol w:w="36"/>
      </w:tblGrid>
      <w:tr w:rsidR="00611BDD" w14:paraId="540671F4" w14:textId="77777777">
        <w:tc>
          <w:tcPr>
            <w:tcW w:w="50" w:type="pct"/>
            <w:shd w:val="clear" w:color="auto" w:fill="auto"/>
            <w:vAlign w:val="bottom"/>
          </w:tcPr>
          <w:p w14:paraId="540671D9" w14:textId="77777777" w:rsidR="00611BDD" w:rsidRDefault="00611BDD">
            <w:pPr>
              <w:rPr>
                <w:rFonts w:ascii="宋体"/>
              </w:rPr>
            </w:pPr>
          </w:p>
        </w:tc>
        <w:tc>
          <w:tcPr>
            <w:tcW w:w="2247" w:type="pct"/>
            <w:shd w:val="clear" w:color="auto" w:fill="auto"/>
            <w:vAlign w:val="bottom"/>
          </w:tcPr>
          <w:p w14:paraId="540671DA" w14:textId="77777777" w:rsidR="00611BDD" w:rsidRDefault="00611BDD">
            <w:pPr>
              <w:rPr>
                <w:rFonts w:ascii="宋体"/>
              </w:rPr>
            </w:pPr>
          </w:p>
        </w:tc>
        <w:tc>
          <w:tcPr>
            <w:tcW w:w="5" w:type="pct"/>
            <w:shd w:val="clear" w:color="auto" w:fill="auto"/>
            <w:vAlign w:val="bottom"/>
          </w:tcPr>
          <w:p w14:paraId="540671DB" w14:textId="77777777" w:rsidR="00611BDD" w:rsidRDefault="00611BDD">
            <w:pPr>
              <w:rPr>
                <w:rFonts w:ascii="宋体"/>
              </w:rPr>
            </w:pPr>
          </w:p>
        </w:tc>
        <w:tc>
          <w:tcPr>
            <w:tcW w:w="5" w:type="pct"/>
            <w:shd w:val="clear" w:color="auto" w:fill="auto"/>
            <w:vAlign w:val="bottom"/>
          </w:tcPr>
          <w:p w14:paraId="540671DC" w14:textId="77777777" w:rsidR="00611BDD" w:rsidRDefault="00611BDD">
            <w:pPr>
              <w:rPr>
                <w:rFonts w:ascii="宋体"/>
              </w:rPr>
            </w:pPr>
          </w:p>
        </w:tc>
        <w:tc>
          <w:tcPr>
            <w:tcW w:w="26" w:type="pct"/>
            <w:shd w:val="clear" w:color="auto" w:fill="auto"/>
            <w:vAlign w:val="bottom"/>
          </w:tcPr>
          <w:p w14:paraId="540671DD" w14:textId="77777777" w:rsidR="00611BDD" w:rsidRDefault="00611BDD">
            <w:pPr>
              <w:rPr>
                <w:rFonts w:ascii="宋体"/>
              </w:rPr>
            </w:pPr>
          </w:p>
        </w:tc>
        <w:tc>
          <w:tcPr>
            <w:tcW w:w="5" w:type="pct"/>
            <w:shd w:val="clear" w:color="auto" w:fill="auto"/>
            <w:vAlign w:val="bottom"/>
          </w:tcPr>
          <w:p w14:paraId="540671DE" w14:textId="77777777" w:rsidR="00611BDD" w:rsidRDefault="00611BDD">
            <w:pPr>
              <w:rPr>
                <w:rFonts w:ascii="宋体"/>
              </w:rPr>
            </w:pPr>
          </w:p>
        </w:tc>
        <w:tc>
          <w:tcPr>
            <w:tcW w:w="50" w:type="pct"/>
            <w:shd w:val="clear" w:color="auto" w:fill="auto"/>
            <w:vAlign w:val="bottom"/>
          </w:tcPr>
          <w:p w14:paraId="540671DF" w14:textId="77777777" w:rsidR="00611BDD" w:rsidRDefault="00611BDD">
            <w:pPr>
              <w:rPr>
                <w:rFonts w:ascii="宋体"/>
              </w:rPr>
            </w:pPr>
          </w:p>
        </w:tc>
        <w:tc>
          <w:tcPr>
            <w:tcW w:w="646" w:type="pct"/>
            <w:shd w:val="clear" w:color="auto" w:fill="auto"/>
            <w:vAlign w:val="bottom"/>
          </w:tcPr>
          <w:p w14:paraId="540671E0" w14:textId="77777777" w:rsidR="00611BDD" w:rsidRDefault="00611BDD">
            <w:pPr>
              <w:rPr>
                <w:rFonts w:ascii="宋体"/>
              </w:rPr>
            </w:pPr>
          </w:p>
        </w:tc>
        <w:tc>
          <w:tcPr>
            <w:tcW w:w="5" w:type="pct"/>
            <w:shd w:val="clear" w:color="auto" w:fill="auto"/>
            <w:vAlign w:val="bottom"/>
          </w:tcPr>
          <w:p w14:paraId="540671E1" w14:textId="77777777" w:rsidR="00611BDD" w:rsidRDefault="00611BDD">
            <w:pPr>
              <w:rPr>
                <w:rFonts w:ascii="宋体"/>
              </w:rPr>
            </w:pPr>
          </w:p>
        </w:tc>
        <w:tc>
          <w:tcPr>
            <w:tcW w:w="5" w:type="pct"/>
            <w:shd w:val="clear" w:color="auto" w:fill="auto"/>
            <w:vAlign w:val="bottom"/>
          </w:tcPr>
          <w:p w14:paraId="540671E2" w14:textId="77777777" w:rsidR="00611BDD" w:rsidRDefault="00611BDD">
            <w:pPr>
              <w:rPr>
                <w:rFonts w:ascii="宋体"/>
              </w:rPr>
            </w:pPr>
          </w:p>
        </w:tc>
        <w:tc>
          <w:tcPr>
            <w:tcW w:w="41" w:type="pct"/>
            <w:shd w:val="clear" w:color="auto" w:fill="auto"/>
            <w:vAlign w:val="bottom"/>
          </w:tcPr>
          <w:p w14:paraId="540671E3" w14:textId="77777777" w:rsidR="00611BDD" w:rsidRDefault="00611BDD">
            <w:pPr>
              <w:rPr>
                <w:rFonts w:ascii="宋体"/>
              </w:rPr>
            </w:pPr>
          </w:p>
        </w:tc>
        <w:tc>
          <w:tcPr>
            <w:tcW w:w="5" w:type="pct"/>
            <w:shd w:val="clear" w:color="auto" w:fill="auto"/>
            <w:vAlign w:val="bottom"/>
          </w:tcPr>
          <w:p w14:paraId="540671E4" w14:textId="77777777" w:rsidR="00611BDD" w:rsidRDefault="00611BDD">
            <w:pPr>
              <w:rPr>
                <w:rFonts w:ascii="宋体"/>
              </w:rPr>
            </w:pPr>
          </w:p>
        </w:tc>
        <w:tc>
          <w:tcPr>
            <w:tcW w:w="50" w:type="pct"/>
            <w:shd w:val="clear" w:color="auto" w:fill="auto"/>
            <w:vAlign w:val="bottom"/>
          </w:tcPr>
          <w:p w14:paraId="540671E5" w14:textId="77777777" w:rsidR="00611BDD" w:rsidRDefault="00611BDD">
            <w:pPr>
              <w:rPr>
                <w:rFonts w:ascii="宋体"/>
              </w:rPr>
            </w:pPr>
          </w:p>
        </w:tc>
        <w:tc>
          <w:tcPr>
            <w:tcW w:w="566" w:type="pct"/>
            <w:shd w:val="clear" w:color="auto" w:fill="auto"/>
            <w:vAlign w:val="bottom"/>
          </w:tcPr>
          <w:p w14:paraId="540671E6" w14:textId="77777777" w:rsidR="00611BDD" w:rsidRDefault="00611BDD">
            <w:pPr>
              <w:rPr>
                <w:rFonts w:ascii="宋体"/>
              </w:rPr>
            </w:pPr>
          </w:p>
        </w:tc>
        <w:tc>
          <w:tcPr>
            <w:tcW w:w="5" w:type="pct"/>
            <w:shd w:val="clear" w:color="auto" w:fill="auto"/>
            <w:vAlign w:val="bottom"/>
          </w:tcPr>
          <w:p w14:paraId="540671E7" w14:textId="77777777" w:rsidR="00611BDD" w:rsidRDefault="00611BDD">
            <w:pPr>
              <w:rPr>
                <w:rFonts w:ascii="宋体"/>
              </w:rPr>
            </w:pPr>
          </w:p>
        </w:tc>
        <w:tc>
          <w:tcPr>
            <w:tcW w:w="5" w:type="pct"/>
            <w:shd w:val="clear" w:color="auto" w:fill="auto"/>
            <w:vAlign w:val="bottom"/>
          </w:tcPr>
          <w:p w14:paraId="540671E8" w14:textId="77777777" w:rsidR="00611BDD" w:rsidRDefault="00611BDD">
            <w:pPr>
              <w:rPr>
                <w:rFonts w:ascii="宋体"/>
              </w:rPr>
            </w:pPr>
          </w:p>
        </w:tc>
        <w:tc>
          <w:tcPr>
            <w:tcW w:w="41" w:type="pct"/>
            <w:shd w:val="clear" w:color="auto" w:fill="auto"/>
            <w:vAlign w:val="bottom"/>
          </w:tcPr>
          <w:p w14:paraId="540671E9" w14:textId="77777777" w:rsidR="00611BDD" w:rsidRDefault="00611BDD">
            <w:pPr>
              <w:rPr>
                <w:rFonts w:ascii="宋体"/>
              </w:rPr>
            </w:pPr>
          </w:p>
        </w:tc>
        <w:tc>
          <w:tcPr>
            <w:tcW w:w="5" w:type="pct"/>
            <w:shd w:val="clear" w:color="auto" w:fill="auto"/>
            <w:vAlign w:val="bottom"/>
          </w:tcPr>
          <w:p w14:paraId="540671EA" w14:textId="77777777" w:rsidR="00611BDD" w:rsidRDefault="00611BDD">
            <w:pPr>
              <w:rPr>
                <w:rFonts w:ascii="宋体"/>
              </w:rPr>
            </w:pPr>
          </w:p>
        </w:tc>
        <w:tc>
          <w:tcPr>
            <w:tcW w:w="50" w:type="pct"/>
            <w:shd w:val="clear" w:color="auto" w:fill="auto"/>
            <w:vAlign w:val="bottom"/>
          </w:tcPr>
          <w:p w14:paraId="540671EB" w14:textId="77777777" w:rsidR="00611BDD" w:rsidRDefault="00611BDD">
            <w:pPr>
              <w:rPr>
                <w:rFonts w:ascii="宋体"/>
              </w:rPr>
            </w:pPr>
          </w:p>
        </w:tc>
        <w:tc>
          <w:tcPr>
            <w:tcW w:w="537" w:type="pct"/>
            <w:shd w:val="clear" w:color="auto" w:fill="auto"/>
            <w:vAlign w:val="bottom"/>
          </w:tcPr>
          <w:p w14:paraId="540671EC" w14:textId="77777777" w:rsidR="00611BDD" w:rsidRDefault="00611BDD">
            <w:pPr>
              <w:rPr>
                <w:rFonts w:ascii="宋体"/>
              </w:rPr>
            </w:pPr>
          </w:p>
        </w:tc>
        <w:tc>
          <w:tcPr>
            <w:tcW w:w="5" w:type="pct"/>
            <w:shd w:val="clear" w:color="auto" w:fill="auto"/>
            <w:vAlign w:val="bottom"/>
          </w:tcPr>
          <w:p w14:paraId="540671ED" w14:textId="77777777" w:rsidR="00611BDD" w:rsidRDefault="00611BDD">
            <w:pPr>
              <w:rPr>
                <w:rFonts w:ascii="宋体"/>
              </w:rPr>
            </w:pPr>
          </w:p>
        </w:tc>
        <w:tc>
          <w:tcPr>
            <w:tcW w:w="5" w:type="pct"/>
            <w:shd w:val="clear" w:color="auto" w:fill="auto"/>
            <w:vAlign w:val="bottom"/>
          </w:tcPr>
          <w:p w14:paraId="540671EE" w14:textId="77777777" w:rsidR="00611BDD" w:rsidRDefault="00611BDD">
            <w:pPr>
              <w:rPr>
                <w:rFonts w:ascii="宋体"/>
              </w:rPr>
            </w:pPr>
          </w:p>
        </w:tc>
        <w:tc>
          <w:tcPr>
            <w:tcW w:w="41" w:type="pct"/>
            <w:shd w:val="clear" w:color="auto" w:fill="auto"/>
            <w:vAlign w:val="bottom"/>
          </w:tcPr>
          <w:p w14:paraId="540671EF" w14:textId="77777777" w:rsidR="00611BDD" w:rsidRDefault="00611BDD">
            <w:pPr>
              <w:rPr>
                <w:rFonts w:ascii="宋体"/>
              </w:rPr>
            </w:pPr>
          </w:p>
        </w:tc>
        <w:tc>
          <w:tcPr>
            <w:tcW w:w="5" w:type="pct"/>
            <w:shd w:val="clear" w:color="auto" w:fill="auto"/>
            <w:vAlign w:val="bottom"/>
          </w:tcPr>
          <w:p w14:paraId="540671F0" w14:textId="77777777" w:rsidR="00611BDD" w:rsidRDefault="00611BDD">
            <w:pPr>
              <w:rPr>
                <w:rFonts w:ascii="宋体"/>
              </w:rPr>
            </w:pPr>
          </w:p>
        </w:tc>
        <w:tc>
          <w:tcPr>
            <w:tcW w:w="50" w:type="pct"/>
            <w:shd w:val="clear" w:color="auto" w:fill="auto"/>
            <w:vAlign w:val="bottom"/>
          </w:tcPr>
          <w:p w14:paraId="540671F1" w14:textId="77777777" w:rsidR="00611BDD" w:rsidRDefault="00611BDD">
            <w:pPr>
              <w:rPr>
                <w:rFonts w:ascii="宋体"/>
              </w:rPr>
            </w:pPr>
          </w:p>
        </w:tc>
        <w:tc>
          <w:tcPr>
            <w:tcW w:w="537" w:type="pct"/>
            <w:shd w:val="clear" w:color="auto" w:fill="auto"/>
            <w:vAlign w:val="bottom"/>
          </w:tcPr>
          <w:p w14:paraId="540671F2" w14:textId="77777777" w:rsidR="00611BDD" w:rsidRDefault="00611BDD">
            <w:pPr>
              <w:rPr>
                <w:rFonts w:ascii="宋体"/>
              </w:rPr>
            </w:pPr>
          </w:p>
        </w:tc>
        <w:tc>
          <w:tcPr>
            <w:tcW w:w="5" w:type="pct"/>
            <w:shd w:val="clear" w:color="auto" w:fill="auto"/>
            <w:vAlign w:val="bottom"/>
          </w:tcPr>
          <w:p w14:paraId="540671F3" w14:textId="77777777" w:rsidR="00611BDD" w:rsidRDefault="00611BDD">
            <w:pPr>
              <w:rPr>
                <w:rFonts w:ascii="宋体"/>
              </w:rPr>
            </w:pPr>
          </w:p>
        </w:tc>
      </w:tr>
      <w:tr w:rsidR="00611BDD" w14:paraId="540671FF" w14:textId="77777777">
        <w:tc>
          <w:tcPr>
            <w:tcW w:w="0" w:type="auto"/>
            <w:gridSpan w:val="3"/>
            <w:shd w:val="clear" w:color="auto" w:fill="auto"/>
            <w:tcMar>
              <w:top w:w="0" w:type="dxa"/>
              <w:left w:w="20" w:type="dxa"/>
              <w:bottom w:w="0" w:type="dxa"/>
              <w:right w:w="20" w:type="dxa"/>
            </w:tcMar>
            <w:vAlign w:val="bottom"/>
          </w:tcPr>
          <w:p w14:paraId="540671F5"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1F6"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1F7" w14:textId="77777777" w:rsidR="00611BDD" w:rsidRDefault="002E18C7">
            <w:pPr>
              <w:pBdr>
                <w:top w:val="none" w:sz="0" w:space="0" w:color="auto"/>
                <w:left w:val="none" w:sz="0" w:space="0" w:color="auto"/>
                <w:bottom w:val="none" w:sz="0" w:space="0" w:color="auto"/>
                <w:right w:val="none" w:sz="0" w:space="0" w:color="auto"/>
              </w:pBdr>
              <w:jc w:val="center"/>
              <w:textAlignment w:val="bottom"/>
            </w:pPr>
            <w:r>
              <w:rPr>
                <w:rFonts w:ascii="sans-serif" w:eastAsia="sans-serif" w:hAnsi="sans-serif" w:cs="sans-serif"/>
                <w:b/>
                <w:bCs/>
                <w:color w:val="000000"/>
                <w:sz w:val="20"/>
                <w:szCs w:val="20"/>
              </w:rPr>
              <w:t>Expected</w:t>
            </w:r>
          </w:p>
          <w:p w14:paraId="540671F8" w14:textId="77777777" w:rsidR="00611BDD" w:rsidRDefault="002E18C7">
            <w:pPr>
              <w:pBdr>
                <w:top w:val="none" w:sz="0" w:space="0" w:color="auto"/>
                <w:left w:val="none" w:sz="0" w:space="0" w:color="auto"/>
                <w:bottom w:val="none" w:sz="0" w:space="0" w:color="auto"/>
                <w:right w:val="none" w:sz="0" w:space="0" w:color="auto"/>
              </w:pBdr>
              <w:jc w:val="center"/>
              <w:textAlignment w:val="bottom"/>
            </w:pPr>
            <w:r>
              <w:rPr>
                <w:rFonts w:ascii="sans-serif" w:eastAsia="sans-serif" w:hAnsi="sans-serif" w:cs="sans-serif"/>
                <w:b/>
                <w:bCs/>
                <w:color w:val="000000"/>
                <w:sz w:val="20"/>
                <w:szCs w:val="20"/>
              </w:rPr>
              <w:t>Remaining Term (years)</w:t>
            </w:r>
          </w:p>
        </w:tc>
        <w:tc>
          <w:tcPr>
            <w:tcW w:w="0" w:type="auto"/>
            <w:gridSpan w:val="3"/>
            <w:shd w:val="clear" w:color="auto" w:fill="auto"/>
            <w:tcMar>
              <w:top w:w="0" w:type="dxa"/>
              <w:left w:w="20" w:type="dxa"/>
              <w:bottom w:w="0" w:type="dxa"/>
              <w:right w:w="20" w:type="dxa"/>
            </w:tcMar>
            <w:vAlign w:val="bottom"/>
          </w:tcPr>
          <w:p w14:paraId="540671F9"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1FA" w14:textId="77777777" w:rsidR="00611BDD" w:rsidRDefault="002E18C7">
            <w:pPr>
              <w:jc w:val="center"/>
              <w:textAlignment w:val="bottom"/>
            </w:pPr>
            <w:r>
              <w:rPr>
                <w:rFonts w:ascii="sans-serif" w:eastAsia="sans-serif" w:hAnsi="sans-serif" w:cs="sans-serif"/>
                <w:b/>
                <w:bCs/>
                <w:color w:val="000000"/>
                <w:sz w:val="20"/>
                <w:szCs w:val="20"/>
              </w:rPr>
              <w:t>Effective</w:t>
            </w:r>
            <w:r>
              <w:rPr>
                <w:rFonts w:ascii="sans-serif" w:eastAsia="sans-serif" w:hAnsi="sans-serif" w:cs="sans-serif"/>
                <w:b/>
                <w:bCs/>
                <w:color w:val="000000"/>
                <w:sz w:val="20"/>
                <w:szCs w:val="20"/>
              </w:rPr>
              <w:br/>
              <w:t>Interest Rate</w:t>
            </w:r>
          </w:p>
        </w:tc>
        <w:tc>
          <w:tcPr>
            <w:tcW w:w="0" w:type="auto"/>
            <w:gridSpan w:val="3"/>
            <w:shd w:val="clear" w:color="auto" w:fill="auto"/>
            <w:tcMar>
              <w:top w:w="0" w:type="dxa"/>
              <w:left w:w="20" w:type="dxa"/>
              <w:bottom w:w="0" w:type="dxa"/>
              <w:right w:w="20" w:type="dxa"/>
            </w:tcMar>
            <w:vAlign w:val="bottom"/>
          </w:tcPr>
          <w:p w14:paraId="540671FB"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1FC" w14:textId="77777777" w:rsidR="00611BDD" w:rsidRDefault="002E18C7">
            <w:pPr>
              <w:jc w:val="center"/>
              <w:textAlignment w:val="bottom"/>
            </w:pPr>
            <w:r>
              <w:rPr>
                <w:rFonts w:ascii="sans-serif" w:eastAsia="sans-serif" w:hAnsi="sans-serif" w:cs="sans-serif"/>
                <w:b/>
                <w:bCs/>
                <w:color w:val="000000"/>
                <w:sz w:val="20"/>
                <w:szCs w:val="20"/>
              </w:rPr>
              <w:t>August 1, 2021</w:t>
            </w:r>
          </w:p>
        </w:tc>
        <w:tc>
          <w:tcPr>
            <w:tcW w:w="0" w:type="auto"/>
            <w:gridSpan w:val="3"/>
            <w:shd w:val="clear" w:color="auto" w:fill="auto"/>
            <w:tcMar>
              <w:top w:w="0" w:type="dxa"/>
              <w:left w:w="20" w:type="dxa"/>
              <w:bottom w:w="0" w:type="dxa"/>
              <w:right w:w="20" w:type="dxa"/>
            </w:tcMar>
            <w:vAlign w:val="bottom"/>
          </w:tcPr>
          <w:p w14:paraId="540671FD"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1FE" w14:textId="77777777" w:rsidR="00611BDD" w:rsidRDefault="002E18C7">
            <w:pPr>
              <w:jc w:val="center"/>
              <w:textAlignment w:val="bottom"/>
            </w:pPr>
            <w:r>
              <w:rPr>
                <w:rFonts w:ascii="sans-serif" w:eastAsia="sans-serif" w:hAnsi="sans-serif" w:cs="sans-serif"/>
                <w:b/>
                <w:bCs/>
                <w:color w:val="000000"/>
                <w:sz w:val="20"/>
                <w:szCs w:val="20"/>
              </w:rPr>
              <w:t>January 31, 2021</w:t>
            </w:r>
          </w:p>
        </w:tc>
      </w:tr>
      <w:tr w:rsidR="00611BDD" w14:paraId="54067209" w14:textId="77777777">
        <w:trPr>
          <w:trHeight w:val="60"/>
        </w:trPr>
        <w:tc>
          <w:tcPr>
            <w:tcW w:w="0" w:type="auto"/>
            <w:gridSpan w:val="3"/>
            <w:shd w:val="clear" w:color="auto" w:fill="auto"/>
            <w:tcMar>
              <w:top w:w="0" w:type="dxa"/>
              <w:left w:w="20" w:type="dxa"/>
              <w:bottom w:w="0" w:type="dxa"/>
              <w:right w:w="20" w:type="dxa"/>
            </w:tcMar>
            <w:vAlign w:val="bottom"/>
          </w:tcPr>
          <w:p w14:paraId="54067200"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201"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202"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203"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204"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205"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206"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207"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208" w14:textId="77777777" w:rsidR="00611BDD" w:rsidRDefault="00611BDD">
            <w:pPr>
              <w:rPr>
                <w:rFonts w:ascii="宋体"/>
              </w:rPr>
            </w:pPr>
          </w:p>
        </w:tc>
      </w:tr>
      <w:tr w:rsidR="00611BDD" w14:paraId="54067211" w14:textId="77777777">
        <w:tc>
          <w:tcPr>
            <w:tcW w:w="0" w:type="auto"/>
            <w:gridSpan w:val="3"/>
            <w:shd w:val="clear" w:color="auto" w:fill="auto"/>
            <w:tcMar>
              <w:top w:w="0" w:type="dxa"/>
              <w:left w:w="20" w:type="dxa"/>
              <w:bottom w:w="0" w:type="dxa"/>
              <w:right w:w="20" w:type="dxa"/>
            </w:tcMar>
            <w:vAlign w:val="bottom"/>
          </w:tcPr>
          <w:p w14:paraId="5406720A"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20B"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20C"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20D"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20E"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20F" w14:textId="77777777" w:rsidR="00611BDD" w:rsidRDefault="00611BDD">
            <w:pPr>
              <w:rPr>
                <w:rFonts w:ascii="宋体"/>
              </w:rPr>
            </w:pPr>
          </w:p>
        </w:tc>
        <w:tc>
          <w:tcPr>
            <w:tcW w:w="0" w:type="auto"/>
            <w:gridSpan w:val="9"/>
            <w:shd w:val="clear" w:color="auto" w:fill="auto"/>
            <w:tcMar>
              <w:top w:w="40" w:type="dxa"/>
              <w:left w:w="20" w:type="dxa"/>
              <w:bottom w:w="40" w:type="dxa"/>
              <w:right w:w="20" w:type="dxa"/>
            </w:tcMar>
            <w:vAlign w:val="bottom"/>
          </w:tcPr>
          <w:p w14:paraId="54067210" w14:textId="77777777" w:rsidR="00611BDD" w:rsidRDefault="002E18C7">
            <w:pPr>
              <w:jc w:val="center"/>
              <w:textAlignment w:val="bottom"/>
            </w:pPr>
            <w:r>
              <w:rPr>
                <w:rFonts w:ascii="sans-serif" w:eastAsia="sans-serif" w:hAnsi="sans-serif" w:cs="sans-serif"/>
                <w:i/>
                <w:iCs/>
                <w:color w:val="000000"/>
                <w:sz w:val="20"/>
                <w:szCs w:val="20"/>
              </w:rPr>
              <w:t>(In millions)</w:t>
            </w:r>
          </w:p>
        </w:tc>
      </w:tr>
      <w:tr w:rsidR="00611BDD" w14:paraId="5406721F" w14:textId="77777777">
        <w:tc>
          <w:tcPr>
            <w:tcW w:w="0" w:type="auto"/>
            <w:gridSpan w:val="3"/>
            <w:shd w:val="clear" w:color="auto" w:fill="E2EFD9"/>
            <w:tcMar>
              <w:top w:w="40" w:type="dxa"/>
              <w:left w:w="20" w:type="dxa"/>
              <w:bottom w:w="40" w:type="dxa"/>
              <w:right w:w="20" w:type="dxa"/>
            </w:tcMar>
            <w:vAlign w:val="center"/>
          </w:tcPr>
          <w:p w14:paraId="54067212" w14:textId="77777777" w:rsidR="00611BDD" w:rsidRDefault="002E18C7">
            <w:pPr>
              <w:pBdr>
                <w:top w:val="none" w:sz="0" w:space="0" w:color="auto"/>
                <w:left w:val="none" w:sz="0" w:space="0" w:color="auto"/>
                <w:bottom w:val="none" w:sz="0" w:space="0" w:color="auto"/>
                <w:right w:val="none" w:sz="0" w:space="0" w:color="auto"/>
              </w:pBdr>
              <w:textAlignment w:val="center"/>
            </w:pPr>
            <w:r>
              <w:rPr>
                <w:rFonts w:ascii="sans-serif" w:eastAsia="sans-serif" w:hAnsi="sans-serif" w:cs="sans-serif"/>
                <w:color w:val="000000"/>
                <w:sz w:val="20"/>
                <w:szCs w:val="20"/>
              </w:rPr>
              <w:t>2.20% Notes Due 2021</w:t>
            </w:r>
          </w:p>
        </w:tc>
        <w:tc>
          <w:tcPr>
            <w:tcW w:w="0" w:type="auto"/>
            <w:gridSpan w:val="3"/>
            <w:shd w:val="clear" w:color="auto" w:fill="E2EFD9"/>
            <w:tcMar>
              <w:top w:w="0" w:type="dxa"/>
              <w:left w:w="20" w:type="dxa"/>
              <w:bottom w:w="0" w:type="dxa"/>
              <w:right w:w="20" w:type="dxa"/>
            </w:tcMar>
            <w:vAlign w:val="bottom"/>
          </w:tcPr>
          <w:p w14:paraId="54067213" w14:textId="77777777" w:rsidR="00611BDD" w:rsidRDefault="00611BDD">
            <w:pPr>
              <w:rPr>
                <w:rFonts w:ascii="宋体"/>
              </w:rPr>
            </w:pPr>
          </w:p>
        </w:tc>
        <w:tc>
          <w:tcPr>
            <w:tcW w:w="0" w:type="auto"/>
            <w:gridSpan w:val="3"/>
            <w:shd w:val="clear" w:color="auto" w:fill="E2EFD9"/>
            <w:tcMar>
              <w:top w:w="40" w:type="dxa"/>
              <w:left w:w="20" w:type="dxa"/>
              <w:bottom w:w="40" w:type="dxa"/>
              <w:right w:w="20" w:type="dxa"/>
            </w:tcMar>
            <w:vAlign w:val="bottom"/>
          </w:tcPr>
          <w:p w14:paraId="54067214" w14:textId="77777777" w:rsidR="00611BDD" w:rsidRDefault="002E18C7">
            <w:pPr>
              <w:jc w:val="center"/>
              <w:textAlignment w:val="bottom"/>
            </w:pPr>
            <w:r>
              <w:rPr>
                <w:rFonts w:ascii="sans-serif" w:eastAsia="sans-serif" w:hAnsi="sans-serif" w:cs="sans-serif"/>
                <w:color w:val="000000"/>
                <w:sz w:val="20"/>
                <w:szCs w:val="20"/>
              </w:rPr>
              <w:t>0.1</w:t>
            </w:r>
          </w:p>
        </w:tc>
        <w:tc>
          <w:tcPr>
            <w:tcW w:w="0" w:type="auto"/>
            <w:gridSpan w:val="3"/>
            <w:shd w:val="clear" w:color="auto" w:fill="E2EFD9"/>
            <w:tcMar>
              <w:top w:w="0" w:type="dxa"/>
              <w:left w:w="20" w:type="dxa"/>
              <w:bottom w:w="0" w:type="dxa"/>
              <w:right w:w="20" w:type="dxa"/>
            </w:tcMar>
            <w:vAlign w:val="bottom"/>
          </w:tcPr>
          <w:p w14:paraId="54067215" w14:textId="77777777" w:rsidR="00611BDD" w:rsidRDefault="00611BDD">
            <w:pPr>
              <w:rPr>
                <w:rFonts w:ascii="宋体"/>
              </w:rPr>
            </w:pPr>
          </w:p>
        </w:tc>
        <w:tc>
          <w:tcPr>
            <w:tcW w:w="0" w:type="auto"/>
            <w:gridSpan w:val="3"/>
            <w:shd w:val="clear" w:color="auto" w:fill="E2EFD9"/>
            <w:tcMar>
              <w:top w:w="40" w:type="dxa"/>
              <w:left w:w="20" w:type="dxa"/>
              <w:bottom w:w="40" w:type="dxa"/>
              <w:right w:w="20" w:type="dxa"/>
            </w:tcMar>
            <w:vAlign w:val="bottom"/>
          </w:tcPr>
          <w:p w14:paraId="54067216" w14:textId="77777777" w:rsidR="00611BDD" w:rsidRDefault="002E18C7">
            <w:pPr>
              <w:jc w:val="center"/>
              <w:textAlignment w:val="bottom"/>
            </w:pPr>
            <w:r>
              <w:rPr>
                <w:rFonts w:ascii="sans-serif" w:eastAsia="sans-serif" w:hAnsi="sans-serif" w:cs="sans-serif"/>
                <w:color w:val="000000"/>
                <w:sz w:val="20"/>
                <w:szCs w:val="20"/>
              </w:rPr>
              <w:t>2.38%</w:t>
            </w:r>
          </w:p>
        </w:tc>
        <w:tc>
          <w:tcPr>
            <w:tcW w:w="0" w:type="auto"/>
            <w:gridSpan w:val="3"/>
            <w:shd w:val="clear" w:color="auto" w:fill="E2EFD9"/>
            <w:tcMar>
              <w:top w:w="0" w:type="dxa"/>
              <w:left w:w="20" w:type="dxa"/>
              <w:bottom w:w="0" w:type="dxa"/>
              <w:right w:w="20" w:type="dxa"/>
            </w:tcMar>
            <w:vAlign w:val="bottom"/>
          </w:tcPr>
          <w:p w14:paraId="54067217"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218"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219" w14:textId="77777777" w:rsidR="00611BDD" w:rsidRDefault="002E18C7">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left w:w="0" w:type="dxa"/>
              <w:bottom w:w="40" w:type="dxa"/>
              <w:right w:w="20" w:type="dxa"/>
            </w:tcMar>
            <w:vAlign w:val="bottom"/>
          </w:tcPr>
          <w:p w14:paraId="5406721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21B"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21C"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21D" w14:textId="77777777" w:rsidR="00611BDD" w:rsidRDefault="002E18C7">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left w:w="0" w:type="dxa"/>
              <w:bottom w:w="40" w:type="dxa"/>
              <w:right w:w="20" w:type="dxa"/>
            </w:tcMar>
            <w:vAlign w:val="bottom"/>
          </w:tcPr>
          <w:p w14:paraId="5406721E" w14:textId="77777777" w:rsidR="00611BDD" w:rsidRDefault="00611BDD">
            <w:pPr>
              <w:jc w:val="right"/>
              <w:rPr>
                <w:rFonts w:ascii="宋体"/>
              </w:rPr>
            </w:pPr>
          </w:p>
        </w:tc>
      </w:tr>
      <w:tr w:rsidR="00611BDD" w14:paraId="5406722B" w14:textId="77777777">
        <w:tc>
          <w:tcPr>
            <w:tcW w:w="0" w:type="auto"/>
            <w:gridSpan w:val="3"/>
            <w:shd w:val="clear" w:color="auto" w:fill="FFFFFF"/>
            <w:tcMar>
              <w:top w:w="40" w:type="dxa"/>
              <w:left w:w="20" w:type="dxa"/>
              <w:bottom w:w="40" w:type="dxa"/>
              <w:right w:w="20" w:type="dxa"/>
            </w:tcMar>
            <w:vAlign w:val="center"/>
          </w:tcPr>
          <w:p w14:paraId="54067220" w14:textId="77777777" w:rsidR="00611BDD" w:rsidRDefault="002E18C7">
            <w:pPr>
              <w:pBdr>
                <w:top w:val="none" w:sz="0" w:space="0" w:color="auto"/>
                <w:left w:val="none" w:sz="0" w:space="0" w:color="auto"/>
                <w:bottom w:val="none" w:sz="0" w:space="0" w:color="auto"/>
                <w:right w:val="none" w:sz="0" w:space="0" w:color="auto"/>
              </w:pBdr>
              <w:textAlignment w:val="center"/>
            </w:pPr>
            <w:r>
              <w:rPr>
                <w:rFonts w:ascii="sans-serif" w:eastAsia="sans-serif" w:hAnsi="sans-serif" w:cs="sans-serif"/>
                <w:color w:val="000000"/>
                <w:sz w:val="20"/>
                <w:szCs w:val="20"/>
              </w:rPr>
              <w:t>0.309% Notes Due 2023</w:t>
            </w:r>
          </w:p>
        </w:tc>
        <w:tc>
          <w:tcPr>
            <w:tcW w:w="0" w:type="auto"/>
            <w:gridSpan w:val="3"/>
            <w:shd w:val="clear" w:color="auto" w:fill="FFFFFF"/>
            <w:tcMar>
              <w:top w:w="0" w:type="dxa"/>
              <w:left w:w="20" w:type="dxa"/>
              <w:bottom w:w="0" w:type="dxa"/>
              <w:right w:w="20" w:type="dxa"/>
            </w:tcMar>
            <w:vAlign w:val="bottom"/>
          </w:tcPr>
          <w:p w14:paraId="54067221" w14:textId="77777777" w:rsidR="00611BDD" w:rsidRDefault="00611BDD">
            <w:pPr>
              <w:rPr>
                <w:rFonts w:ascii="宋体"/>
              </w:rPr>
            </w:pPr>
          </w:p>
        </w:tc>
        <w:tc>
          <w:tcPr>
            <w:tcW w:w="0" w:type="auto"/>
            <w:gridSpan w:val="3"/>
            <w:shd w:val="clear" w:color="auto" w:fill="FFFFFF"/>
            <w:tcMar>
              <w:top w:w="40" w:type="dxa"/>
              <w:left w:w="20" w:type="dxa"/>
              <w:bottom w:w="40" w:type="dxa"/>
              <w:right w:w="20" w:type="dxa"/>
            </w:tcMar>
            <w:vAlign w:val="bottom"/>
          </w:tcPr>
          <w:p w14:paraId="54067222" w14:textId="77777777" w:rsidR="00611BDD" w:rsidRDefault="002E18C7">
            <w:pPr>
              <w:jc w:val="center"/>
              <w:textAlignment w:val="bottom"/>
            </w:pPr>
            <w:r>
              <w:rPr>
                <w:rFonts w:ascii="sans-serif" w:eastAsia="sans-serif" w:hAnsi="sans-serif" w:cs="sans-serif"/>
                <w:color w:val="000000"/>
                <w:sz w:val="20"/>
                <w:szCs w:val="20"/>
              </w:rPr>
              <w:t>1.9</w:t>
            </w:r>
          </w:p>
        </w:tc>
        <w:tc>
          <w:tcPr>
            <w:tcW w:w="0" w:type="auto"/>
            <w:gridSpan w:val="3"/>
            <w:shd w:val="clear" w:color="auto" w:fill="FFFFFF"/>
            <w:tcMar>
              <w:top w:w="0" w:type="dxa"/>
              <w:left w:w="20" w:type="dxa"/>
              <w:bottom w:w="0" w:type="dxa"/>
              <w:right w:w="20" w:type="dxa"/>
            </w:tcMar>
            <w:vAlign w:val="bottom"/>
          </w:tcPr>
          <w:p w14:paraId="54067223" w14:textId="77777777" w:rsidR="00611BDD" w:rsidRDefault="00611BDD">
            <w:pPr>
              <w:rPr>
                <w:rFonts w:ascii="宋体"/>
              </w:rPr>
            </w:pPr>
          </w:p>
        </w:tc>
        <w:tc>
          <w:tcPr>
            <w:tcW w:w="0" w:type="auto"/>
            <w:gridSpan w:val="3"/>
            <w:shd w:val="clear" w:color="auto" w:fill="FFFFFF"/>
            <w:tcMar>
              <w:top w:w="40" w:type="dxa"/>
              <w:left w:w="20" w:type="dxa"/>
              <w:bottom w:w="40" w:type="dxa"/>
              <w:right w:w="20" w:type="dxa"/>
            </w:tcMar>
            <w:vAlign w:val="bottom"/>
          </w:tcPr>
          <w:p w14:paraId="54067224" w14:textId="77777777" w:rsidR="00611BDD" w:rsidRDefault="002E18C7">
            <w:pPr>
              <w:jc w:val="center"/>
              <w:textAlignment w:val="bottom"/>
            </w:pPr>
            <w:r>
              <w:rPr>
                <w:rFonts w:ascii="sans-serif" w:eastAsia="sans-serif" w:hAnsi="sans-serif" w:cs="sans-serif"/>
                <w:color w:val="000000"/>
                <w:sz w:val="20"/>
                <w:szCs w:val="20"/>
              </w:rPr>
              <w:t>0.41%</w:t>
            </w:r>
          </w:p>
        </w:tc>
        <w:tc>
          <w:tcPr>
            <w:tcW w:w="0" w:type="auto"/>
            <w:gridSpan w:val="3"/>
            <w:shd w:val="clear" w:color="auto" w:fill="FFFFFF"/>
            <w:tcMar>
              <w:top w:w="0" w:type="dxa"/>
              <w:left w:w="20" w:type="dxa"/>
              <w:bottom w:w="0" w:type="dxa"/>
              <w:right w:w="20" w:type="dxa"/>
            </w:tcMar>
            <w:vAlign w:val="bottom"/>
          </w:tcPr>
          <w:p w14:paraId="54067225"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226" w14:textId="77777777" w:rsidR="00611BDD" w:rsidRDefault="002E18C7">
            <w:pPr>
              <w:jc w:val="right"/>
              <w:textAlignment w:val="bottom"/>
            </w:pPr>
            <w:r>
              <w:rPr>
                <w:rFonts w:ascii="sans-serif" w:eastAsia="sans-serif" w:hAnsi="sans-serif" w:cs="sans-serif"/>
                <w:color w:val="000000"/>
                <w:sz w:val="20"/>
                <w:szCs w:val="20"/>
              </w:rPr>
              <w:t>1,250 </w:t>
            </w:r>
          </w:p>
        </w:tc>
        <w:tc>
          <w:tcPr>
            <w:tcW w:w="0" w:type="auto"/>
            <w:shd w:val="clear" w:color="auto" w:fill="FFFFFF"/>
            <w:tcMar>
              <w:top w:w="40" w:type="dxa"/>
              <w:left w:w="0" w:type="dxa"/>
              <w:bottom w:w="40" w:type="dxa"/>
              <w:right w:w="20" w:type="dxa"/>
            </w:tcMar>
            <w:vAlign w:val="bottom"/>
          </w:tcPr>
          <w:p w14:paraId="54067227"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228"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229"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406722A" w14:textId="77777777" w:rsidR="00611BDD" w:rsidRDefault="00611BDD">
            <w:pPr>
              <w:jc w:val="right"/>
              <w:rPr>
                <w:rFonts w:ascii="宋体"/>
              </w:rPr>
            </w:pPr>
          </w:p>
        </w:tc>
      </w:tr>
      <w:tr w:rsidR="00611BDD" w14:paraId="54067237" w14:textId="77777777">
        <w:tc>
          <w:tcPr>
            <w:tcW w:w="0" w:type="auto"/>
            <w:gridSpan w:val="3"/>
            <w:shd w:val="clear" w:color="auto" w:fill="E2EFD9"/>
            <w:tcMar>
              <w:top w:w="40" w:type="dxa"/>
              <w:left w:w="20" w:type="dxa"/>
              <w:bottom w:w="40" w:type="dxa"/>
              <w:right w:w="20" w:type="dxa"/>
            </w:tcMar>
            <w:vAlign w:val="center"/>
          </w:tcPr>
          <w:p w14:paraId="5406722C" w14:textId="77777777" w:rsidR="00611BDD" w:rsidRDefault="002E18C7">
            <w:pPr>
              <w:pBdr>
                <w:top w:val="none" w:sz="0" w:space="0" w:color="auto"/>
                <w:left w:val="none" w:sz="0" w:space="0" w:color="auto"/>
                <w:bottom w:val="none" w:sz="0" w:space="0" w:color="auto"/>
                <w:right w:val="none" w:sz="0" w:space="0" w:color="auto"/>
              </w:pBdr>
              <w:textAlignment w:val="center"/>
            </w:pPr>
            <w:r>
              <w:rPr>
                <w:rFonts w:ascii="sans-serif" w:eastAsia="sans-serif" w:hAnsi="sans-serif" w:cs="sans-serif"/>
                <w:color w:val="000000"/>
                <w:sz w:val="20"/>
                <w:szCs w:val="20"/>
              </w:rPr>
              <w:t>0.584% Note</w:t>
            </w:r>
            <w:r>
              <w:rPr>
                <w:rFonts w:ascii="sans-serif" w:eastAsia="sans-serif" w:hAnsi="sans-serif" w:cs="sans-serif"/>
                <w:color w:val="000000"/>
                <w:sz w:val="20"/>
                <w:szCs w:val="20"/>
              </w:rPr>
              <w:t>s Due 2024</w:t>
            </w:r>
          </w:p>
        </w:tc>
        <w:tc>
          <w:tcPr>
            <w:tcW w:w="0" w:type="auto"/>
            <w:gridSpan w:val="3"/>
            <w:shd w:val="clear" w:color="auto" w:fill="E2EFD9"/>
            <w:tcMar>
              <w:top w:w="0" w:type="dxa"/>
              <w:left w:w="20" w:type="dxa"/>
              <w:bottom w:w="0" w:type="dxa"/>
              <w:right w:w="20" w:type="dxa"/>
            </w:tcMar>
            <w:vAlign w:val="bottom"/>
          </w:tcPr>
          <w:p w14:paraId="5406722D" w14:textId="77777777" w:rsidR="00611BDD" w:rsidRDefault="00611BDD">
            <w:pPr>
              <w:rPr>
                <w:rFonts w:ascii="宋体"/>
              </w:rPr>
            </w:pPr>
          </w:p>
        </w:tc>
        <w:tc>
          <w:tcPr>
            <w:tcW w:w="0" w:type="auto"/>
            <w:gridSpan w:val="3"/>
            <w:shd w:val="clear" w:color="auto" w:fill="E2EFD9"/>
            <w:tcMar>
              <w:top w:w="40" w:type="dxa"/>
              <w:left w:w="20" w:type="dxa"/>
              <w:bottom w:w="40" w:type="dxa"/>
              <w:right w:w="20" w:type="dxa"/>
            </w:tcMar>
            <w:vAlign w:val="bottom"/>
          </w:tcPr>
          <w:p w14:paraId="5406722E" w14:textId="77777777" w:rsidR="00611BDD" w:rsidRDefault="002E18C7">
            <w:pPr>
              <w:jc w:val="center"/>
              <w:textAlignment w:val="bottom"/>
            </w:pPr>
            <w:r>
              <w:rPr>
                <w:rFonts w:ascii="sans-serif" w:eastAsia="sans-serif" w:hAnsi="sans-serif" w:cs="sans-serif"/>
                <w:color w:val="000000"/>
                <w:sz w:val="20"/>
                <w:szCs w:val="20"/>
              </w:rPr>
              <w:t>2.9</w:t>
            </w:r>
          </w:p>
        </w:tc>
        <w:tc>
          <w:tcPr>
            <w:tcW w:w="0" w:type="auto"/>
            <w:gridSpan w:val="3"/>
            <w:shd w:val="clear" w:color="auto" w:fill="E2EFD9"/>
            <w:tcMar>
              <w:top w:w="0" w:type="dxa"/>
              <w:left w:w="20" w:type="dxa"/>
              <w:bottom w:w="0" w:type="dxa"/>
              <w:right w:w="20" w:type="dxa"/>
            </w:tcMar>
            <w:vAlign w:val="bottom"/>
          </w:tcPr>
          <w:p w14:paraId="5406722F" w14:textId="77777777" w:rsidR="00611BDD" w:rsidRDefault="00611BDD">
            <w:pPr>
              <w:rPr>
                <w:rFonts w:ascii="宋体"/>
              </w:rPr>
            </w:pPr>
          </w:p>
        </w:tc>
        <w:tc>
          <w:tcPr>
            <w:tcW w:w="0" w:type="auto"/>
            <w:gridSpan w:val="3"/>
            <w:shd w:val="clear" w:color="auto" w:fill="E2EFD9"/>
            <w:tcMar>
              <w:top w:w="40" w:type="dxa"/>
              <w:left w:w="20" w:type="dxa"/>
              <w:bottom w:w="40" w:type="dxa"/>
              <w:right w:w="20" w:type="dxa"/>
            </w:tcMar>
            <w:vAlign w:val="bottom"/>
          </w:tcPr>
          <w:p w14:paraId="54067230" w14:textId="77777777" w:rsidR="00611BDD" w:rsidRDefault="002E18C7">
            <w:pPr>
              <w:jc w:val="center"/>
              <w:textAlignment w:val="bottom"/>
            </w:pPr>
            <w:r>
              <w:rPr>
                <w:rFonts w:ascii="sans-serif" w:eastAsia="sans-serif" w:hAnsi="sans-serif" w:cs="sans-serif"/>
                <w:color w:val="000000"/>
                <w:sz w:val="20"/>
                <w:szCs w:val="20"/>
              </w:rPr>
              <w:t>0.66%</w:t>
            </w:r>
          </w:p>
        </w:tc>
        <w:tc>
          <w:tcPr>
            <w:tcW w:w="0" w:type="auto"/>
            <w:gridSpan w:val="3"/>
            <w:shd w:val="clear" w:color="auto" w:fill="E2EFD9"/>
            <w:tcMar>
              <w:top w:w="0" w:type="dxa"/>
              <w:left w:w="20" w:type="dxa"/>
              <w:bottom w:w="0" w:type="dxa"/>
              <w:right w:w="20" w:type="dxa"/>
            </w:tcMar>
            <w:vAlign w:val="bottom"/>
          </w:tcPr>
          <w:p w14:paraId="54067231"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232" w14:textId="77777777" w:rsidR="00611BDD" w:rsidRDefault="002E18C7">
            <w:pPr>
              <w:jc w:val="right"/>
              <w:textAlignment w:val="bottom"/>
            </w:pPr>
            <w:r>
              <w:rPr>
                <w:rFonts w:ascii="sans-serif" w:eastAsia="sans-serif" w:hAnsi="sans-serif" w:cs="sans-serif"/>
                <w:color w:val="000000"/>
                <w:sz w:val="20"/>
                <w:szCs w:val="20"/>
              </w:rPr>
              <w:t>1,250 </w:t>
            </w:r>
          </w:p>
        </w:tc>
        <w:tc>
          <w:tcPr>
            <w:tcW w:w="0" w:type="auto"/>
            <w:shd w:val="clear" w:color="auto" w:fill="E2EFD9"/>
            <w:tcMar>
              <w:top w:w="40" w:type="dxa"/>
              <w:left w:w="0" w:type="dxa"/>
              <w:bottom w:w="40" w:type="dxa"/>
              <w:right w:w="20" w:type="dxa"/>
            </w:tcMar>
            <w:vAlign w:val="bottom"/>
          </w:tcPr>
          <w:p w14:paraId="5406723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234"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235"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4067236" w14:textId="77777777" w:rsidR="00611BDD" w:rsidRDefault="00611BDD">
            <w:pPr>
              <w:jc w:val="right"/>
              <w:rPr>
                <w:rFonts w:ascii="宋体"/>
              </w:rPr>
            </w:pPr>
          </w:p>
        </w:tc>
      </w:tr>
      <w:tr w:rsidR="00611BDD" w14:paraId="54067243" w14:textId="77777777">
        <w:tc>
          <w:tcPr>
            <w:tcW w:w="0" w:type="auto"/>
            <w:gridSpan w:val="3"/>
            <w:shd w:val="clear" w:color="auto" w:fill="FFFFFF"/>
            <w:tcMar>
              <w:top w:w="40" w:type="dxa"/>
              <w:left w:w="20" w:type="dxa"/>
              <w:bottom w:w="40" w:type="dxa"/>
              <w:right w:w="20" w:type="dxa"/>
            </w:tcMar>
            <w:vAlign w:val="center"/>
          </w:tcPr>
          <w:p w14:paraId="54067238" w14:textId="77777777" w:rsidR="00611BDD" w:rsidRDefault="002E18C7">
            <w:pPr>
              <w:pBdr>
                <w:top w:val="none" w:sz="0" w:space="0" w:color="auto"/>
                <w:left w:val="none" w:sz="0" w:space="0" w:color="auto"/>
                <w:bottom w:val="none" w:sz="0" w:space="0" w:color="auto"/>
                <w:right w:val="none" w:sz="0" w:space="0" w:color="auto"/>
              </w:pBdr>
              <w:textAlignment w:val="center"/>
            </w:pPr>
            <w:r>
              <w:rPr>
                <w:rFonts w:ascii="sans-serif" w:eastAsia="sans-serif" w:hAnsi="sans-serif" w:cs="sans-serif"/>
                <w:color w:val="000000"/>
                <w:sz w:val="20"/>
                <w:szCs w:val="20"/>
              </w:rPr>
              <w:t>3.20% Notes Due 2026</w:t>
            </w:r>
          </w:p>
        </w:tc>
        <w:tc>
          <w:tcPr>
            <w:tcW w:w="0" w:type="auto"/>
            <w:gridSpan w:val="3"/>
            <w:shd w:val="clear" w:color="auto" w:fill="FFFFFF"/>
            <w:tcMar>
              <w:top w:w="0" w:type="dxa"/>
              <w:left w:w="20" w:type="dxa"/>
              <w:bottom w:w="0" w:type="dxa"/>
              <w:right w:w="20" w:type="dxa"/>
            </w:tcMar>
            <w:vAlign w:val="bottom"/>
          </w:tcPr>
          <w:p w14:paraId="54067239" w14:textId="77777777" w:rsidR="00611BDD" w:rsidRDefault="00611BDD">
            <w:pPr>
              <w:rPr>
                <w:rFonts w:ascii="宋体"/>
              </w:rPr>
            </w:pPr>
          </w:p>
        </w:tc>
        <w:tc>
          <w:tcPr>
            <w:tcW w:w="0" w:type="auto"/>
            <w:gridSpan w:val="3"/>
            <w:shd w:val="clear" w:color="auto" w:fill="FFFFFF"/>
            <w:tcMar>
              <w:top w:w="40" w:type="dxa"/>
              <w:left w:w="20" w:type="dxa"/>
              <w:bottom w:w="40" w:type="dxa"/>
              <w:right w:w="20" w:type="dxa"/>
            </w:tcMar>
            <w:vAlign w:val="bottom"/>
          </w:tcPr>
          <w:p w14:paraId="5406723A" w14:textId="77777777" w:rsidR="00611BDD" w:rsidRDefault="002E18C7">
            <w:pPr>
              <w:jc w:val="center"/>
              <w:textAlignment w:val="bottom"/>
            </w:pPr>
            <w:r>
              <w:rPr>
                <w:rFonts w:ascii="sans-serif" w:eastAsia="sans-serif" w:hAnsi="sans-serif" w:cs="sans-serif"/>
                <w:color w:val="000000"/>
                <w:sz w:val="20"/>
                <w:szCs w:val="20"/>
              </w:rPr>
              <w:t>5.1</w:t>
            </w:r>
          </w:p>
        </w:tc>
        <w:tc>
          <w:tcPr>
            <w:tcW w:w="0" w:type="auto"/>
            <w:gridSpan w:val="3"/>
            <w:shd w:val="clear" w:color="auto" w:fill="FFFFFF"/>
            <w:tcMar>
              <w:top w:w="0" w:type="dxa"/>
              <w:left w:w="20" w:type="dxa"/>
              <w:bottom w:w="0" w:type="dxa"/>
              <w:right w:w="20" w:type="dxa"/>
            </w:tcMar>
            <w:vAlign w:val="bottom"/>
          </w:tcPr>
          <w:p w14:paraId="5406723B" w14:textId="77777777" w:rsidR="00611BDD" w:rsidRDefault="00611BDD">
            <w:pPr>
              <w:rPr>
                <w:rFonts w:ascii="宋体"/>
              </w:rPr>
            </w:pPr>
          </w:p>
        </w:tc>
        <w:tc>
          <w:tcPr>
            <w:tcW w:w="0" w:type="auto"/>
            <w:gridSpan w:val="3"/>
            <w:shd w:val="clear" w:color="auto" w:fill="FFFFFF"/>
            <w:tcMar>
              <w:top w:w="40" w:type="dxa"/>
              <w:left w:w="20" w:type="dxa"/>
              <w:bottom w:w="40" w:type="dxa"/>
              <w:right w:w="20" w:type="dxa"/>
            </w:tcMar>
            <w:vAlign w:val="bottom"/>
          </w:tcPr>
          <w:p w14:paraId="5406723C" w14:textId="77777777" w:rsidR="00611BDD" w:rsidRDefault="002E18C7">
            <w:pPr>
              <w:jc w:val="center"/>
              <w:textAlignment w:val="bottom"/>
            </w:pPr>
            <w:r>
              <w:rPr>
                <w:rFonts w:ascii="sans-serif" w:eastAsia="sans-serif" w:hAnsi="sans-serif" w:cs="sans-serif"/>
                <w:color w:val="000000"/>
                <w:sz w:val="20"/>
                <w:szCs w:val="20"/>
              </w:rPr>
              <w:t>3.31%</w:t>
            </w:r>
          </w:p>
        </w:tc>
        <w:tc>
          <w:tcPr>
            <w:tcW w:w="0" w:type="auto"/>
            <w:gridSpan w:val="3"/>
            <w:shd w:val="clear" w:color="auto" w:fill="FFFFFF"/>
            <w:tcMar>
              <w:top w:w="0" w:type="dxa"/>
              <w:left w:w="20" w:type="dxa"/>
              <w:bottom w:w="0" w:type="dxa"/>
              <w:right w:w="20" w:type="dxa"/>
            </w:tcMar>
            <w:vAlign w:val="bottom"/>
          </w:tcPr>
          <w:p w14:paraId="5406723D"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23E" w14:textId="77777777" w:rsidR="00611BDD" w:rsidRDefault="002E18C7">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left w:w="0" w:type="dxa"/>
              <w:bottom w:w="40" w:type="dxa"/>
              <w:right w:w="20" w:type="dxa"/>
            </w:tcMar>
            <w:vAlign w:val="bottom"/>
          </w:tcPr>
          <w:p w14:paraId="5406723F"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240"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241" w14:textId="77777777" w:rsidR="00611BDD" w:rsidRDefault="002E18C7">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left w:w="0" w:type="dxa"/>
              <w:bottom w:w="40" w:type="dxa"/>
              <w:right w:w="20" w:type="dxa"/>
            </w:tcMar>
            <w:vAlign w:val="bottom"/>
          </w:tcPr>
          <w:p w14:paraId="54067242" w14:textId="77777777" w:rsidR="00611BDD" w:rsidRDefault="00611BDD">
            <w:pPr>
              <w:jc w:val="right"/>
              <w:rPr>
                <w:rFonts w:ascii="宋体"/>
              </w:rPr>
            </w:pPr>
          </w:p>
        </w:tc>
      </w:tr>
      <w:tr w:rsidR="00611BDD" w14:paraId="5406724F" w14:textId="77777777">
        <w:tc>
          <w:tcPr>
            <w:tcW w:w="0" w:type="auto"/>
            <w:gridSpan w:val="3"/>
            <w:shd w:val="clear" w:color="auto" w:fill="E2EFD9"/>
            <w:tcMar>
              <w:top w:w="40" w:type="dxa"/>
              <w:left w:w="20" w:type="dxa"/>
              <w:bottom w:w="40" w:type="dxa"/>
              <w:right w:w="20" w:type="dxa"/>
            </w:tcMar>
            <w:vAlign w:val="center"/>
          </w:tcPr>
          <w:p w14:paraId="54067244" w14:textId="77777777" w:rsidR="00611BDD" w:rsidRDefault="002E18C7">
            <w:pPr>
              <w:pBdr>
                <w:top w:val="none" w:sz="0" w:space="0" w:color="auto"/>
                <w:left w:val="none" w:sz="0" w:space="0" w:color="auto"/>
                <w:bottom w:val="none" w:sz="0" w:space="0" w:color="auto"/>
                <w:right w:val="none" w:sz="0" w:space="0" w:color="auto"/>
              </w:pBdr>
              <w:textAlignment w:val="center"/>
            </w:pPr>
            <w:r>
              <w:rPr>
                <w:rFonts w:ascii="sans-serif" w:eastAsia="sans-serif" w:hAnsi="sans-serif" w:cs="sans-serif"/>
                <w:color w:val="000000"/>
                <w:sz w:val="20"/>
                <w:szCs w:val="20"/>
              </w:rPr>
              <w:t>1.55% Notes</w:t>
            </w:r>
            <w:r>
              <w:rPr>
                <w:rFonts w:ascii="sans-serif" w:eastAsia="sans-serif" w:hAnsi="sans-serif" w:cs="sans-serif"/>
                <w:color w:val="000000"/>
                <w:sz w:val="20"/>
                <w:szCs w:val="20"/>
              </w:rPr>
              <w:t xml:space="preserve"> Due 2028</w:t>
            </w:r>
          </w:p>
        </w:tc>
        <w:tc>
          <w:tcPr>
            <w:tcW w:w="0" w:type="auto"/>
            <w:gridSpan w:val="3"/>
            <w:shd w:val="clear" w:color="auto" w:fill="E2EFD9"/>
            <w:tcMar>
              <w:top w:w="0" w:type="dxa"/>
              <w:left w:w="20" w:type="dxa"/>
              <w:bottom w:w="0" w:type="dxa"/>
              <w:right w:w="20" w:type="dxa"/>
            </w:tcMar>
            <w:vAlign w:val="bottom"/>
          </w:tcPr>
          <w:p w14:paraId="54067245" w14:textId="77777777" w:rsidR="00611BDD" w:rsidRDefault="00611BDD">
            <w:pPr>
              <w:rPr>
                <w:rFonts w:ascii="宋体"/>
              </w:rPr>
            </w:pPr>
          </w:p>
        </w:tc>
        <w:tc>
          <w:tcPr>
            <w:tcW w:w="0" w:type="auto"/>
            <w:gridSpan w:val="3"/>
            <w:shd w:val="clear" w:color="auto" w:fill="E2EFD9"/>
            <w:tcMar>
              <w:top w:w="40" w:type="dxa"/>
              <w:left w:w="20" w:type="dxa"/>
              <w:bottom w:w="40" w:type="dxa"/>
              <w:right w:w="20" w:type="dxa"/>
            </w:tcMar>
            <w:vAlign w:val="bottom"/>
          </w:tcPr>
          <w:p w14:paraId="54067246" w14:textId="77777777" w:rsidR="00611BDD" w:rsidRDefault="002E18C7">
            <w:pPr>
              <w:jc w:val="center"/>
              <w:textAlignment w:val="bottom"/>
            </w:pPr>
            <w:r>
              <w:rPr>
                <w:rFonts w:ascii="sans-serif" w:eastAsia="sans-serif" w:hAnsi="sans-serif" w:cs="sans-serif"/>
                <w:color w:val="000000"/>
                <w:sz w:val="20"/>
                <w:szCs w:val="20"/>
              </w:rPr>
              <w:t>6.9</w:t>
            </w:r>
          </w:p>
        </w:tc>
        <w:tc>
          <w:tcPr>
            <w:tcW w:w="0" w:type="auto"/>
            <w:gridSpan w:val="3"/>
            <w:shd w:val="clear" w:color="auto" w:fill="E2EFD9"/>
            <w:tcMar>
              <w:top w:w="0" w:type="dxa"/>
              <w:left w:w="20" w:type="dxa"/>
              <w:bottom w:w="0" w:type="dxa"/>
              <w:right w:w="20" w:type="dxa"/>
            </w:tcMar>
            <w:vAlign w:val="bottom"/>
          </w:tcPr>
          <w:p w14:paraId="54067247" w14:textId="77777777" w:rsidR="00611BDD" w:rsidRDefault="00611BDD">
            <w:pPr>
              <w:rPr>
                <w:rFonts w:ascii="宋体"/>
              </w:rPr>
            </w:pPr>
          </w:p>
        </w:tc>
        <w:tc>
          <w:tcPr>
            <w:tcW w:w="0" w:type="auto"/>
            <w:gridSpan w:val="3"/>
            <w:shd w:val="clear" w:color="auto" w:fill="E2EFD9"/>
            <w:tcMar>
              <w:top w:w="40" w:type="dxa"/>
              <w:left w:w="20" w:type="dxa"/>
              <w:bottom w:w="40" w:type="dxa"/>
              <w:right w:w="20" w:type="dxa"/>
            </w:tcMar>
            <w:vAlign w:val="bottom"/>
          </w:tcPr>
          <w:p w14:paraId="54067248" w14:textId="77777777" w:rsidR="00611BDD" w:rsidRDefault="002E18C7">
            <w:pPr>
              <w:jc w:val="center"/>
              <w:textAlignment w:val="bottom"/>
            </w:pPr>
            <w:r>
              <w:rPr>
                <w:rFonts w:ascii="sans-serif" w:eastAsia="sans-serif" w:hAnsi="sans-serif" w:cs="sans-serif"/>
                <w:color w:val="000000"/>
                <w:sz w:val="20"/>
                <w:szCs w:val="20"/>
              </w:rPr>
              <w:t>1.64%</w:t>
            </w:r>
          </w:p>
        </w:tc>
        <w:tc>
          <w:tcPr>
            <w:tcW w:w="0" w:type="auto"/>
            <w:gridSpan w:val="3"/>
            <w:shd w:val="clear" w:color="auto" w:fill="E2EFD9"/>
            <w:tcMar>
              <w:top w:w="0" w:type="dxa"/>
              <w:left w:w="20" w:type="dxa"/>
              <w:bottom w:w="0" w:type="dxa"/>
              <w:right w:w="20" w:type="dxa"/>
            </w:tcMar>
            <w:vAlign w:val="bottom"/>
          </w:tcPr>
          <w:p w14:paraId="54067249"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24A" w14:textId="77777777" w:rsidR="00611BDD" w:rsidRDefault="002E18C7">
            <w:pPr>
              <w:jc w:val="right"/>
              <w:textAlignment w:val="bottom"/>
            </w:pPr>
            <w:r>
              <w:rPr>
                <w:rFonts w:ascii="sans-serif" w:eastAsia="sans-serif" w:hAnsi="sans-serif" w:cs="sans-serif"/>
                <w:color w:val="000000"/>
                <w:sz w:val="20"/>
                <w:szCs w:val="20"/>
              </w:rPr>
              <w:t>1,250 </w:t>
            </w:r>
          </w:p>
        </w:tc>
        <w:tc>
          <w:tcPr>
            <w:tcW w:w="0" w:type="auto"/>
            <w:shd w:val="clear" w:color="auto" w:fill="E2EFD9"/>
            <w:tcMar>
              <w:top w:w="40" w:type="dxa"/>
              <w:left w:w="0" w:type="dxa"/>
              <w:bottom w:w="40" w:type="dxa"/>
              <w:right w:w="20" w:type="dxa"/>
            </w:tcMar>
            <w:vAlign w:val="bottom"/>
          </w:tcPr>
          <w:p w14:paraId="5406724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24C"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24D"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406724E" w14:textId="77777777" w:rsidR="00611BDD" w:rsidRDefault="00611BDD">
            <w:pPr>
              <w:jc w:val="right"/>
              <w:rPr>
                <w:rFonts w:ascii="宋体"/>
              </w:rPr>
            </w:pPr>
          </w:p>
        </w:tc>
      </w:tr>
      <w:tr w:rsidR="00611BDD" w14:paraId="5406725B" w14:textId="77777777">
        <w:tc>
          <w:tcPr>
            <w:tcW w:w="0" w:type="auto"/>
            <w:gridSpan w:val="3"/>
            <w:shd w:val="clear" w:color="auto" w:fill="FFFFFF"/>
            <w:tcMar>
              <w:top w:w="40" w:type="dxa"/>
              <w:left w:w="20" w:type="dxa"/>
              <w:bottom w:w="40" w:type="dxa"/>
              <w:right w:w="20" w:type="dxa"/>
            </w:tcMar>
            <w:vAlign w:val="center"/>
          </w:tcPr>
          <w:p w14:paraId="54067250" w14:textId="77777777" w:rsidR="00611BDD" w:rsidRDefault="002E18C7">
            <w:pPr>
              <w:pBdr>
                <w:top w:val="none" w:sz="0" w:space="0" w:color="auto"/>
                <w:left w:val="none" w:sz="0" w:space="0" w:color="auto"/>
                <w:bottom w:val="none" w:sz="0" w:space="0" w:color="auto"/>
                <w:right w:val="none" w:sz="0" w:space="0" w:color="auto"/>
              </w:pBdr>
              <w:textAlignment w:val="center"/>
            </w:pPr>
            <w:r>
              <w:rPr>
                <w:rFonts w:ascii="sans-serif" w:eastAsia="sans-serif" w:hAnsi="sans-serif" w:cs="sans-serif"/>
                <w:color w:val="000000"/>
                <w:sz w:val="20"/>
                <w:szCs w:val="20"/>
              </w:rPr>
              <w:t>2.85% Notes</w:t>
            </w:r>
            <w:r>
              <w:rPr>
                <w:rFonts w:ascii="sans-serif" w:eastAsia="sans-serif" w:hAnsi="sans-serif" w:cs="sans-serif"/>
                <w:color w:val="000000"/>
                <w:sz w:val="20"/>
                <w:szCs w:val="20"/>
              </w:rPr>
              <w:t xml:space="preserve"> Due 2030</w:t>
            </w:r>
          </w:p>
        </w:tc>
        <w:tc>
          <w:tcPr>
            <w:tcW w:w="0" w:type="auto"/>
            <w:gridSpan w:val="3"/>
            <w:shd w:val="clear" w:color="auto" w:fill="FFFFFF"/>
            <w:tcMar>
              <w:top w:w="0" w:type="dxa"/>
              <w:left w:w="20" w:type="dxa"/>
              <w:bottom w:w="0" w:type="dxa"/>
              <w:right w:w="20" w:type="dxa"/>
            </w:tcMar>
            <w:vAlign w:val="bottom"/>
          </w:tcPr>
          <w:p w14:paraId="54067251" w14:textId="77777777" w:rsidR="00611BDD" w:rsidRDefault="00611BDD">
            <w:pPr>
              <w:rPr>
                <w:rFonts w:ascii="宋体"/>
              </w:rPr>
            </w:pPr>
          </w:p>
        </w:tc>
        <w:tc>
          <w:tcPr>
            <w:tcW w:w="0" w:type="auto"/>
            <w:gridSpan w:val="3"/>
            <w:shd w:val="clear" w:color="auto" w:fill="FFFFFF"/>
            <w:tcMar>
              <w:top w:w="40" w:type="dxa"/>
              <w:left w:w="20" w:type="dxa"/>
              <w:bottom w:w="40" w:type="dxa"/>
              <w:right w:w="20" w:type="dxa"/>
            </w:tcMar>
            <w:vAlign w:val="bottom"/>
          </w:tcPr>
          <w:p w14:paraId="54067252" w14:textId="77777777" w:rsidR="00611BDD" w:rsidRDefault="002E18C7">
            <w:pPr>
              <w:jc w:val="center"/>
              <w:textAlignment w:val="bottom"/>
            </w:pPr>
            <w:r>
              <w:rPr>
                <w:rFonts w:ascii="sans-serif" w:eastAsia="sans-serif" w:hAnsi="sans-serif" w:cs="sans-serif"/>
                <w:color w:val="000000"/>
                <w:sz w:val="20"/>
                <w:szCs w:val="20"/>
              </w:rPr>
              <w:t>8.7</w:t>
            </w:r>
          </w:p>
        </w:tc>
        <w:tc>
          <w:tcPr>
            <w:tcW w:w="0" w:type="auto"/>
            <w:gridSpan w:val="3"/>
            <w:shd w:val="clear" w:color="auto" w:fill="FFFFFF"/>
            <w:tcMar>
              <w:top w:w="0" w:type="dxa"/>
              <w:left w:w="20" w:type="dxa"/>
              <w:bottom w:w="0" w:type="dxa"/>
              <w:right w:w="20" w:type="dxa"/>
            </w:tcMar>
            <w:vAlign w:val="bottom"/>
          </w:tcPr>
          <w:p w14:paraId="54067253" w14:textId="77777777" w:rsidR="00611BDD" w:rsidRDefault="00611BDD">
            <w:pPr>
              <w:rPr>
                <w:rFonts w:ascii="宋体"/>
              </w:rPr>
            </w:pPr>
          </w:p>
        </w:tc>
        <w:tc>
          <w:tcPr>
            <w:tcW w:w="0" w:type="auto"/>
            <w:gridSpan w:val="3"/>
            <w:shd w:val="clear" w:color="auto" w:fill="FFFFFF"/>
            <w:tcMar>
              <w:top w:w="40" w:type="dxa"/>
              <w:left w:w="20" w:type="dxa"/>
              <w:bottom w:w="40" w:type="dxa"/>
              <w:right w:w="20" w:type="dxa"/>
            </w:tcMar>
            <w:vAlign w:val="bottom"/>
          </w:tcPr>
          <w:p w14:paraId="54067254" w14:textId="77777777" w:rsidR="00611BDD" w:rsidRDefault="002E18C7">
            <w:pPr>
              <w:jc w:val="center"/>
              <w:textAlignment w:val="bottom"/>
            </w:pPr>
            <w:r>
              <w:rPr>
                <w:rFonts w:ascii="sans-serif" w:eastAsia="sans-serif" w:hAnsi="sans-serif" w:cs="sans-serif"/>
                <w:color w:val="000000"/>
                <w:sz w:val="20"/>
                <w:szCs w:val="20"/>
              </w:rPr>
              <w:t>2.93%</w:t>
            </w:r>
          </w:p>
        </w:tc>
        <w:tc>
          <w:tcPr>
            <w:tcW w:w="0" w:type="auto"/>
            <w:gridSpan w:val="3"/>
            <w:shd w:val="clear" w:color="auto" w:fill="FFFFFF"/>
            <w:tcMar>
              <w:top w:w="0" w:type="dxa"/>
              <w:left w:w="20" w:type="dxa"/>
              <w:bottom w:w="0" w:type="dxa"/>
              <w:right w:w="20" w:type="dxa"/>
            </w:tcMar>
            <w:vAlign w:val="bottom"/>
          </w:tcPr>
          <w:p w14:paraId="54067255"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256" w14:textId="77777777" w:rsidR="00611BDD" w:rsidRDefault="002E18C7">
            <w:pPr>
              <w:jc w:val="right"/>
              <w:textAlignment w:val="bottom"/>
            </w:pPr>
            <w:r>
              <w:rPr>
                <w:rFonts w:ascii="sans-serif" w:eastAsia="sans-serif" w:hAnsi="sans-serif" w:cs="sans-serif"/>
                <w:color w:val="000000"/>
                <w:sz w:val="20"/>
                <w:szCs w:val="20"/>
              </w:rPr>
              <w:t>1,500 </w:t>
            </w:r>
          </w:p>
        </w:tc>
        <w:tc>
          <w:tcPr>
            <w:tcW w:w="0" w:type="auto"/>
            <w:shd w:val="clear" w:color="auto" w:fill="FFFFFF"/>
            <w:tcMar>
              <w:top w:w="40" w:type="dxa"/>
              <w:left w:w="0" w:type="dxa"/>
              <w:bottom w:w="40" w:type="dxa"/>
              <w:right w:w="20" w:type="dxa"/>
            </w:tcMar>
            <w:vAlign w:val="bottom"/>
          </w:tcPr>
          <w:p w14:paraId="54067257"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258"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259" w14:textId="77777777" w:rsidR="00611BDD" w:rsidRDefault="002E18C7">
            <w:pPr>
              <w:jc w:val="right"/>
              <w:textAlignment w:val="bottom"/>
            </w:pPr>
            <w:r>
              <w:rPr>
                <w:rFonts w:ascii="sans-serif" w:eastAsia="sans-serif" w:hAnsi="sans-serif" w:cs="sans-serif"/>
                <w:color w:val="000000"/>
                <w:sz w:val="20"/>
                <w:szCs w:val="20"/>
              </w:rPr>
              <w:t>1,500 </w:t>
            </w:r>
          </w:p>
        </w:tc>
        <w:tc>
          <w:tcPr>
            <w:tcW w:w="0" w:type="auto"/>
            <w:shd w:val="clear" w:color="auto" w:fill="FFFFFF"/>
            <w:tcMar>
              <w:top w:w="40" w:type="dxa"/>
              <w:left w:w="0" w:type="dxa"/>
              <w:bottom w:w="40" w:type="dxa"/>
              <w:right w:w="20" w:type="dxa"/>
            </w:tcMar>
            <w:vAlign w:val="bottom"/>
          </w:tcPr>
          <w:p w14:paraId="5406725A" w14:textId="77777777" w:rsidR="00611BDD" w:rsidRDefault="00611BDD">
            <w:pPr>
              <w:jc w:val="right"/>
              <w:rPr>
                <w:rFonts w:ascii="宋体"/>
              </w:rPr>
            </w:pPr>
          </w:p>
        </w:tc>
      </w:tr>
      <w:tr w:rsidR="00611BDD" w14:paraId="54067267" w14:textId="77777777">
        <w:tc>
          <w:tcPr>
            <w:tcW w:w="0" w:type="auto"/>
            <w:gridSpan w:val="3"/>
            <w:shd w:val="clear" w:color="auto" w:fill="E2EFD9"/>
            <w:tcMar>
              <w:top w:w="40" w:type="dxa"/>
              <w:left w:w="20" w:type="dxa"/>
              <w:bottom w:w="40" w:type="dxa"/>
              <w:right w:w="20" w:type="dxa"/>
            </w:tcMar>
            <w:vAlign w:val="center"/>
          </w:tcPr>
          <w:p w14:paraId="5406725C" w14:textId="77777777" w:rsidR="00611BDD" w:rsidRDefault="002E18C7">
            <w:pPr>
              <w:pBdr>
                <w:top w:val="none" w:sz="0" w:space="0" w:color="auto"/>
                <w:left w:val="none" w:sz="0" w:space="0" w:color="auto"/>
                <w:bottom w:val="none" w:sz="0" w:space="0" w:color="auto"/>
                <w:right w:val="none" w:sz="0" w:space="0" w:color="auto"/>
              </w:pBdr>
              <w:textAlignment w:val="center"/>
            </w:pPr>
            <w:r>
              <w:rPr>
                <w:rFonts w:ascii="sans-serif" w:eastAsia="sans-serif" w:hAnsi="sans-serif" w:cs="sans-serif"/>
                <w:color w:val="000000"/>
                <w:sz w:val="20"/>
                <w:szCs w:val="20"/>
              </w:rPr>
              <w:t>2.00% Notes</w:t>
            </w:r>
            <w:r>
              <w:rPr>
                <w:rFonts w:ascii="sans-serif" w:eastAsia="sans-serif" w:hAnsi="sans-serif" w:cs="sans-serif"/>
                <w:color w:val="000000"/>
                <w:sz w:val="20"/>
                <w:szCs w:val="20"/>
              </w:rPr>
              <w:t xml:space="preserve"> Due 2031</w:t>
            </w:r>
          </w:p>
        </w:tc>
        <w:tc>
          <w:tcPr>
            <w:tcW w:w="0" w:type="auto"/>
            <w:gridSpan w:val="3"/>
            <w:shd w:val="clear" w:color="auto" w:fill="E2EFD9"/>
            <w:tcMar>
              <w:top w:w="0" w:type="dxa"/>
              <w:left w:w="20" w:type="dxa"/>
              <w:bottom w:w="0" w:type="dxa"/>
              <w:right w:w="20" w:type="dxa"/>
            </w:tcMar>
            <w:vAlign w:val="bottom"/>
          </w:tcPr>
          <w:p w14:paraId="5406725D" w14:textId="77777777" w:rsidR="00611BDD" w:rsidRDefault="00611BDD">
            <w:pPr>
              <w:rPr>
                <w:rFonts w:ascii="宋体"/>
              </w:rPr>
            </w:pPr>
          </w:p>
        </w:tc>
        <w:tc>
          <w:tcPr>
            <w:tcW w:w="0" w:type="auto"/>
            <w:gridSpan w:val="3"/>
            <w:shd w:val="clear" w:color="auto" w:fill="E2EFD9"/>
            <w:tcMar>
              <w:top w:w="40" w:type="dxa"/>
              <w:left w:w="20" w:type="dxa"/>
              <w:bottom w:w="40" w:type="dxa"/>
              <w:right w:w="20" w:type="dxa"/>
            </w:tcMar>
            <w:vAlign w:val="bottom"/>
          </w:tcPr>
          <w:p w14:paraId="5406725E" w14:textId="77777777" w:rsidR="00611BDD" w:rsidRDefault="002E18C7">
            <w:pPr>
              <w:jc w:val="center"/>
              <w:textAlignment w:val="bottom"/>
            </w:pPr>
            <w:r>
              <w:rPr>
                <w:rFonts w:ascii="sans-serif" w:eastAsia="sans-serif" w:hAnsi="sans-serif" w:cs="sans-serif"/>
                <w:color w:val="000000"/>
                <w:sz w:val="20"/>
                <w:szCs w:val="20"/>
              </w:rPr>
              <w:t>9.9</w:t>
            </w:r>
          </w:p>
        </w:tc>
        <w:tc>
          <w:tcPr>
            <w:tcW w:w="0" w:type="auto"/>
            <w:gridSpan w:val="3"/>
            <w:shd w:val="clear" w:color="auto" w:fill="E2EFD9"/>
            <w:tcMar>
              <w:top w:w="0" w:type="dxa"/>
              <w:left w:w="20" w:type="dxa"/>
              <w:bottom w:w="0" w:type="dxa"/>
              <w:right w:w="20" w:type="dxa"/>
            </w:tcMar>
            <w:vAlign w:val="bottom"/>
          </w:tcPr>
          <w:p w14:paraId="5406725F" w14:textId="77777777" w:rsidR="00611BDD" w:rsidRDefault="00611BDD">
            <w:pPr>
              <w:rPr>
                <w:rFonts w:ascii="宋体"/>
              </w:rPr>
            </w:pPr>
          </w:p>
        </w:tc>
        <w:tc>
          <w:tcPr>
            <w:tcW w:w="0" w:type="auto"/>
            <w:gridSpan w:val="3"/>
            <w:shd w:val="clear" w:color="auto" w:fill="E2EFD9"/>
            <w:tcMar>
              <w:top w:w="40" w:type="dxa"/>
              <w:left w:w="20" w:type="dxa"/>
              <w:bottom w:w="40" w:type="dxa"/>
              <w:right w:w="20" w:type="dxa"/>
            </w:tcMar>
            <w:vAlign w:val="bottom"/>
          </w:tcPr>
          <w:p w14:paraId="54067260" w14:textId="77777777" w:rsidR="00611BDD" w:rsidRDefault="002E18C7">
            <w:pPr>
              <w:jc w:val="center"/>
              <w:textAlignment w:val="bottom"/>
            </w:pPr>
            <w:r>
              <w:rPr>
                <w:rFonts w:ascii="sans-serif" w:eastAsia="sans-serif" w:hAnsi="sans-serif" w:cs="sans-serif"/>
                <w:color w:val="000000"/>
                <w:sz w:val="20"/>
                <w:szCs w:val="20"/>
              </w:rPr>
              <w:t>2.09%</w:t>
            </w:r>
          </w:p>
        </w:tc>
        <w:tc>
          <w:tcPr>
            <w:tcW w:w="0" w:type="auto"/>
            <w:gridSpan w:val="3"/>
            <w:shd w:val="clear" w:color="auto" w:fill="E2EFD9"/>
            <w:tcMar>
              <w:top w:w="0" w:type="dxa"/>
              <w:left w:w="20" w:type="dxa"/>
              <w:bottom w:w="0" w:type="dxa"/>
              <w:right w:w="20" w:type="dxa"/>
            </w:tcMar>
            <w:vAlign w:val="bottom"/>
          </w:tcPr>
          <w:p w14:paraId="54067261"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262" w14:textId="77777777" w:rsidR="00611BDD" w:rsidRDefault="002E18C7">
            <w:pPr>
              <w:jc w:val="right"/>
              <w:textAlignment w:val="bottom"/>
            </w:pPr>
            <w:r>
              <w:rPr>
                <w:rFonts w:ascii="sans-serif" w:eastAsia="sans-serif" w:hAnsi="sans-serif" w:cs="sans-serif"/>
                <w:color w:val="000000"/>
                <w:sz w:val="20"/>
                <w:szCs w:val="20"/>
              </w:rPr>
              <w:t>1,250 </w:t>
            </w:r>
          </w:p>
        </w:tc>
        <w:tc>
          <w:tcPr>
            <w:tcW w:w="0" w:type="auto"/>
            <w:shd w:val="clear" w:color="auto" w:fill="E2EFD9"/>
            <w:tcMar>
              <w:top w:w="40" w:type="dxa"/>
              <w:left w:w="0" w:type="dxa"/>
              <w:bottom w:w="40" w:type="dxa"/>
              <w:right w:w="20" w:type="dxa"/>
            </w:tcMar>
            <w:vAlign w:val="bottom"/>
          </w:tcPr>
          <w:p w14:paraId="5406726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264"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265"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4067266" w14:textId="77777777" w:rsidR="00611BDD" w:rsidRDefault="00611BDD">
            <w:pPr>
              <w:jc w:val="right"/>
              <w:rPr>
                <w:rFonts w:ascii="宋体"/>
              </w:rPr>
            </w:pPr>
          </w:p>
        </w:tc>
      </w:tr>
      <w:tr w:rsidR="00611BDD" w14:paraId="54067273" w14:textId="77777777">
        <w:tc>
          <w:tcPr>
            <w:tcW w:w="0" w:type="auto"/>
            <w:gridSpan w:val="3"/>
            <w:shd w:val="clear" w:color="auto" w:fill="FFFFFF"/>
            <w:tcMar>
              <w:top w:w="40" w:type="dxa"/>
              <w:left w:w="20" w:type="dxa"/>
              <w:bottom w:w="40" w:type="dxa"/>
              <w:right w:w="20" w:type="dxa"/>
            </w:tcMar>
            <w:vAlign w:val="center"/>
          </w:tcPr>
          <w:p w14:paraId="54067268" w14:textId="77777777" w:rsidR="00611BDD" w:rsidRDefault="002E18C7">
            <w:pPr>
              <w:pBdr>
                <w:top w:val="none" w:sz="0" w:space="0" w:color="auto"/>
                <w:left w:val="none" w:sz="0" w:space="0" w:color="auto"/>
                <w:bottom w:val="none" w:sz="0" w:space="0" w:color="auto"/>
                <w:right w:val="none" w:sz="0" w:space="0" w:color="auto"/>
              </w:pBdr>
              <w:textAlignment w:val="center"/>
            </w:pPr>
            <w:r>
              <w:rPr>
                <w:rFonts w:ascii="sans-serif" w:eastAsia="sans-serif" w:hAnsi="sans-serif" w:cs="sans-serif"/>
                <w:color w:val="000000"/>
                <w:sz w:val="20"/>
                <w:szCs w:val="20"/>
              </w:rPr>
              <w:t>3.50% Notes Due 2040</w:t>
            </w:r>
          </w:p>
        </w:tc>
        <w:tc>
          <w:tcPr>
            <w:tcW w:w="0" w:type="auto"/>
            <w:gridSpan w:val="3"/>
            <w:shd w:val="clear" w:color="auto" w:fill="FFFFFF"/>
            <w:tcMar>
              <w:top w:w="0" w:type="dxa"/>
              <w:left w:w="20" w:type="dxa"/>
              <w:bottom w:w="0" w:type="dxa"/>
              <w:right w:w="20" w:type="dxa"/>
            </w:tcMar>
            <w:vAlign w:val="bottom"/>
          </w:tcPr>
          <w:p w14:paraId="54067269" w14:textId="77777777" w:rsidR="00611BDD" w:rsidRDefault="00611BDD">
            <w:pPr>
              <w:rPr>
                <w:rFonts w:ascii="宋体"/>
              </w:rPr>
            </w:pPr>
          </w:p>
        </w:tc>
        <w:tc>
          <w:tcPr>
            <w:tcW w:w="0" w:type="auto"/>
            <w:gridSpan w:val="3"/>
            <w:shd w:val="clear" w:color="auto" w:fill="FFFFFF"/>
            <w:tcMar>
              <w:top w:w="40" w:type="dxa"/>
              <w:left w:w="20" w:type="dxa"/>
              <w:bottom w:w="40" w:type="dxa"/>
              <w:right w:w="20" w:type="dxa"/>
            </w:tcMar>
            <w:vAlign w:val="bottom"/>
          </w:tcPr>
          <w:p w14:paraId="5406726A" w14:textId="77777777" w:rsidR="00611BDD" w:rsidRDefault="002E18C7">
            <w:pPr>
              <w:jc w:val="center"/>
              <w:textAlignment w:val="bottom"/>
            </w:pPr>
            <w:r>
              <w:rPr>
                <w:rFonts w:ascii="sans-serif" w:eastAsia="sans-serif" w:hAnsi="sans-serif" w:cs="sans-serif"/>
                <w:color w:val="000000"/>
                <w:sz w:val="20"/>
                <w:szCs w:val="20"/>
              </w:rPr>
              <w:t>18.7</w:t>
            </w:r>
          </w:p>
        </w:tc>
        <w:tc>
          <w:tcPr>
            <w:tcW w:w="0" w:type="auto"/>
            <w:gridSpan w:val="3"/>
            <w:shd w:val="clear" w:color="auto" w:fill="FFFFFF"/>
            <w:tcMar>
              <w:top w:w="0" w:type="dxa"/>
              <w:left w:w="20" w:type="dxa"/>
              <w:bottom w:w="0" w:type="dxa"/>
              <w:right w:w="20" w:type="dxa"/>
            </w:tcMar>
            <w:vAlign w:val="bottom"/>
          </w:tcPr>
          <w:p w14:paraId="5406726B" w14:textId="77777777" w:rsidR="00611BDD" w:rsidRDefault="00611BDD">
            <w:pPr>
              <w:rPr>
                <w:rFonts w:ascii="宋体"/>
              </w:rPr>
            </w:pPr>
          </w:p>
        </w:tc>
        <w:tc>
          <w:tcPr>
            <w:tcW w:w="0" w:type="auto"/>
            <w:gridSpan w:val="3"/>
            <w:shd w:val="clear" w:color="auto" w:fill="FFFFFF"/>
            <w:tcMar>
              <w:top w:w="40" w:type="dxa"/>
              <w:left w:w="20" w:type="dxa"/>
              <w:bottom w:w="40" w:type="dxa"/>
              <w:right w:w="20" w:type="dxa"/>
            </w:tcMar>
            <w:vAlign w:val="bottom"/>
          </w:tcPr>
          <w:p w14:paraId="5406726C" w14:textId="77777777" w:rsidR="00611BDD" w:rsidRDefault="002E18C7">
            <w:pPr>
              <w:jc w:val="center"/>
              <w:textAlignment w:val="bottom"/>
            </w:pPr>
            <w:r>
              <w:rPr>
                <w:rFonts w:ascii="sans-serif" w:eastAsia="sans-serif" w:hAnsi="sans-serif" w:cs="sans-serif"/>
                <w:color w:val="000000"/>
                <w:sz w:val="20"/>
                <w:szCs w:val="20"/>
              </w:rPr>
              <w:t>3.54%</w:t>
            </w:r>
          </w:p>
        </w:tc>
        <w:tc>
          <w:tcPr>
            <w:tcW w:w="0" w:type="auto"/>
            <w:gridSpan w:val="3"/>
            <w:shd w:val="clear" w:color="auto" w:fill="FFFFFF"/>
            <w:tcMar>
              <w:top w:w="0" w:type="dxa"/>
              <w:left w:w="20" w:type="dxa"/>
              <w:bottom w:w="0" w:type="dxa"/>
              <w:right w:w="20" w:type="dxa"/>
            </w:tcMar>
            <w:vAlign w:val="bottom"/>
          </w:tcPr>
          <w:p w14:paraId="5406726D"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26E" w14:textId="77777777" w:rsidR="00611BDD" w:rsidRDefault="002E18C7">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left w:w="0" w:type="dxa"/>
              <w:bottom w:w="40" w:type="dxa"/>
              <w:right w:w="20" w:type="dxa"/>
            </w:tcMar>
            <w:vAlign w:val="bottom"/>
          </w:tcPr>
          <w:p w14:paraId="5406726F"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270"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271" w14:textId="77777777" w:rsidR="00611BDD" w:rsidRDefault="002E18C7">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left w:w="0" w:type="dxa"/>
              <w:bottom w:w="40" w:type="dxa"/>
              <w:right w:w="20" w:type="dxa"/>
            </w:tcMar>
            <w:vAlign w:val="bottom"/>
          </w:tcPr>
          <w:p w14:paraId="54067272" w14:textId="77777777" w:rsidR="00611BDD" w:rsidRDefault="00611BDD">
            <w:pPr>
              <w:jc w:val="right"/>
              <w:rPr>
                <w:rFonts w:ascii="宋体"/>
              </w:rPr>
            </w:pPr>
          </w:p>
        </w:tc>
      </w:tr>
      <w:tr w:rsidR="00611BDD" w14:paraId="5406727F" w14:textId="77777777">
        <w:tc>
          <w:tcPr>
            <w:tcW w:w="0" w:type="auto"/>
            <w:gridSpan w:val="3"/>
            <w:shd w:val="clear" w:color="auto" w:fill="E2EFD9"/>
            <w:tcMar>
              <w:top w:w="40" w:type="dxa"/>
              <w:left w:w="20" w:type="dxa"/>
              <w:bottom w:w="40" w:type="dxa"/>
              <w:right w:w="20" w:type="dxa"/>
            </w:tcMar>
            <w:vAlign w:val="center"/>
          </w:tcPr>
          <w:p w14:paraId="54067274" w14:textId="77777777" w:rsidR="00611BDD" w:rsidRDefault="002E18C7">
            <w:pPr>
              <w:pBdr>
                <w:top w:val="none" w:sz="0" w:space="0" w:color="auto"/>
                <w:left w:val="none" w:sz="0" w:space="0" w:color="auto"/>
                <w:bottom w:val="none" w:sz="0" w:space="0" w:color="auto"/>
                <w:right w:val="none" w:sz="0" w:space="0" w:color="auto"/>
              </w:pBdr>
              <w:textAlignment w:val="center"/>
            </w:pPr>
            <w:r>
              <w:rPr>
                <w:rFonts w:ascii="sans-serif" w:eastAsia="sans-serif" w:hAnsi="sans-serif" w:cs="sans-serif"/>
                <w:color w:val="000000"/>
                <w:sz w:val="20"/>
                <w:szCs w:val="20"/>
              </w:rPr>
              <w:t>3.50% Notes</w:t>
            </w:r>
            <w:r>
              <w:rPr>
                <w:rFonts w:ascii="sans-serif" w:eastAsia="sans-serif" w:hAnsi="sans-serif" w:cs="sans-serif"/>
                <w:color w:val="000000"/>
                <w:sz w:val="20"/>
                <w:szCs w:val="20"/>
              </w:rPr>
              <w:t xml:space="preserve"> Due 2050</w:t>
            </w:r>
          </w:p>
        </w:tc>
        <w:tc>
          <w:tcPr>
            <w:tcW w:w="0" w:type="auto"/>
            <w:gridSpan w:val="3"/>
            <w:shd w:val="clear" w:color="auto" w:fill="E2EFD9"/>
            <w:tcMar>
              <w:top w:w="0" w:type="dxa"/>
              <w:left w:w="20" w:type="dxa"/>
              <w:bottom w:w="0" w:type="dxa"/>
              <w:right w:w="20" w:type="dxa"/>
            </w:tcMar>
            <w:vAlign w:val="bottom"/>
          </w:tcPr>
          <w:p w14:paraId="54067275" w14:textId="77777777" w:rsidR="00611BDD" w:rsidRDefault="00611BDD">
            <w:pPr>
              <w:rPr>
                <w:rFonts w:ascii="宋体"/>
              </w:rPr>
            </w:pPr>
          </w:p>
        </w:tc>
        <w:tc>
          <w:tcPr>
            <w:tcW w:w="0" w:type="auto"/>
            <w:gridSpan w:val="3"/>
            <w:shd w:val="clear" w:color="auto" w:fill="E2EFD9"/>
            <w:tcMar>
              <w:top w:w="40" w:type="dxa"/>
              <w:left w:w="20" w:type="dxa"/>
              <w:bottom w:w="40" w:type="dxa"/>
              <w:right w:w="20" w:type="dxa"/>
            </w:tcMar>
            <w:vAlign w:val="bottom"/>
          </w:tcPr>
          <w:p w14:paraId="54067276" w14:textId="77777777" w:rsidR="00611BDD" w:rsidRDefault="002E18C7">
            <w:pPr>
              <w:jc w:val="center"/>
              <w:textAlignment w:val="bottom"/>
            </w:pPr>
            <w:r>
              <w:rPr>
                <w:rFonts w:ascii="sans-serif" w:eastAsia="sans-serif" w:hAnsi="sans-serif" w:cs="sans-serif"/>
                <w:color w:val="000000"/>
                <w:sz w:val="20"/>
                <w:szCs w:val="20"/>
              </w:rPr>
              <w:t>28.7</w:t>
            </w:r>
          </w:p>
        </w:tc>
        <w:tc>
          <w:tcPr>
            <w:tcW w:w="0" w:type="auto"/>
            <w:gridSpan w:val="3"/>
            <w:shd w:val="clear" w:color="auto" w:fill="E2EFD9"/>
            <w:tcMar>
              <w:top w:w="0" w:type="dxa"/>
              <w:left w:w="20" w:type="dxa"/>
              <w:bottom w:w="0" w:type="dxa"/>
              <w:right w:w="20" w:type="dxa"/>
            </w:tcMar>
            <w:vAlign w:val="bottom"/>
          </w:tcPr>
          <w:p w14:paraId="54067277" w14:textId="77777777" w:rsidR="00611BDD" w:rsidRDefault="00611BDD">
            <w:pPr>
              <w:rPr>
                <w:rFonts w:ascii="宋体"/>
              </w:rPr>
            </w:pPr>
          </w:p>
        </w:tc>
        <w:tc>
          <w:tcPr>
            <w:tcW w:w="0" w:type="auto"/>
            <w:gridSpan w:val="3"/>
            <w:shd w:val="clear" w:color="auto" w:fill="E2EFD9"/>
            <w:tcMar>
              <w:top w:w="40" w:type="dxa"/>
              <w:left w:w="20" w:type="dxa"/>
              <w:bottom w:w="40" w:type="dxa"/>
              <w:right w:w="20" w:type="dxa"/>
            </w:tcMar>
            <w:vAlign w:val="bottom"/>
          </w:tcPr>
          <w:p w14:paraId="54067278" w14:textId="77777777" w:rsidR="00611BDD" w:rsidRDefault="002E18C7">
            <w:pPr>
              <w:jc w:val="center"/>
              <w:textAlignment w:val="bottom"/>
            </w:pPr>
            <w:r>
              <w:rPr>
                <w:rFonts w:ascii="sans-serif" w:eastAsia="sans-serif" w:hAnsi="sans-serif" w:cs="sans-serif"/>
                <w:color w:val="000000"/>
                <w:sz w:val="20"/>
                <w:szCs w:val="20"/>
              </w:rPr>
              <w:t>3.54%</w:t>
            </w:r>
          </w:p>
        </w:tc>
        <w:tc>
          <w:tcPr>
            <w:tcW w:w="0" w:type="auto"/>
            <w:gridSpan w:val="3"/>
            <w:shd w:val="clear" w:color="auto" w:fill="E2EFD9"/>
            <w:tcMar>
              <w:top w:w="0" w:type="dxa"/>
              <w:left w:w="20" w:type="dxa"/>
              <w:bottom w:w="0" w:type="dxa"/>
              <w:right w:w="20" w:type="dxa"/>
            </w:tcMar>
            <w:vAlign w:val="bottom"/>
          </w:tcPr>
          <w:p w14:paraId="54067279"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27A" w14:textId="77777777" w:rsidR="00611BDD" w:rsidRDefault="002E18C7">
            <w:pPr>
              <w:jc w:val="right"/>
              <w:textAlignment w:val="bottom"/>
            </w:pPr>
            <w:r>
              <w:rPr>
                <w:rFonts w:ascii="sans-serif" w:eastAsia="sans-serif" w:hAnsi="sans-serif" w:cs="sans-serif"/>
                <w:color w:val="000000"/>
                <w:sz w:val="20"/>
                <w:szCs w:val="20"/>
              </w:rPr>
              <w:t>2,000 </w:t>
            </w:r>
          </w:p>
        </w:tc>
        <w:tc>
          <w:tcPr>
            <w:tcW w:w="0" w:type="auto"/>
            <w:shd w:val="clear" w:color="auto" w:fill="E2EFD9"/>
            <w:tcMar>
              <w:top w:w="40" w:type="dxa"/>
              <w:left w:w="0" w:type="dxa"/>
              <w:bottom w:w="40" w:type="dxa"/>
              <w:right w:w="20" w:type="dxa"/>
            </w:tcMar>
            <w:vAlign w:val="bottom"/>
          </w:tcPr>
          <w:p w14:paraId="5406727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27C"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27D" w14:textId="77777777" w:rsidR="00611BDD" w:rsidRDefault="002E18C7">
            <w:pPr>
              <w:jc w:val="right"/>
              <w:textAlignment w:val="bottom"/>
            </w:pPr>
            <w:r>
              <w:rPr>
                <w:rFonts w:ascii="sans-serif" w:eastAsia="sans-serif" w:hAnsi="sans-serif" w:cs="sans-serif"/>
                <w:color w:val="000000"/>
                <w:sz w:val="20"/>
                <w:szCs w:val="20"/>
              </w:rPr>
              <w:t>2,000 </w:t>
            </w:r>
          </w:p>
        </w:tc>
        <w:tc>
          <w:tcPr>
            <w:tcW w:w="0" w:type="auto"/>
            <w:shd w:val="clear" w:color="auto" w:fill="E2EFD9"/>
            <w:tcMar>
              <w:top w:w="40" w:type="dxa"/>
              <w:left w:w="0" w:type="dxa"/>
              <w:bottom w:w="40" w:type="dxa"/>
              <w:right w:w="20" w:type="dxa"/>
            </w:tcMar>
            <w:vAlign w:val="bottom"/>
          </w:tcPr>
          <w:p w14:paraId="5406727E" w14:textId="77777777" w:rsidR="00611BDD" w:rsidRDefault="00611BDD">
            <w:pPr>
              <w:jc w:val="right"/>
              <w:rPr>
                <w:rFonts w:ascii="宋体"/>
              </w:rPr>
            </w:pPr>
          </w:p>
        </w:tc>
      </w:tr>
      <w:tr w:rsidR="00611BDD" w14:paraId="5406728B" w14:textId="77777777">
        <w:tc>
          <w:tcPr>
            <w:tcW w:w="0" w:type="auto"/>
            <w:gridSpan w:val="3"/>
            <w:shd w:val="clear" w:color="auto" w:fill="FFFFFF"/>
            <w:tcMar>
              <w:top w:w="40" w:type="dxa"/>
              <w:left w:w="20" w:type="dxa"/>
              <w:bottom w:w="40" w:type="dxa"/>
              <w:right w:w="20" w:type="dxa"/>
            </w:tcMar>
            <w:vAlign w:val="center"/>
          </w:tcPr>
          <w:p w14:paraId="54067280" w14:textId="77777777" w:rsidR="00611BDD" w:rsidRDefault="002E18C7">
            <w:pPr>
              <w:pBdr>
                <w:top w:val="none" w:sz="0" w:space="0" w:color="auto"/>
                <w:left w:val="none" w:sz="0" w:space="0" w:color="auto"/>
                <w:bottom w:val="none" w:sz="0" w:space="0" w:color="auto"/>
                <w:right w:val="none" w:sz="0" w:space="0" w:color="auto"/>
              </w:pBdr>
              <w:textAlignment w:val="center"/>
            </w:pPr>
            <w:r>
              <w:rPr>
                <w:rFonts w:ascii="sans-serif" w:eastAsia="sans-serif" w:hAnsi="sans-serif" w:cs="sans-serif"/>
                <w:color w:val="000000"/>
                <w:sz w:val="20"/>
                <w:szCs w:val="20"/>
              </w:rPr>
              <w:t>3.70% Notes</w:t>
            </w:r>
            <w:r>
              <w:rPr>
                <w:rFonts w:ascii="sans-serif" w:eastAsia="sans-serif" w:hAnsi="sans-serif" w:cs="sans-serif"/>
                <w:color w:val="000000"/>
                <w:sz w:val="20"/>
                <w:szCs w:val="20"/>
              </w:rPr>
              <w:t xml:space="preserve"> Due 2060</w:t>
            </w:r>
          </w:p>
        </w:tc>
        <w:tc>
          <w:tcPr>
            <w:tcW w:w="0" w:type="auto"/>
            <w:gridSpan w:val="3"/>
            <w:shd w:val="clear" w:color="auto" w:fill="FFFFFF"/>
            <w:tcMar>
              <w:top w:w="0" w:type="dxa"/>
              <w:left w:w="20" w:type="dxa"/>
              <w:bottom w:w="0" w:type="dxa"/>
              <w:right w:w="20" w:type="dxa"/>
            </w:tcMar>
            <w:vAlign w:val="bottom"/>
          </w:tcPr>
          <w:p w14:paraId="54067281" w14:textId="77777777" w:rsidR="00611BDD" w:rsidRDefault="00611BDD">
            <w:pPr>
              <w:rPr>
                <w:rFonts w:ascii="宋体"/>
              </w:rPr>
            </w:pPr>
          </w:p>
        </w:tc>
        <w:tc>
          <w:tcPr>
            <w:tcW w:w="0" w:type="auto"/>
            <w:gridSpan w:val="3"/>
            <w:shd w:val="clear" w:color="auto" w:fill="FFFFFF"/>
            <w:tcMar>
              <w:top w:w="40" w:type="dxa"/>
              <w:left w:w="20" w:type="dxa"/>
              <w:bottom w:w="40" w:type="dxa"/>
              <w:right w:w="20" w:type="dxa"/>
            </w:tcMar>
            <w:vAlign w:val="bottom"/>
          </w:tcPr>
          <w:p w14:paraId="54067282" w14:textId="77777777" w:rsidR="00611BDD" w:rsidRDefault="002E18C7">
            <w:pPr>
              <w:jc w:val="center"/>
              <w:textAlignment w:val="bottom"/>
            </w:pPr>
            <w:r>
              <w:rPr>
                <w:rFonts w:ascii="sans-serif" w:eastAsia="sans-serif" w:hAnsi="sans-serif" w:cs="sans-serif"/>
                <w:color w:val="000000"/>
                <w:sz w:val="20"/>
                <w:szCs w:val="20"/>
              </w:rPr>
              <w:t>38.7</w:t>
            </w:r>
          </w:p>
        </w:tc>
        <w:tc>
          <w:tcPr>
            <w:tcW w:w="0" w:type="auto"/>
            <w:gridSpan w:val="3"/>
            <w:shd w:val="clear" w:color="auto" w:fill="FFFFFF"/>
            <w:tcMar>
              <w:top w:w="0" w:type="dxa"/>
              <w:left w:w="20" w:type="dxa"/>
              <w:bottom w:w="0" w:type="dxa"/>
              <w:right w:w="20" w:type="dxa"/>
            </w:tcMar>
            <w:vAlign w:val="bottom"/>
          </w:tcPr>
          <w:p w14:paraId="54067283" w14:textId="77777777" w:rsidR="00611BDD" w:rsidRDefault="00611BDD">
            <w:pPr>
              <w:rPr>
                <w:rFonts w:ascii="宋体"/>
              </w:rPr>
            </w:pPr>
          </w:p>
        </w:tc>
        <w:tc>
          <w:tcPr>
            <w:tcW w:w="0" w:type="auto"/>
            <w:gridSpan w:val="3"/>
            <w:shd w:val="clear" w:color="auto" w:fill="FFFFFF"/>
            <w:tcMar>
              <w:top w:w="40" w:type="dxa"/>
              <w:left w:w="20" w:type="dxa"/>
              <w:bottom w:w="40" w:type="dxa"/>
              <w:right w:w="20" w:type="dxa"/>
            </w:tcMar>
            <w:vAlign w:val="bottom"/>
          </w:tcPr>
          <w:p w14:paraId="54067284" w14:textId="77777777" w:rsidR="00611BDD" w:rsidRDefault="002E18C7">
            <w:pPr>
              <w:jc w:val="center"/>
              <w:textAlignment w:val="bottom"/>
            </w:pPr>
            <w:r>
              <w:rPr>
                <w:rFonts w:ascii="sans-serif" w:eastAsia="sans-serif" w:hAnsi="sans-serif" w:cs="sans-serif"/>
                <w:color w:val="000000"/>
                <w:sz w:val="20"/>
                <w:szCs w:val="20"/>
              </w:rPr>
              <w:t>3.73%</w:t>
            </w:r>
          </w:p>
        </w:tc>
        <w:tc>
          <w:tcPr>
            <w:tcW w:w="0" w:type="auto"/>
            <w:gridSpan w:val="3"/>
            <w:shd w:val="clear" w:color="auto" w:fill="FFFFFF"/>
            <w:tcMar>
              <w:top w:w="0" w:type="dxa"/>
              <w:left w:w="20" w:type="dxa"/>
              <w:bottom w:w="0" w:type="dxa"/>
              <w:right w:w="20" w:type="dxa"/>
            </w:tcMar>
            <w:vAlign w:val="bottom"/>
          </w:tcPr>
          <w:p w14:paraId="54067285"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286" w14:textId="77777777" w:rsidR="00611BDD" w:rsidRDefault="002E18C7">
            <w:pPr>
              <w:jc w:val="right"/>
              <w:textAlignment w:val="bottom"/>
            </w:pPr>
            <w:r>
              <w:rPr>
                <w:rFonts w:ascii="sans-serif" w:eastAsia="sans-serif" w:hAnsi="sans-serif" w:cs="sans-serif"/>
                <w:color w:val="000000"/>
                <w:sz w:val="20"/>
                <w:szCs w:val="20"/>
              </w:rPr>
              <w:t>500 </w:t>
            </w:r>
          </w:p>
        </w:tc>
        <w:tc>
          <w:tcPr>
            <w:tcW w:w="0" w:type="auto"/>
            <w:shd w:val="clear" w:color="auto" w:fill="FFFFFF"/>
            <w:tcMar>
              <w:top w:w="40" w:type="dxa"/>
              <w:left w:w="0" w:type="dxa"/>
              <w:bottom w:w="40" w:type="dxa"/>
              <w:right w:w="20" w:type="dxa"/>
            </w:tcMar>
            <w:vAlign w:val="bottom"/>
          </w:tcPr>
          <w:p w14:paraId="54067287"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288"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289" w14:textId="77777777" w:rsidR="00611BDD" w:rsidRDefault="002E18C7">
            <w:pPr>
              <w:jc w:val="right"/>
              <w:textAlignment w:val="bottom"/>
            </w:pPr>
            <w:r>
              <w:rPr>
                <w:rFonts w:ascii="sans-serif" w:eastAsia="sans-serif" w:hAnsi="sans-serif" w:cs="sans-serif"/>
                <w:color w:val="000000"/>
                <w:sz w:val="20"/>
                <w:szCs w:val="20"/>
              </w:rPr>
              <w:t>500 </w:t>
            </w:r>
          </w:p>
        </w:tc>
        <w:tc>
          <w:tcPr>
            <w:tcW w:w="0" w:type="auto"/>
            <w:shd w:val="clear" w:color="auto" w:fill="FFFFFF"/>
            <w:tcMar>
              <w:top w:w="40" w:type="dxa"/>
              <w:left w:w="0" w:type="dxa"/>
              <w:bottom w:w="40" w:type="dxa"/>
              <w:right w:w="20" w:type="dxa"/>
            </w:tcMar>
            <w:vAlign w:val="bottom"/>
          </w:tcPr>
          <w:p w14:paraId="5406728A" w14:textId="77777777" w:rsidR="00611BDD" w:rsidRDefault="00611BDD">
            <w:pPr>
              <w:jc w:val="right"/>
              <w:rPr>
                <w:rFonts w:ascii="宋体"/>
              </w:rPr>
            </w:pPr>
          </w:p>
        </w:tc>
      </w:tr>
      <w:tr w:rsidR="00611BDD" w14:paraId="54067297" w14:textId="77777777">
        <w:tc>
          <w:tcPr>
            <w:tcW w:w="0" w:type="auto"/>
            <w:gridSpan w:val="3"/>
            <w:shd w:val="clear" w:color="auto" w:fill="E2EFD9"/>
            <w:tcMar>
              <w:top w:w="40" w:type="dxa"/>
              <w:left w:w="20" w:type="dxa"/>
              <w:bottom w:w="40" w:type="dxa"/>
              <w:right w:w="20" w:type="dxa"/>
            </w:tcMar>
            <w:vAlign w:val="center"/>
          </w:tcPr>
          <w:p w14:paraId="5406728C" w14:textId="77777777" w:rsidR="00611BDD" w:rsidRDefault="002E18C7">
            <w:pPr>
              <w:textAlignment w:val="center"/>
            </w:pPr>
            <w:r>
              <w:rPr>
                <w:rFonts w:ascii="sans-serif" w:eastAsia="sans-serif" w:hAnsi="sans-serif" w:cs="sans-serif"/>
                <w:color w:val="000000"/>
                <w:sz w:val="20"/>
                <w:szCs w:val="20"/>
              </w:rPr>
              <w:t>Unamortized</w:t>
            </w:r>
            <w:r>
              <w:rPr>
                <w:rFonts w:ascii="sans-serif" w:eastAsia="sans-serif" w:hAnsi="sans-serif" w:cs="sans-serif"/>
                <w:color w:val="000000"/>
                <w:sz w:val="20"/>
                <w:szCs w:val="20"/>
              </w:rPr>
              <w:t xml:space="preserve"> debt discount and issuance costs</w:t>
            </w:r>
          </w:p>
        </w:tc>
        <w:tc>
          <w:tcPr>
            <w:tcW w:w="0" w:type="auto"/>
            <w:gridSpan w:val="3"/>
            <w:shd w:val="clear" w:color="auto" w:fill="E2EFD9"/>
            <w:tcMar>
              <w:top w:w="0" w:type="dxa"/>
              <w:left w:w="20" w:type="dxa"/>
              <w:bottom w:w="0" w:type="dxa"/>
              <w:right w:w="20" w:type="dxa"/>
            </w:tcMar>
            <w:vAlign w:val="bottom"/>
          </w:tcPr>
          <w:p w14:paraId="5406728D"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728E"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728F"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7290"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7291"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292" w14:textId="77777777" w:rsidR="00611BDD" w:rsidRDefault="002E18C7">
            <w:pPr>
              <w:jc w:val="right"/>
              <w:textAlignment w:val="bottom"/>
            </w:pPr>
            <w:r>
              <w:rPr>
                <w:rFonts w:ascii="sans-serif" w:eastAsia="sans-serif" w:hAnsi="sans-serif" w:cs="sans-serif"/>
                <w:color w:val="000000"/>
                <w:sz w:val="20"/>
                <w:szCs w:val="20"/>
              </w:rPr>
              <w:t>(57)</w:t>
            </w:r>
          </w:p>
        </w:tc>
        <w:tc>
          <w:tcPr>
            <w:tcW w:w="0" w:type="auto"/>
            <w:shd w:val="clear" w:color="auto" w:fill="E2EFD9"/>
            <w:tcMar>
              <w:top w:w="40" w:type="dxa"/>
              <w:left w:w="0" w:type="dxa"/>
              <w:bottom w:w="40" w:type="dxa"/>
              <w:right w:w="20" w:type="dxa"/>
            </w:tcMar>
            <w:vAlign w:val="bottom"/>
          </w:tcPr>
          <w:p w14:paraId="5406729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294"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295" w14:textId="77777777" w:rsidR="00611BDD" w:rsidRDefault="002E18C7">
            <w:pPr>
              <w:jc w:val="right"/>
              <w:textAlignment w:val="bottom"/>
            </w:pPr>
            <w:r>
              <w:rPr>
                <w:rFonts w:ascii="sans-serif" w:eastAsia="sans-serif" w:hAnsi="sans-serif" w:cs="sans-serif"/>
                <w:color w:val="000000"/>
                <w:sz w:val="20"/>
                <w:szCs w:val="20"/>
              </w:rPr>
              <w:t>(37)</w:t>
            </w:r>
          </w:p>
        </w:tc>
        <w:tc>
          <w:tcPr>
            <w:tcW w:w="0" w:type="auto"/>
            <w:shd w:val="clear" w:color="auto" w:fill="E2EFD9"/>
            <w:tcMar>
              <w:top w:w="40" w:type="dxa"/>
              <w:left w:w="0" w:type="dxa"/>
              <w:bottom w:w="40" w:type="dxa"/>
              <w:right w:w="20" w:type="dxa"/>
            </w:tcMar>
            <w:vAlign w:val="bottom"/>
          </w:tcPr>
          <w:p w14:paraId="54067296" w14:textId="77777777" w:rsidR="00611BDD" w:rsidRDefault="00611BDD">
            <w:pPr>
              <w:jc w:val="right"/>
              <w:rPr>
                <w:rFonts w:ascii="宋体"/>
              </w:rPr>
            </w:pPr>
          </w:p>
        </w:tc>
      </w:tr>
      <w:tr w:rsidR="00611BDD" w14:paraId="540672A3" w14:textId="77777777">
        <w:tc>
          <w:tcPr>
            <w:tcW w:w="0" w:type="auto"/>
            <w:gridSpan w:val="3"/>
            <w:shd w:val="clear" w:color="auto" w:fill="FFFFFF"/>
            <w:tcMar>
              <w:top w:w="40" w:type="dxa"/>
              <w:left w:w="140" w:type="dxa"/>
              <w:bottom w:w="40" w:type="dxa"/>
              <w:right w:w="20" w:type="dxa"/>
            </w:tcMar>
            <w:vAlign w:val="center"/>
          </w:tcPr>
          <w:p w14:paraId="54067298" w14:textId="77777777" w:rsidR="00611BDD" w:rsidRDefault="002E18C7">
            <w:pPr>
              <w:textAlignment w:val="center"/>
            </w:pPr>
            <w:r>
              <w:rPr>
                <w:rFonts w:ascii="sans-serif" w:eastAsia="sans-serif" w:hAnsi="sans-serif" w:cs="sans-serif"/>
                <w:color w:val="000000"/>
                <w:sz w:val="20"/>
                <w:szCs w:val="20"/>
              </w:rPr>
              <w:t>Net carrying amount</w:t>
            </w:r>
          </w:p>
        </w:tc>
        <w:tc>
          <w:tcPr>
            <w:tcW w:w="0" w:type="auto"/>
            <w:gridSpan w:val="3"/>
            <w:shd w:val="clear" w:color="auto" w:fill="FFFFFF"/>
            <w:tcMar>
              <w:top w:w="0" w:type="dxa"/>
              <w:left w:w="20" w:type="dxa"/>
              <w:bottom w:w="0" w:type="dxa"/>
              <w:right w:w="20" w:type="dxa"/>
            </w:tcMar>
            <w:vAlign w:val="bottom"/>
          </w:tcPr>
          <w:p w14:paraId="54067299"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29A"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29B"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29C"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29D"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729E" w14:textId="77777777" w:rsidR="00611BDD" w:rsidRDefault="002E18C7">
            <w:pPr>
              <w:jc w:val="right"/>
              <w:textAlignment w:val="bottom"/>
            </w:pPr>
            <w:r>
              <w:rPr>
                <w:rFonts w:ascii="sans-serif" w:eastAsia="sans-serif" w:hAnsi="sans-serif" w:cs="sans-serif"/>
                <w:color w:val="000000"/>
                <w:sz w:val="20"/>
                <w:szCs w:val="20"/>
              </w:rPr>
              <w:t>11,943 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729F"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2A0"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72A1" w14:textId="77777777" w:rsidR="00611BDD" w:rsidRDefault="002E18C7">
            <w:pPr>
              <w:jc w:val="right"/>
              <w:textAlignment w:val="bottom"/>
            </w:pPr>
            <w:r>
              <w:rPr>
                <w:rFonts w:ascii="sans-serif" w:eastAsia="sans-serif" w:hAnsi="sans-serif" w:cs="sans-serif"/>
                <w:color w:val="000000"/>
                <w:sz w:val="20"/>
                <w:szCs w:val="20"/>
              </w:rPr>
              <w:t>6,963 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72A2" w14:textId="77777777" w:rsidR="00611BDD" w:rsidRDefault="00611BDD">
            <w:pPr>
              <w:jc w:val="right"/>
              <w:rPr>
                <w:rFonts w:ascii="宋体"/>
              </w:rPr>
            </w:pPr>
          </w:p>
        </w:tc>
      </w:tr>
      <w:tr w:rsidR="00611BDD" w14:paraId="540672AF" w14:textId="77777777">
        <w:tc>
          <w:tcPr>
            <w:tcW w:w="0" w:type="auto"/>
            <w:gridSpan w:val="3"/>
            <w:shd w:val="clear" w:color="auto" w:fill="E2EFD9"/>
            <w:tcMar>
              <w:top w:w="40" w:type="dxa"/>
              <w:left w:w="20" w:type="dxa"/>
              <w:bottom w:w="40" w:type="dxa"/>
              <w:right w:w="20" w:type="dxa"/>
            </w:tcMar>
            <w:vAlign w:val="center"/>
          </w:tcPr>
          <w:p w14:paraId="540672A4" w14:textId="77777777" w:rsidR="00611BDD" w:rsidRDefault="002E18C7">
            <w:pPr>
              <w:textAlignment w:val="center"/>
            </w:pPr>
            <w:r>
              <w:rPr>
                <w:rFonts w:ascii="sans-serif" w:eastAsia="sans-serif" w:hAnsi="sans-serif" w:cs="sans-serif"/>
                <w:color w:val="000000"/>
                <w:sz w:val="20"/>
                <w:szCs w:val="20"/>
              </w:rPr>
              <w:t>Less short-term portion</w:t>
            </w:r>
          </w:p>
        </w:tc>
        <w:tc>
          <w:tcPr>
            <w:tcW w:w="0" w:type="auto"/>
            <w:gridSpan w:val="3"/>
            <w:shd w:val="clear" w:color="auto" w:fill="E2EFD9"/>
            <w:tcMar>
              <w:top w:w="0" w:type="dxa"/>
              <w:left w:w="20" w:type="dxa"/>
              <w:bottom w:w="0" w:type="dxa"/>
              <w:right w:w="20" w:type="dxa"/>
            </w:tcMar>
            <w:vAlign w:val="bottom"/>
          </w:tcPr>
          <w:p w14:paraId="540672A5"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72A6"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72A7"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72A8"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72A9"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2AA" w14:textId="77777777" w:rsidR="00611BDD" w:rsidRDefault="002E18C7">
            <w:pPr>
              <w:jc w:val="right"/>
              <w:textAlignment w:val="bottom"/>
            </w:pPr>
            <w:r>
              <w:rPr>
                <w:rFonts w:ascii="sans-serif" w:eastAsia="sans-serif" w:hAnsi="sans-serif" w:cs="sans-serif"/>
                <w:color w:val="000000"/>
                <w:sz w:val="20"/>
                <w:szCs w:val="20"/>
              </w:rPr>
              <w:t>(1,000)</w:t>
            </w:r>
          </w:p>
        </w:tc>
        <w:tc>
          <w:tcPr>
            <w:tcW w:w="0" w:type="auto"/>
            <w:shd w:val="clear" w:color="auto" w:fill="E2EFD9"/>
            <w:tcMar>
              <w:top w:w="40" w:type="dxa"/>
              <w:left w:w="0" w:type="dxa"/>
              <w:bottom w:w="40" w:type="dxa"/>
              <w:right w:w="20" w:type="dxa"/>
            </w:tcMar>
            <w:vAlign w:val="bottom"/>
          </w:tcPr>
          <w:p w14:paraId="540672A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2AC"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2AD" w14:textId="77777777" w:rsidR="00611BDD" w:rsidRDefault="002E18C7">
            <w:pPr>
              <w:jc w:val="right"/>
              <w:textAlignment w:val="bottom"/>
            </w:pPr>
            <w:r>
              <w:rPr>
                <w:rFonts w:ascii="sans-serif" w:eastAsia="sans-serif" w:hAnsi="sans-serif" w:cs="sans-serif"/>
                <w:color w:val="000000"/>
                <w:sz w:val="20"/>
                <w:szCs w:val="20"/>
              </w:rPr>
              <w:t>(999)</w:t>
            </w:r>
          </w:p>
        </w:tc>
        <w:tc>
          <w:tcPr>
            <w:tcW w:w="0" w:type="auto"/>
            <w:shd w:val="clear" w:color="auto" w:fill="E2EFD9"/>
            <w:tcMar>
              <w:top w:w="40" w:type="dxa"/>
              <w:left w:w="0" w:type="dxa"/>
              <w:bottom w:w="40" w:type="dxa"/>
              <w:right w:w="20" w:type="dxa"/>
            </w:tcMar>
            <w:vAlign w:val="bottom"/>
          </w:tcPr>
          <w:p w14:paraId="540672AE" w14:textId="77777777" w:rsidR="00611BDD" w:rsidRDefault="00611BDD">
            <w:pPr>
              <w:jc w:val="right"/>
              <w:rPr>
                <w:rFonts w:ascii="宋体"/>
              </w:rPr>
            </w:pPr>
          </w:p>
        </w:tc>
      </w:tr>
      <w:tr w:rsidR="00611BDD" w14:paraId="540672BD" w14:textId="77777777">
        <w:tc>
          <w:tcPr>
            <w:tcW w:w="0" w:type="auto"/>
            <w:gridSpan w:val="3"/>
            <w:shd w:val="clear" w:color="auto" w:fill="FFFFFF"/>
            <w:tcMar>
              <w:top w:w="40" w:type="dxa"/>
              <w:left w:w="140" w:type="dxa"/>
              <w:bottom w:w="40" w:type="dxa"/>
              <w:right w:w="20" w:type="dxa"/>
            </w:tcMar>
            <w:vAlign w:val="center"/>
          </w:tcPr>
          <w:p w14:paraId="540672B0" w14:textId="77777777" w:rsidR="00611BDD" w:rsidRDefault="002E18C7">
            <w:pPr>
              <w:textAlignment w:val="center"/>
            </w:pPr>
            <w:r>
              <w:rPr>
                <w:rFonts w:ascii="sans-serif" w:eastAsia="sans-serif" w:hAnsi="sans-serif" w:cs="sans-serif"/>
                <w:color w:val="000000"/>
                <w:sz w:val="20"/>
                <w:szCs w:val="20"/>
              </w:rPr>
              <w:t>Total long-term portion</w:t>
            </w:r>
          </w:p>
        </w:tc>
        <w:tc>
          <w:tcPr>
            <w:tcW w:w="0" w:type="auto"/>
            <w:gridSpan w:val="3"/>
            <w:shd w:val="clear" w:color="auto" w:fill="FFFFFF"/>
            <w:tcMar>
              <w:top w:w="0" w:type="dxa"/>
              <w:left w:w="20" w:type="dxa"/>
              <w:bottom w:w="0" w:type="dxa"/>
              <w:right w:w="20" w:type="dxa"/>
            </w:tcMar>
            <w:vAlign w:val="bottom"/>
          </w:tcPr>
          <w:p w14:paraId="540672B1"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2B2"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2B3"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2B4"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2B5" w14:textId="77777777" w:rsidR="00611BDD" w:rsidRDefault="00611BD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40672B6"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40672B7" w14:textId="77777777" w:rsidR="00611BDD" w:rsidRDefault="002E18C7">
            <w:pPr>
              <w:jc w:val="right"/>
              <w:textAlignment w:val="bottom"/>
            </w:pPr>
            <w:r>
              <w:rPr>
                <w:rFonts w:ascii="sans-serif" w:eastAsia="sans-serif" w:hAnsi="sans-serif" w:cs="sans-serif"/>
                <w:color w:val="000000"/>
                <w:sz w:val="20"/>
                <w:szCs w:val="20"/>
              </w:rPr>
              <w:t>10,943 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40672B8"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2B9" w14:textId="77777777" w:rsidR="00611BDD" w:rsidRDefault="00611BD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40672BA"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40672BB" w14:textId="77777777" w:rsidR="00611BDD" w:rsidRDefault="002E18C7">
            <w:pPr>
              <w:jc w:val="right"/>
              <w:textAlignment w:val="bottom"/>
            </w:pPr>
            <w:r>
              <w:rPr>
                <w:rFonts w:ascii="sans-serif" w:eastAsia="sans-serif" w:hAnsi="sans-serif" w:cs="sans-serif"/>
                <w:color w:val="000000"/>
                <w:sz w:val="20"/>
                <w:szCs w:val="20"/>
              </w:rPr>
              <w:t>5,964 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40672BC" w14:textId="77777777" w:rsidR="00611BDD" w:rsidRDefault="00611BDD">
            <w:pPr>
              <w:jc w:val="right"/>
              <w:rPr>
                <w:rFonts w:ascii="宋体"/>
              </w:rPr>
            </w:pPr>
          </w:p>
        </w:tc>
      </w:tr>
    </w:tbl>
    <w:p w14:paraId="540672BE" w14:textId="77777777" w:rsidR="00611BDD" w:rsidRDefault="002E18C7">
      <w:r>
        <w:rPr>
          <w:rFonts w:ascii="sans-serif" w:eastAsia="sans-serif" w:hAnsi="sans-serif" w:cs="sans-serif"/>
          <w:color w:val="000000"/>
          <w:sz w:val="20"/>
          <w:szCs w:val="20"/>
        </w:rPr>
        <w:t xml:space="preserve">As of August 1, 2021, we were in compliance with the required covenants under the Notes. </w:t>
      </w:r>
    </w:p>
    <w:p w14:paraId="540672BF" w14:textId="77777777" w:rsidR="00611BDD" w:rsidRDefault="00611BDD">
      <w:pPr>
        <w:spacing w:after="180"/>
        <w:jc w:val="both"/>
      </w:pPr>
    </w:p>
    <w:p w14:paraId="540672C0" w14:textId="77777777" w:rsidR="00611BDD" w:rsidRDefault="002E18C7">
      <w:pPr>
        <w:spacing w:after="180"/>
        <w:jc w:val="center"/>
      </w:pPr>
      <w:r>
        <w:rPr>
          <w:rFonts w:ascii="sans-serif" w:eastAsia="sans-serif" w:hAnsi="sans-serif" w:cs="sans-serif"/>
          <w:color w:val="000000"/>
          <w:sz w:val="20"/>
          <w:szCs w:val="20"/>
        </w:rPr>
        <w:t>19</w:t>
      </w:r>
    </w:p>
    <w:p w14:paraId="540672C1" w14:textId="77777777" w:rsidR="00611BDD" w:rsidRDefault="002E18C7">
      <w:r>
        <w:pict w14:anchorId="54067C37">
          <v:rect id="_x0000_i1043" style="width:415.3pt;height:1.5pt" o:hralign="center" o:hrstd="t" o:hr="t" fillcolor="#a0a0a0" stroked="f"/>
        </w:pict>
      </w:r>
    </w:p>
    <w:p w14:paraId="540672C2" w14:textId="77777777" w:rsidR="00611BDD" w:rsidRDefault="002E18C7">
      <w:pPr>
        <w:jc w:val="center"/>
      </w:pPr>
      <w:r>
        <w:rPr>
          <w:rFonts w:ascii="sans-serif" w:eastAsia="sans-serif" w:hAnsi="sans-serif" w:cs="sans-serif"/>
          <w:b/>
          <w:bCs/>
          <w:color w:val="000000"/>
          <w:sz w:val="20"/>
          <w:szCs w:val="20"/>
        </w:rPr>
        <w:t>NVIDIA CORPORATION AND SUBSIDIARIES</w:t>
      </w:r>
    </w:p>
    <w:p w14:paraId="540672C3" w14:textId="77777777" w:rsidR="00611BDD" w:rsidRDefault="002E18C7">
      <w:pPr>
        <w:jc w:val="center"/>
      </w:pPr>
      <w:r>
        <w:rPr>
          <w:rFonts w:ascii="sans-serif" w:eastAsia="sans-serif" w:hAnsi="sans-serif" w:cs="sans-serif"/>
          <w:b/>
          <w:bCs/>
          <w:color w:val="000000"/>
          <w:sz w:val="20"/>
          <w:szCs w:val="20"/>
        </w:rPr>
        <w:t>NOTES TO CONDENSED CONSOLIDATED FINANCIAL STATEMENTS (Continued)</w:t>
      </w:r>
    </w:p>
    <w:p w14:paraId="540672C4" w14:textId="77777777" w:rsidR="00611BDD" w:rsidRDefault="002E18C7">
      <w:pPr>
        <w:jc w:val="center"/>
      </w:pPr>
      <w:r>
        <w:rPr>
          <w:rFonts w:ascii="sans-serif" w:eastAsia="sans-serif" w:hAnsi="sans-serif" w:cs="sans-serif"/>
          <w:b/>
          <w:bCs/>
          <w:color w:val="000000"/>
          <w:sz w:val="20"/>
          <w:szCs w:val="20"/>
        </w:rPr>
        <w:t>(Unaudited)</w:t>
      </w:r>
    </w:p>
    <w:p w14:paraId="540672C5" w14:textId="77777777" w:rsidR="00611BDD" w:rsidRDefault="00611BDD">
      <w:pPr>
        <w:spacing w:after="180"/>
        <w:jc w:val="both"/>
      </w:pPr>
    </w:p>
    <w:p w14:paraId="540672C6" w14:textId="77777777" w:rsidR="00611BDD" w:rsidRDefault="00611BDD">
      <w:pPr>
        <w:spacing w:after="180"/>
        <w:jc w:val="both"/>
      </w:pPr>
    </w:p>
    <w:p w14:paraId="540672C7" w14:textId="77777777" w:rsidR="00611BDD" w:rsidRDefault="002E18C7">
      <w:pPr>
        <w:spacing w:before="240" w:after="60"/>
        <w:jc w:val="both"/>
      </w:pPr>
      <w:r>
        <w:rPr>
          <w:rFonts w:ascii="sans-serif" w:eastAsia="sans-serif" w:hAnsi="sans-serif" w:cs="sans-serif"/>
          <w:b/>
          <w:bCs/>
          <w:color w:val="76B900"/>
          <w:sz w:val="20"/>
          <w:szCs w:val="20"/>
        </w:rPr>
        <w:t xml:space="preserve">Credit </w:t>
      </w:r>
      <w:r>
        <w:rPr>
          <w:rFonts w:ascii="sans-serif" w:eastAsia="sans-serif" w:hAnsi="sans-serif" w:cs="sans-serif"/>
          <w:b/>
          <w:bCs/>
          <w:color w:val="76B900"/>
          <w:sz w:val="20"/>
          <w:szCs w:val="20"/>
        </w:rPr>
        <w:t>Facilities</w:t>
      </w:r>
    </w:p>
    <w:p w14:paraId="540672C8" w14:textId="77777777" w:rsidR="00611BDD" w:rsidRDefault="002E18C7">
      <w:pPr>
        <w:spacing w:after="180"/>
        <w:jc w:val="both"/>
      </w:pPr>
      <w:r>
        <w:rPr>
          <w:rFonts w:ascii="sans-serif" w:eastAsia="sans-serif" w:hAnsi="sans-serif" w:cs="sans-serif"/>
          <w:color w:val="000000"/>
          <w:sz w:val="20"/>
          <w:szCs w:val="20"/>
        </w:rPr>
        <w:t>We have a Credit Agreement under which we may borrow up to $575 million for general corporate purposes and can obtain revolving loan commitments up to $425 million. As of August 1, 2021, we had not borrowed any amounts and were in compliance wit</w:t>
      </w:r>
      <w:r>
        <w:rPr>
          <w:rFonts w:ascii="sans-serif" w:eastAsia="sans-serif" w:hAnsi="sans-serif" w:cs="sans-serif"/>
          <w:color w:val="000000"/>
          <w:sz w:val="20"/>
          <w:szCs w:val="20"/>
        </w:rPr>
        <w:t>h the required covenants under this agreement. The Credit Agreement expires October 2021.</w:t>
      </w:r>
    </w:p>
    <w:p w14:paraId="540672C9" w14:textId="77777777" w:rsidR="00611BDD" w:rsidRDefault="002E18C7">
      <w:pPr>
        <w:spacing w:after="180"/>
        <w:jc w:val="both"/>
      </w:pPr>
      <w:r>
        <w:rPr>
          <w:rFonts w:ascii="sans-serif" w:eastAsia="sans-serif" w:hAnsi="sans-serif" w:cs="sans-serif"/>
          <w:color w:val="000000"/>
          <w:sz w:val="20"/>
          <w:szCs w:val="20"/>
        </w:rPr>
        <w:t>We have a $575 million commercial paper program to support general corporate purposes. As of August 1, 2021, we had not issued any commercial paper.</w:t>
      </w:r>
    </w:p>
    <w:p w14:paraId="540672CA" w14:textId="77777777" w:rsidR="00611BDD" w:rsidRDefault="002E18C7">
      <w:pPr>
        <w:spacing w:before="240" w:after="120"/>
        <w:jc w:val="both"/>
      </w:pPr>
      <w:r>
        <w:rPr>
          <w:rFonts w:ascii="sans-serif" w:eastAsia="sans-serif" w:hAnsi="sans-serif" w:cs="sans-serif"/>
          <w:b/>
          <w:bCs/>
          <w:color w:val="76B900"/>
          <w:sz w:val="22"/>
          <w:szCs w:val="22"/>
        </w:rPr>
        <w:t>Note 13 - Commitm</w:t>
      </w:r>
      <w:r>
        <w:rPr>
          <w:rFonts w:ascii="sans-serif" w:eastAsia="sans-serif" w:hAnsi="sans-serif" w:cs="sans-serif"/>
          <w:b/>
          <w:bCs/>
          <w:color w:val="76B900"/>
          <w:sz w:val="22"/>
          <w:szCs w:val="22"/>
        </w:rPr>
        <w:t>ents and Contingencies</w:t>
      </w:r>
    </w:p>
    <w:p w14:paraId="540672CB" w14:textId="77777777" w:rsidR="00611BDD" w:rsidRDefault="002E18C7">
      <w:pPr>
        <w:spacing w:before="240" w:after="60"/>
        <w:jc w:val="both"/>
      </w:pPr>
      <w:r>
        <w:rPr>
          <w:rFonts w:ascii="sans-serif" w:eastAsia="sans-serif" w:hAnsi="sans-serif" w:cs="sans-serif"/>
          <w:b/>
          <w:bCs/>
          <w:color w:val="76B900"/>
          <w:sz w:val="20"/>
          <w:szCs w:val="20"/>
        </w:rPr>
        <w:t>Purchase Obligations</w:t>
      </w:r>
    </w:p>
    <w:p w14:paraId="540672CC" w14:textId="77777777" w:rsidR="00611BDD" w:rsidRDefault="002E18C7">
      <w:pPr>
        <w:spacing w:after="120"/>
        <w:jc w:val="both"/>
      </w:pPr>
      <w:r>
        <w:rPr>
          <w:rFonts w:ascii="sans-serif" w:eastAsia="sans-serif" w:hAnsi="sans-serif" w:cs="sans-serif"/>
          <w:color w:val="000000"/>
          <w:sz w:val="20"/>
          <w:szCs w:val="20"/>
        </w:rPr>
        <w:t>As of August 1, 2021, we had outstanding inventory purchase and long-term supply commitment obligations totaling $4.79 billion, of which $4.59 billion is expected to occur over the next 12 months and the remainin</w:t>
      </w:r>
      <w:r>
        <w:rPr>
          <w:rFonts w:ascii="sans-serif" w:eastAsia="sans-serif" w:hAnsi="sans-serif" w:cs="sans-serif"/>
          <w:color w:val="000000"/>
          <w:sz w:val="20"/>
          <w:szCs w:val="20"/>
        </w:rPr>
        <w:t xml:space="preserve">g balance over 36 months. Other purchase obligations totaling $565 million are primarily expected to occur over the next 18 months. </w:t>
      </w:r>
    </w:p>
    <w:p w14:paraId="540672CD" w14:textId="77777777" w:rsidR="00611BDD" w:rsidRDefault="002E18C7">
      <w:pPr>
        <w:spacing w:before="240" w:after="60"/>
        <w:jc w:val="both"/>
      </w:pPr>
      <w:r>
        <w:rPr>
          <w:rFonts w:ascii="sans-serif" w:eastAsia="sans-serif" w:hAnsi="sans-serif" w:cs="sans-serif"/>
          <w:b/>
          <w:bCs/>
          <w:color w:val="76B900"/>
          <w:sz w:val="20"/>
          <w:szCs w:val="20"/>
        </w:rPr>
        <w:t>Accrual for Product Warranty Liabilities</w:t>
      </w:r>
    </w:p>
    <w:p w14:paraId="540672CE" w14:textId="77777777" w:rsidR="00611BDD" w:rsidRDefault="002E18C7">
      <w:pPr>
        <w:spacing w:after="180"/>
        <w:jc w:val="both"/>
      </w:pPr>
      <w:r>
        <w:rPr>
          <w:rFonts w:ascii="sans-serif" w:eastAsia="sans-serif" w:hAnsi="sans-serif" w:cs="sans-serif"/>
          <w:color w:val="000000"/>
          <w:sz w:val="20"/>
          <w:szCs w:val="20"/>
        </w:rPr>
        <w:t>The estimated amount of product warranty liabilities was $31 million and $22 milli</w:t>
      </w:r>
      <w:r>
        <w:rPr>
          <w:rFonts w:ascii="sans-serif" w:eastAsia="sans-serif" w:hAnsi="sans-serif" w:cs="sans-serif"/>
          <w:color w:val="000000"/>
          <w:sz w:val="20"/>
          <w:szCs w:val="20"/>
        </w:rPr>
        <w:t>on as of August 1, 2021 and January 31, 2021, respectively, and the activities related to the warranty liabilities were not significant.</w:t>
      </w:r>
    </w:p>
    <w:p w14:paraId="540672CF" w14:textId="77777777" w:rsidR="00611BDD" w:rsidRDefault="002E18C7">
      <w:pPr>
        <w:jc w:val="both"/>
      </w:pPr>
      <w:r>
        <w:rPr>
          <w:rFonts w:ascii="sans-serif" w:eastAsia="sans-serif" w:hAnsi="sans-serif" w:cs="sans-serif"/>
          <w:color w:val="000000"/>
          <w:sz w:val="20"/>
          <w:szCs w:val="20"/>
        </w:rPr>
        <w:t>In connection with certain agreements that we have entered in the past, we have provided indemnities for matters such a</w:t>
      </w:r>
      <w:r>
        <w:rPr>
          <w:rFonts w:ascii="sans-serif" w:eastAsia="sans-serif" w:hAnsi="sans-serif" w:cs="sans-serif"/>
          <w:color w:val="000000"/>
          <w:sz w:val="20"/>
          <w:szCs w:val="20"/>
        </w:rPr>
        <w:t>s tax, product, and employee liabilities. We have included intellectual property indemnification provisions in our technology related agreements with third parties. Maximum potential future payments cannot be estimated because many of these agreements do n</w:t>
      </w:r>
      <w:r>
        <w:rPr>
          <w:rFonts w:ascii="sans-serif" w:eastAsia="sans-serif" w:hAnsi="sans-serif" w:cs="sans-serif"/>
          <w:color w:val="000000"/>
          <w:sz w:val="20"/>
          <w:szCs w:val="20"/>
        </w:rPr>
        <w:t>ot have a maximum stated liability. We have not recorded any liability in our Condensed Consolidated Financial Statements for such indemnifications.</w:t>
      </w:r>
    </w:p>
    <w:p w14:paraId="540672D0" w14:textId="77777777" w:rsidR="00611BDD" w:rsidRDefault="002E18C7">
      <w:pPr>
        <w:spacing w:before="240" w:after="60"/>
        <w:jc w:val="both"/>
      </w:pPr>
      <w:r>
        <w:rPr>
          <w:rFonts w:ascii="sans-serif" w:eastAsia="sans-serif" w:hAnsi="sans-serif" w:cs="sans-serif"/>
          <w:b/>
          <w:bCs/>
          <w:color w:val="76B900"/>
          <w:sz w:val="20"/>
          <w:szCs w:val="20"/>
        </w:rPr>
        <w:t>Litigation</w:t>
      </w:r>
    </w:p>
    <w:p w14:paraId="540672D1" w14:textId="77777777" w:rsidR="00611BDD" w:rsidRDefault="002E18C7">
      <w:pPr>
        <w:spacing w:before="120" w:after="120"/>
        <w:jc w:val="both"/>
      </w:pPr>
      <w:r>
        <w:rPr>
          <w:rFonts w:ascii="sans-serif" w:eastAsia="sans-serif" w:hAnsi="sans-serif" w:cs="sans-serif"/>
          <w:b/>
          <w:bCs/>
          <w:color w:val="000000"/>
          <w:sz w:val="20"/>
          <w:szCs w:val="20"/>
        </w:rPr>
        <w:t>Securities Class Action and Derivative Lawsuits</w:t>
      </w:r>
    </w:p>
    <w:p w14:paraId="540672D2" w14:textId="77777777" w:rsidR="00611BDD" w:rsidRDefault="002E18C7">
      <w:pPr>
        <w:spacing w:after="180"/>
        <w:jc w:val="both"/>
      </w:pPr>
      <w:r>
        <w:rPr>
          <w:rFonts w:ascii="sans-serif" w:eastAsia="sans-serif" w:hAnsi="sans-serif" w:cs="sans-serif"/>
          <w:color w:val="000000"/>
          <w:sz w:val="20"/>
          <w:szCs w:val="20"/>
        </w:rPr>
        <w:t xml:space="preserve">The plaintiffs in the putative securities class </w:t>
      </w:r>
      <w:r>
        <w:rPr>
          <w:rFonts w:ascii="sans-serif" w:eastAsia="sans-serif" w:hAnsi="sans-serif" w:cs="sans-serif"/>
          <w:color w:val="000000"/>
          <w:sz w:val="20"/>
          <w:szCs w:val="20"/>
        </w:rPr>
        <w:t xml:space="preserve">action lawsuit, captioned 4:18-cv-07669-HSG, initially filed on December 21, 2018 in the United States District Court for the Northern District of California, and titled In Re NVIDIA Corporation Securities Litigation, filed an amended complaint on May 13, </w:t>
      </w:r>
      <w:r>
        <w:rPr>
          <w:rFonts w:ascii="sans-serif" w:eastAsia="sans-serif" w:hAnsi="sans-serif" w:cs="sans-serif"/>
          <w:color w:val="000000"/>
          <w:sz w:val="20"/>
          <w:szCs w:val="20"/>
        </w:rPr>
        <w:t>2020. The amended complaint asserted that NVIDIA and certain NVIDIA executives violated Section 10(b) of the Securities Exchange Act of 1934, as amended, or the Exchange Act, and SEC Rule 10b-5, by making materially false or misleading statements related t</w:t>
      </w:r>
      <w:r>
        <w:rPr>
          <w:rFonts w:ascii="sans-serif" w:eastAsia="sans-serif" w:hAnsi="sans-serif" w:cs="sans-serif"/>
          <w:color w:val="000000"/>
          <w:sz w:val="20"/>
          <w:szCs w:val="20"/>
        </w:rPr>
        <w:t>o channel inventory and the impact of cryptocurrency mining on GPU demand between May 10, 2017 and November 14, 2018. Plaintiffs also alleged that the NVIDIA executives who they named as defendants violated Section 20(a) of the Exchange Act. Plaintiffs sou</w:t>
      </w:r>
      <w:r>
        <w:rPr>
          <w:rFonts w:ascii="sans-serif" w:eastAsia="sans-serif" w:hAnsi="sans-serif" w:cs="sans-serif"/>
          <w:color w:val="000000"/>
          <w:sz w:val="20"/>
          <w:szCs w:val="20"/>
        </w:rPr>
        <w:t>ght class certification, an award of unspecified compensatory damages, an award of reasonable costs and expenses, including attorneys’ fees and expert fees, and further relief as the Court may deem just and proper. On March 2, 2021, the district court gran</w:t>
      </w:r>
      <w:r>
        <w:rPr>
          <w:rFonts w:ascii="sans-serif" w:eastAsia="sans-serif" w:hAnsi="sans-serif" w:cs="sans-serif"/>
          <w:color w:val="000000"/>
          <w:sz w:val="20"/>
          <w:szCs w:val="20"/>
        </w:rPr>
        <w:t>ted NVIDIA’s motion to dismiss the complaint without leave to amend, entered judgment in favor of NVIDIA and closed the case. On August 11, 2021, plaintiffs filed an appeal from judgment in the United States Court of Appeals for the Ninth Circuit, case num</w:t>
      </w:r>
      <w:r>
        <w:rPr>
          <w:rFonts w:ascii="sans-serif" w:eastAsia="sans-serif" w:hAnsi="sans-serif" w:cs="sans-serif"/>
          <w:color w:val="000000"/>
          <w:sz w:val="20"/>
          <w:szCs w:val="20"/>
        </w:rPr>
        <w:t>ber 21-15604.</w:t>
      </w:r>
    </w:p>
    <w:p w14:paraId="540672D3" w14:textId="77777777" w:rsidR="00611BDD" w:rsidRDefault="002E18C7">
      <w:pPr>
        <w:spacing w:after="180"/>
        <w:jc w:val="both"/>
      </w:pPr>
      <w:r>
        <w:rPr>
          <w:rFonts w:ascii="sans-serif" w:eastAsia="sans-serif" w:hAnsi="sans-serif" w:cs="sans-serif"/>
          <w:color w:val="000000"/>
          <w:sz w:val="20"/>
          <w:szCs w:val="20"/>
        </w:rPr>
        <w:t>The putative derivative lawsuit pending in the United States District Court for the Northern District of California, captioned 4:19-cv-00341-HSG, initially filed January 18, 2019 and titled In re NVIDIA Corporation Consolidated Derivative Lit</w:t>
      </w:r>
      <w:r>
        <w:rPr>
          <w:rFonts w:ascii="sans-serif" w:eastAsia="sans-serif" w:hAnsi="sans-serif" w:cs="sans-serif"/>
          <w:color w:val="000000"/>
          <w:sz w:val="20"/>
          <w:szCs w:val="20"/>
        </w:rPr>
        <w:t>igation, remains stayed pending resolution of the plaintiffs’ appeal in the In Re NVIDIA Corporation Securities Litigation action. The lawsuit asserts claims for breach of fiduciary duty, unjust enrichment, waste of corporate assets, and violations of Sect</w:t>
      </w:r>
      <w:r>
        <w:rPr>
          <w:rFonts w:ascii="sans-serif" w:eastAsia="sans-serif" w:hAnsi="sans-serif" w:cs="sans-serif"/>
          <w:color w:val="000000"/>
          <w:sz w:val="20"/>
          <w:szCs w:val="20"/>
        </w:rPr>
        <w:t xml:space="preserve">ions 14(a), 10(b), and 20(a) of the Exchange Act based on the dissemination of allegedly false and misleading statements related to channel inventory and the impact of cryptocurrency mining on GPU demand. The plaintiffs are seeking unspecified damages and </w:t>
      </w:r>
      <w:r>
        <w:rPr>
          <w:rFonts w:ascii="sans-serif" w:eastAsia="sans-serif" w:hAnsi="sans-serif" w:cs="sans-serif"/>
          <w:color w:val="000000"/>
          <w:sz w:val="20"/>
          <w:szCs w:val="20"/>
        </w:rPr>
        <w:t>other relief, including reforms and improvements to NVIDIA’s corporate governance and internal procedures.</w:t>
      </w:r>
    </w:p>
    <w:p w14:paraId="540672D4" w14:textId="77777777" w:rsidR="00611BDD" w:rsidRDefault="002E18C7">
      <w:pPr>
        <w:spacing w:after="180"/>
        <w:jc w:val="both"/>
      </w:pPr>
      <w:r>
        <w:rPr>
          <w:rFonts w:ascii="sans-serif" w:eastAsia="sans-serif" w:hAnsi="sans-serif" w:cs="sans-serif"/>
          <w:color w:val="000000"/>
          <w:sz w:val="20"/>
          <w:szCs w:val="20"/>
        </w:rPr>
        <w:t>The putative derivative actions initially filed September 24, 2019 and pending in the United States District Court for the District of Delaware, Lipc</w:t>
      </w:r>
      <w:r>
        <w:rPr>
          <w:rFonts w:ascii="sans-serif" w:eastAsia="sans-serif" w:hAnsi="sans-serif" w:cs="sans-serif"/>
          <w:color w:val="000000"/>
          <w:sz w:val="20"/>
          <w:szCs w:val="20"/>
        </w:rPr>
        <w:t>hitz v. Huang, et al. (Case No. 1:19-cv-01795-UNA) and Nelson v. Huang, et. al. (Case No. 1:19-cv-01798- UNA), remain stayed pending resolution of the plaintiffs’ appeal in the In Re NVIDIA Corporation Securities Litigation action. The lawsuits assert clai</w:t>
      </w:r>
      <w:r>
        <w:rPr>
          <w:rFonts w:ascii="sans-serif" w:eastAsia="sans-serif" w:hAnsi="sans-serif" w:cs="sans-serif"/>
          <w:color w:val="000000"/>
          <w:sz w:val="20"/>
          <w:szCs w:val="20"/>
        </w:rPr>
        <w:t>ms for breach of fiduciary duty, unjust enrichment, insider trading, misappropriation of information, corporate waste and violations of Sections 14(a), 10(b), and 20(a) of the Exchange Act based on the dissemination of allegedly false, and misleading state</w:t>
      </w:r>
      <w:r>
        <w:rPr>
          <w:rFonts w:ascii="sans-serif" w:eastAsia="sans-serif" w:hAnsi="sans-serif" w:cs="sans-serif"/>
          <w:color w:val="000000"/>
          <w:sz w:val="20"/>
          <w:szCs w:val="20"/>
        </w:rPr>
        <w:t xml:space="preserve">ments related to channel inventory and the impact of </w:t>
      </w:r>
    </w:p>
    <w:p w14:paraId="540672D5" w14:textId="77777777" w:rsidR="00611BDD" w:rsidRDefault="002E18C7">
      <w:pPr>
        <w:spacing w:after="180"/>
        <w:jc w:val="center"/>
      </w:pPr>
      <w:r>
        <w:rPr>
          <w:rFonts w:ascii="sans-serif" w:eastAsia="sans-serif" w:hAnsi="sans-serif" w:cs="sans-serif"/>
          <w:color w:val="000000"/>
          <w:sz w:val="20"/>
          <w:szCs w:val="20"/>
        </w:rPr>
        <w:t>20</w:t>
      </w:r>
    </w:p>
    <w:p w14:paraId="540672D6" w14:textId="77777777" w:rsidR="00611BDD" w:rsidRDefault="002E18C7">
      <w:r>
        <w:pict w14:anchorId="54067C38">
          <v:rect id="_x0000_i1044" style="width:415.3pt;height:1.5pt" o:hralign="center" o:hrstd="t" o:hr="t" fillcolor="#a0a0a0" stroked="f"/>
        </w:pict>
      </w:r>
    </w:p>
    <w:p w14:paraId="540672D7" w14:textId="77777777" w:rsidR="00611BDD" w:rsidRDefault="002E18C7">
      <w:pPr>
        <w:jc w:val="center"/>
      </w:pPr>
      <w:r>
        <w:rPr>
          <w:rFonts w:ascii="sans-serif" w:eastAsia="sans-serif" w:hAnsi="sans-serif" w:cs="sans-serif"/>
          <w:b/>
          <w:bCs/>
          <w:color w:val="000000"/>
          <w:sz w:val="20"/>
          <w:szCs w:val="20"/>
        </w:rPr>
        <w:t>NVIDIA CORPORATION AND SUBSIDIARIES</w:t>
      </w:r>
    </w:p>
    <w:p w14:paraId="540672D8" w14:textId="77777777" w:rsidR="00611BDD" w:rsidRDefault="002E18C7">
      <w:pPr>
        <w:jc w:val="center"/>
      </w:pPr>
      <w:r>
        <w:rPr>
          <w:rFonts w:ascii="sans-serif" w:eastAsia="sans-serif" w:hAnsi="sans-serif" w:cs="sans-serif"/>
          <w:b/>
          <w:bCs/>
          <w:color w:val="000000"/>
          <w:sz w:val="20"/>
          <w:szCs w:val="20"/>
        </w:rPr>
        <w:t>NOTES TO CONDENSED CONSOLIDATED FINANCIAL STATEMENTS (Continued)</w:t>
      </w:r>
    </w:p>
    <w:p w14:paraId="540672D9" w14:textId="77777777" w:rsidR="00611BDD" w:rsidRDefault="002E18C7">
      <w:pPr>
        <w:jc w:val="center"/>
      </w:pPr>
      <w:r>
        <w:rPr>
          <w:rFonts w:ascii="sans-serif" w:eastAsia="sans-serif" w:hAnsi="sans-serif" w:cs="sans-serif"/>
          <w:b/>
          <w:bCs/>
          <w:color w:val="000000"/>
          <w:sz w:val="20"/>
          <w:szCs w:val="20"/>
        </w:rPr>
        <w:t>(Unaudited)</w:t>
      </w:r>
    </w:p>
    <w:p w14:paraId="540672DA" w14:textId="77777777" w:rsidR="00611BDD" w:rsidRDefault="00611BDD">
      <w:pPr>
        <w:spacing w:after="180"/>
        <w:jc w:val="both"/>
      </w:pPr>
    </w:p>
    <w:p w14:paraId="540672DB" w14:textId="77777777" w:rsidR="00611BDD" w:rsidRDefault="00611BDD">
      <w:pPr>
        <w:spacing w:after="180"/>
        <w:jc w:val="both"/>
      </w:pPr>
    </w:p>
    <w:p w14:paraId="540672DC" w14:textId="77777777" w:rsidR="00611BDD" w:rsidRDefault="002E18C7">
      <w:pPr>
        <w:spacing w:after="180"/>
        <w:jc w:val="both"/>
      </w:pPr>
      <w:r>
        <w:rPr>
          <w:rFonts w:ascii="sans-serif" w:eastAsia="sans-serif" w:hAnsi="sans-serif" w:cs="sans-serif"/>
          <w:color w:val="000000"/>
          <w:sz w:val="20"/>
          <w:szCs w:val="20"/>
        </w:rPr>
        <w:t xml:space="preserve">cryptocurrency mining on GPU demand. The plaintiffs seek unspecified </w:t>
      </w:r>
      <w:r>
        <w:rPr>
          <w:rFonts w:ascii="sans-serif" w:eastAsia="sans-serif" w:hAnsi="sans-serif" w:cs="sans-serif"/>
          <w:color w:val="000000"/>
          <w:sz w:val="20"/>
          <w:szCs w:val="20"/>
        </w:rPr>
        <w:t>damages and other relief, including disgorgement of profits from the sale of NVIDIA stock and unspecified corporate governance measures.</w:t>
      </w:r>
    </w:p>
    <w:p w14:paraId="540672DD" w14:textId="77777777" w:rsidR="00611BDD" w:rsidRDefault="002E18C7">
      <w:pPr>
        <w:spacing w:before="120" w:after="120"/>
      </w:pPr>
      <w:r>
        <w:rPr>
          <w:rFonts w:ascii="sans-serif" w:eastAsia="sans-serif" w:hAnsi="sans-serif" w:cs="sans-serif"/>
          <w:b/>
          <w:bCs/>
          <w:color w:val="000000"/>
          <w:sz w:val="20"/>
          <w:szCs w:val="20"/>
        </w:rPr>
        <w:t>Accounting for Loss Contingencies</w:t>
      </w:r>
    </w:p>
    <w:p w14:paraId="540672DE" w14:textId="77777777" w:rsidR="00611BDD" w:rsidRDefault="002E18C7">
      <w:pPr>
        <w:spacing w:after="180"/>
        <w:jc w:val="both"/>
      </w:pPr>
      <w:r>
        <w:rPr>
          <w:rFonts w:ascii="sans-serif" w:eastAsia="sans-serif" w:hAnsi="sans-serif" w:cs="sans-serif"/>
          <w:color w:val="000000"/>
          <w:sz w:val="20"/>
          <w:szCs w:val="20"/>
        </w:rPr>
        <w:t>As of August 1, 2021, we have not recorded any accrual for contingent liabilities ass</w:t>
      </w:r>
      <w:r>
        <w:rPr>
          <w:rFonts w:ascii="sans-serif" w:eastAsia="sans-serif" w:hAnsi="sans-serif" w:cs="sans-serif"/>
          <w:color w:val="000000"/>
          <w:sz w:val="20"/>
          <w:szCs w:val="20"/>
        </w:rPr>
        <w:t>ociated with the legal proceedings described above based on our belief that liabilities, while possible, are not probable. Further, except as specifically described above, any possible loss or range of loss in these matters cannot be reasonably estimated a</w:t>
      </w:r>
      <w:r>
        <w:rPr>
          <w:rFonts w:ascii="sans-serif" w:eastAsia="sans-serif" w:hAnsi="sans-serif" w:cs="sans-serif"/>
          <w:color w:val="000000"/>
          <w:sz w:val="20"/>
          <w:szCs w:val="20"/>
        </w:rPr>
        <w:t>t this time. We are engaged in legal actions not described above arising in the ordinary course of business and, while there can be no assurance of favorable outcomes, we believe that the ultimate outcome of these actions will not have a material adverse e</w:t>
      </w:r>
      <w:r>
        <w:rPr>
          <w:rFonts w:ascii="sans-serif" w:eastAsia="sans-serif" w:hAnsi="sans-serif" w:cs="sans-serif"/>
          <w:color w:val="000000"/>
          <w:sz w:val="20"/>
          <w:szCs w:val="20"/>
        </w:rPr>
        <w:t>ffect on our operating results, liquidity or financial position.</w:t>
      </w:r>
    </w:p>
    <w:p w14:paraId="540672DF" w14:textId="77777777" w:rsidR="00611BDD" w:rsidRDefault="002E18C7">
      <w:pPr>
        <w:spacing w:before="240" w:after="120"/>
        <w:jc w:val="both"/>
      </w:pPr>
      <w:r>
        <w:rPr>
          <w:rFonts w:ascii="sans-serif" w:eastAsia="sans-serif" w:hAnsi="sans-serif" w:cs="sans-serif"/>
          <w:b/>
          <w:bCs/>
          <w:color w:val="76B900"/>
          <w:sz w:val="22"/>
          <w:szCs w:val="22"/>
        </w:rPr>
        <w:t>Note 14 - Shareholders’ Equity</w:t>
      </w:r>
      <w:r>
        <w:rPr>
          <w:rFonts w:ascii="sans-serif" w:eastAsia="sans-serif" w:hAnsi="sans-serif" w:cs="sans-serif"/>
          <w:color w:val="000000"/>
          <w:sz w:val="20"/>
          <w:szCs w:val="20"/>
        </w:rPr>
        <w:t> </w:t>
      </w:r>
    </w:p>
    <w:p w14:paraId="540672E0" w14:textId="77777777" w:rsidR="00611BDD" w:rsidRDefault="002E18C7">
      <w:pPr>
        <w:spacing w:before="240" w:after="60"/>
        <w:jc w:val="both"/>
      </w:pPr>
      <w:r>
        <w:rPr>
          <w:rFonts w:ascii="sans-serif" w:eastAsia="sans-serif" w:hAnsi="sans-serif" w:cs="sans-serif"/>
          <w:b/>
          <w:bCs/>
          <w:color w:val="76B900"/>
          <w:sz w:val="20"/>
          <w:szCs w:val="20"/>
        </w:rPr>
        <w:t>Capital Return Program </w:t>
      </w:r>
    </w:p>
    <w:p w14:paraId="540672E1" w14:textId="77777777" w:rsidR="00611BDD" w:rsidRDefault="002E18C7">
      <w:pPr>
        <w:spacing w:after="180"/>
        <w:jc w:val="both"/>
      </w:pPr>
      <w:r>
        <w:rPr>
          <w:rFonts w:ascii="sans-serif" w:eastAsia="sans-serif" w:hAnsi="sans-serif" w:cs="sans-serif"/>
          <w:color w:val="000000"/>
          <w:sz w:val="20"/>
          <w:szCs w:val="20"/>
        </w:rPr>
        <w:t>Beginning August 2004, our Board of Directors authorized us to repurchase our stock.</w:t>
      </w:r>
    </w:p>
    <w:p w14:paraId="540672E2" w14:textId="77777777" w:rsidR="00611BDD" w:rsidRDefault="002E18C7">
      <w:pPr>
        <w:spacing w:after="180"/>
        <w:jc w:val="both"/>
      </w:pPr>
      <w:r>
        <w:rPr>
          <w:rFonts w:ascii="sans-serif" w:eastAsia="sans-serif" w:hAnsi="sans-serif" w:cs="sans-serif"/>
          <w:color w:val="000000"/>
          <w:sz w:val="20"/>
          <w:szCs w:val="20"/>
        </w:rPr>
        <w:t>Through August 1, 2021, we have repurchased an agg</w:t>
      </w:r>
      <w:r>
        <w:rPr>
          <w:rFonts w:ascii="sans-serif" w:eastAsia="sans-serif" w:hAnsi="sans-serif" w:cs="sans-serif"/>
          <w:color w:val="000000"/>
          <w:sz w:val="20"/>
          <w:szCs w:val="20"/>
        </w:rPr>
        <w:t>regate of 1.04 billion shares under our share repurchase program for a total cost of $7.08 billion. All shares delivered from these repurchases have been placed into treasury stock. As of August 1, 2021, we were authorized, subject to certain specification</w:t>
      </w:r>
      <w:r>
        <w:rPr>
          <w:rFonts w:ascii="sans-serif" w:eastAsia="sans-serif" w:hAnsi="sans-serif" w:cs="sans-serif"/>
          <w:color w:val="000000"/>
          <w:sz w:val="20"/>
          <w:szCs w:val="20"/>
        </w:rPr>
        <w:t>s, to repurchase additional shares of our common stock up to $7.24 billion through December 2022.</w:t>
      </w:r>
    </w:p>
    <w:p w14:paraId="540672E3" w14:textId="77777777" w:rsidR="00611BDD" w:rsidRDefault="002E18C7">
      <w:pPr>
        <w:spacing w:after="180"/>
        <w:jc w:val="both"/>
      </w:pPr>
      <w:r>
        <w:rPr>
          <w:rFonts w:ascii="sans-serif" w:eastAsia="sans-serif" w:hAnsi="sans-serif" w:cs="sans-serif"/>
          <w:color w:val="000000"/>
          <w:sz w:val="20"/>
          <w:szCs w:val="20"/>
        </w:rPr>
        <w:t>During the second quarter and first half of fiscal year 2022, we paid $100 million and $198 million in cash dividends to our shareholders, respectively.</w:t>
      </w:r>
    </w:p>
    <w:p w14:paraId="540672E4" w14:textId="77777777" w:rsidR="00611BDD" w:rsidRDefault="002E18C7">
      <w:pPr>
        <w:spacing w:before="240" w:after="120"/>
        <w:jc w:val="both"/>
      </w:pPr>
      <w:r>
        <w:rPr>
          <w:rFonts w:ascii="sans-serif" w:eastAsia="sans-serif" w:hAnsi="sans-serif" w:cs="sans-serif"/>
          <w:b/>
          <w:bCs/>
          <w:color w:val="76B900"/>
          <w:sz w:val="22"/>
          <w:szCs w:val="22"/>
        </w:rPr>
        <w:t xml:space="preserve">Note </w:t>
      </w:r>
      <w:r>
        <w:rPr>
          <w:rFonts w:ascii="sans-serif" w:eastAsia="sans-serif" w:hAnsi="sans-serif" w:cs="sans-serif"/>
          <w:b/>
          <w:bCs/>
          <w:color w:val="76B900"/>
          <w:sz w:val="22"/>
          <w:szCs w:val="22"/>
        </w:rPr>
        <w:t>15 - Segment Information</w:t>
      </w:r>
    </w:p>
    <w:p w14:paraId="540672E5" w14:textId="77777777" w:rsidR="00611BDD" w:rsidRDefault="002E18C7">
      <w:pPr>
        <w:spacing w:after="180"/>
        <w:jc w:val="both"/>
      </w:pPr>
      <w:r>
        <w:rPr>
          <w:rFonts w:ascii="sans-serif" w:eastAsia="sans-serif" w:hAnsi="sans-serif" w:cs="sans-serif"/>
          <w:color w:val="000000"/>
          <w:sz w:val="20"/>
          <w:szCs w:val="20"/>
        </w:rPr>
        <w:t xml:space="preserve">Our Chief Executive Officer, who is considered to be our chief operating decision maker, or CODM, reviews financial information presented on an operating segment basis for purposes of making decisions and assessing financial performance. Our two operating </w:t>
      </w:r>
      <w:r>
        <w:rPr>
          <w:rFonts w:ascii="sans-serif" w:eastAsia="sans-serif" w:hAnsi="sans-serif" w:cs="sans-serif"/>
          <w:color w:val="000000"/>
          <w:sz w:val="20"/>
          <w:szCs w:val="20"/>
        </w:rPr>
        <w:t xml:space="preserve">segments are "Graphics" and "Compute &amp; Networking." Our operating segments are equivalent to our reportable segments. </w:t>
      </w:r>
    </w:p>
    <w:p w14:paraId="540672E6" w14:textId="77777777" w:rsidR="00611BDD" w:rsidRDefault="002E18C7">
      <w:pPr>
        <w:spacing w:after="180"/>
        <w:jc w:val="both"/>
      </w:pPr>
      <w:r>
        <w:rPr>
          <w:rFonts w:ascii="sans-serif" w:eastAsia="sans-serif" w:hAnsi="sans-serif" w:cs="sans-serif"/>
          <w:color w:val="000000"/>
          <w:sz w:val="20"/>
          <w:szCs w:val="20"/>
        </w:rPr>
        <w:t>Our Graphics segment includes GeForce GPUs for gaming and PCs, the GeForce NOW game streaming service and related infrastructure, and sol</w:t>
      </w:r>
      <w:r>
        <w:rPr>
          <w:rFonts w:ascii="sans-serif" w:eastAsia="sans-serif" w:hAnsi="sans-serif" w:cs="sans-serif"/>
          <w:color w:val="000000"/>
          <w:sz w:val="20"/>
          <w:szCs w:val="20"/>
        </w:rPr>
        <w:t xml:space="preserve">utions for gaming platforms; Quadro/NVIDIA RTX GPUs for enterprise design; GRID software for cloud-based visual and virtual computing; and automotive platforms for infotainment systems. </w:t>
      </w:r>
    </w:p>
    <w:p w14:paraId="540672E7" w14:textId="77777777" w:rsidR="00611BDD" w:rsidRDefault="002E18C7">
      <w:pPr>
        <w:spacing w:after="180"/>
        <w:jc w:val="both"/>
      </w:pPr>
      <w:r>
        <w:rPr>
          <w:rFonts w:ascii="sans-serif" w:eastAsia="sans-serif" w:hAnsi="sans-serif" w:cs="sans-serif"/>
          <w:color w:val="000000"/>
          <w:sz w:val="20"/>
          <w:szCs w:val="20"/>
        </w:rPr>
        <w:t>Our Compute &amp; Networking segment includes Data Center platforms and s</w:t>
      </w:r>
      <w:r>
        <w:rPr>
          <w:rFonts w:ascii="sans-serif" w:eastAsia="sans-serif" w:hAnsi="sans-serif" w:cs="sans-serif"/>
          <w:color w:val="000000"/>
          <w:sz w:val="20"/>
          <w:szCs w:val="20"/>
        </w:rPr>
        <w:t>ystems for artificial intelligence, or AI, high performance computing, or HPC, and accelerated computing; Mellanox networking and interconnect solutions; automotive AI Cockpit, autonomous driving development agreements, and autonomous vehicle solutions; cr</w:t>
      </w:r>
      <w:r>
        <w:rPr>
          <w:rFonts w:ascii="sans-serif" w:eastAsia="sans-serif" w:hAnsi="sans-serif" w:cs="sans-serif"/>
          <w:color w:val="000000"/>
          <w:sz w:val="20"/>
          <w:szCs w:val="20"/>
        </w:rPr>
        <w:t>yptocurrency mining processors, or CMP; and Jetson for robotics and other embedded platforms.</w:t>
      </w:r>
    </w:p>
    <w:p w14:paraId="540672E8" w14:textId="77777777" w:rsidR="00611BDD" w:rsidRDefault="002E18C7">
      <w:pPr>
        <w:spacing w:after="180"/>
        <w:jc w:val="both"/>
      </w:pPr>
      <w:r>
        <w:rPr>
          <w:rFonts w:ascii="sans-serif" w:eastAsia="sans-serif" w:hAnsi="sans-serif" w:cs="sans-serif"/>
          <w:color w:val="000000"/>
          <w:sz w:val="20"/>
          <w:szCs w:val="20"/>
        </w:rPr>
        <w:t>Operating results by segment include costs or expenses that are directly attributable to each segment, and costs or expenses that are leveraged across our unified</w:t>
      </w:r>
      <w:r>
        <w:rPr>
          <w:rFonts w:ascii="sans-serif" w:eastAsia="sans-serif" w:hAnsi="sans-serif" w:cs="sans-serif"/>
          <w:color w:val="000000"/>
          <w:sz w:val="20"/>
          <w:szCs w:val="20"/>
        </w:rPr>
        <w:t xml:space="preserve"> architecture and therefore allocated between our two segments.</w:t>
      </w:r>
    </w:p>
    <w:p w14:paraId="540672E9" w14:textId="77777777" w:rsidR="00611BDD" w:rsidRDefault="002E18C7">
      <w:pPr>
        <w:spacing w:after="180"/>
        <w:jc w:val="both"/>
      </w:pPr>
      <w:r>
        <w:rPr>
          <w:rFonts w:ascii="sans-serif" w:eastAsia="sans-serif" w:hAnsi="sans-serif" w:cs="sans-serif"/>
          <w:color w:val="000000"/>
          <w:sz w:val="20"/>
          <w:szCs w:val="20"/>
        </w:rPr>
        <w:t>The “All Other” category includes the expenses that our CODM does not assign to either Graphics or Compute &amp; Networking for purposes of making operating decisions or assessing financial perfor</w:t>
      </w:r>
      <w:r>
        <w:rPr>
          <w:rFonts w:ascii="sans-serif" w:eastAsia="sans-serif" w:hAnsi="sans-serif" w:cs="sans-serif"/>
          <w:color w:val="000000"/>
          <w:sz w:val="20"/>
          <w:szCs w:val="20"/>
        </w:rPr>
        <w:t xml:space="preserve">mance. The expenses include stock-based compensation expense, corporate infrastructure and support costs, acquisition-related costs, IP-related costs, and other non-recurring charges and benefits that our CODM deems to be enterprise in nature. </w:t>
      </w:r>
    </w:p>
    <w:p w14:paraId="540672EA" w14:textId="77777777" w:rsidR="00611BDD" w:rsidRDefault="00611BDD">
      <w:pPr>
        <w:spacing w:after="180"/>
        <w:jc w:val="both"/>
      </w:pPr>
    </w:p>
    <w:p w14:paraId="540672EB" w14:textId="77777777" w:rsidR="00611BDD" w:rsidRDefault="00611BDD">
      <w:pPr>
        <w:spacing w:after="180"/>
        <w:jc w:val="both"/>
      </w:pPr>
    </w:p>
    <w:p w14:paraId="540672EC" w14:textId="77777777" w:rsidR="00611BDD" w:rsidRDefault="00611BDD">
      <w:pPr>
        <w:spacing w:after="180"/>
        <w:jc w:val="both"/>
      </w:pPr>
    </w:p>
    <w:p w14:paraId="540672ED" w14:textId="77777777" w:rsidR="00611BDD" w:rsidRDefault="00611BDD">
      <w:pPr>
        <w:spacing w:after="180"/>
        <w:jc w:val="both"/>
      </w:pPr>
    </w:p>
    <w:p w14:paraId="540672EE" w14:textId="77777777" w:rsidR="00611BDD" w:rsidRDefault="00611BDD">
      <w:pPr>
        <w:spacing w:after="180"/>
        <w:jc w:val="both"/>
      </w:pPr>
    </w:p>
    <w:p w14:paraId="540672EF" w14:textId="77777777" w:rsidR="00611BDD" w:rsidRDefault="002E18C7">
      <w:pPr>
        <w:spacing w:after="180"/>
        <w:jc w:val="center"/>
      </w:pPr>
      <w:r>
        <w:rPr>
          <w:rFonts w:ascii="sans-serif" w:eastAsia="sans-serif" w:hAnsi="sans-serif" w:cs="sans-serif"/>
          <w:color w:val="000000"/>
          <w:sz w:val="20"/>
          <w:szCs w:val="20"/>
        </w:rPr>
        <w:t>21</w:t>
      </w:r>
    </w:p>
    <w:p w14:paraId="540672F0" w14:textId="77777777" w:rsidR="00611BDD" w:rsidRDefault="002E18C7">
      <w:r>
        <w:pict w14:anchorId="54067C39">
          <v:rect id="_x0000_i1045" style="width:415.3pt;height:1.5pt" o:hralign="center" o:hrstd="t" o:hr="t" fillcolor="#a0a0a0" stroked="f"/>
        </w:pict>
      </w:r>
    </w:p>
    <w:p w14:paraId="540672F1" w14:textId="77777777" w:rsidR="00611BDD" w:rsidRDefault="002E18C7">
      <w:pPr>
        <w:jc w:val="center"/>
      </w:pPr>
      <w:r>
        <w:rPr>
          <w:rFonts w:ascii="sans-serif" w:eastAsia="sans-serif" w:hAnsi="sans-serif" w:cs="sans-serif"/>
          <w:b/>
          <w:bCs/>
          <w:color w:val="000000"/>
          <w:sz w:val="20"/>
          <w:szCs w:val="20"/>
        </w:rPr>
        <w:t>N</w:t>
      </w:r>
      <w:r>
        <w:rPr>
          <w:rFonts w:ascii="sans-serif" w:eastAsia="sans-serif" w:hAnsi="sans-serif" w:cs="sans-serif"/>
          <w:b/>
          <w:bCs/>
          <w:color w:val="000000"/>
          <w:sz w:val="20"/>
          <w:szCs w:val="20"/>
        </w:rPr>
        <w:t>VIDIA CORPORATION AND SUBSIDIARIES</w:t>
      </w:r>
    </w:p>
    <w:p w14:paraId="540672F2" w14:textId="77777777" w:rsidR="00611BDD" w:rsidRDefault="002E18C7">
      <w:pPr>
        <w:jc w:val="center"/>
      </w:pPr>
      <w:r>
        <w:rPr>
          <w:rFonts w:ascii="sans-serif" w:eastAsia="sans-serif" w:hAnsi="sans-serif" w:cs="sans-serif"/>
          <w:b/>
          <w:bCs/>
          <w:color w:val="000000"/>
          <w:sz w:val="20"/>
          <w:szCs w:val="20"/>
        </w:rPr>
        <w:t>NOTES TO CONDENSED CONSOLIDATED FINANCIAL STATEMENTS (Continued)</w:t>
      </w:r>
    </w:p>
    <w:p w14:paraId="540672F3" w14:textId="77777777" w:rsidR="00611BDD" w:rsidRDefault="002E18C7">
      <w:pPr>
        <w:jc w:val="center"/>
      </w:pPr>
      <w:r>
        <w:rPr>
          <w:rFonts w:ascii="sans-serif" w:eastAsia="sans-serif" w:hAnsi="sans-serif" w:cs="sans-serif"/>
          <w:b/>
          <w:bCs/>
          <w:color w:val="000000"/>
          <w:sz w:val="20"/>
          <w:szCs w:val="20"/>
        </w:rPr>
        <w:t>(Unaudited)</w:t>
      </w:r>
    </w:p>
    <w:p w14:paraId="540672F4" w14:textId="77777777" w:rsidR="00611BDD" w:rsidRDefault="00611BDD">
      <w:pPr>
        <w:spacing w:after="180"/>
        <w:jc w:val="both"/>
      </w:pPr>
    </w:p>
    <w:p w14:paraId="540672F5" w14:textId="77777777" w:rsidR="00611BDD" w:rsidRDefault="00611BDD">
      <w:pPr>
        <w:spacing w:after="180"/>
        <w:jc w:val="both"/>
      </w:pPr>
    </w:p>
    <w:p w14:paraId="540672F6" w14:textId="77777777" w:rsidR="00611BDD" w:rsidRDefault="002E18C7">
      <w:pPr>
        <w:spacing w:after="180"/>
        <w:jc w:val="both"/>
      </w:pPr>
      <w:r>
        <w:rPr>
          <w:rFonts w:ascii="sans-serif" w:eastAsia="sans-serif" w:hAnsi="sans-serif" w:cs="sans-serif"/>
          <w:color w:val="000000"/>
          <w:sz w:val="20"/>
          <w:szCs w:val="20"/>
        </w:rPr>
        <w:t xml:space="preserve">Our CODM does not review any information regarding total assets on a reportable segment basis. Depreciation and amortization expense </w:t>
      </w:r>
      <w:r>
        <w:rPr>
          <w:rFonts w:ascii="sans-serif" w:eastAsia="sans-serif" w:hAnsi="sans-serif" w:cs="sans-serif"/>
          <w:color w:val="000000"/>
          <w:sz w:val="20"/>
          <w:szCs w:val="20"/>
        </w:rPr>
        <w:t>directly attributable to each reportable segment is included in operating results for each segment. However, the CODM does not evaluate depreciation and amortization expense by operating segment and, therefore, it is not separately presented. There is no i</w:t>
      </w:r>
      <w:r>
        <w:rPr>
          <w:rFonts w:ascii="sans-serif" w:eastAsia="sans-serif" w:hAnsi="sans-serif" w:cs="sans-serif"/>
          <w:color w:val="000000"/>
          <w:sz w:val="20"/>
          <w:szCs w:val="20"/>
        </w:rPr>
        <w:t>ntersegment revenue. The accounting policies for segment reporting are the same as for our consolidated financial statements. The table below presents details of our reportable segments and the “All Other” category.</w:t>
      </w:r>
    </w:p>
    <w:tbl>
      <w:tblPr>
        <w:tblW w:w="5000" w:type="pct"/>
        <w:tblCellMar>
          <w:top w:w="15" w:type="dxa"/>
          <w:left w:w="15" w:type="dxa"/>
          <w:bottom w:w="15" w:type="dxa"/>
          <w:right w:w="15" w:type="dxa"/>
        </w:tblCellMar>
        <w:tblLook w:val="04A0" w:firstRow="1" w:lastRow="0" w:firstColumn="1" w:lastColumn="0" w:noHBand="0" w:noVBand="1"/>
      </w:tblPr>
      <w:tblGrid>
        <w:gridCol w:w="39"/>
        <w:gridCol w:w="3532"/>
        <w:gridCol w:w="38"/>
        <w:gridCol w:w="123"/>
        <w:gridCol w:w="940"/>
        <w:gridCol w:w="36"/>
        <w:gridCol w:w="36"/>
        <w:gridCol w:w="36"/>
        <w:gridCol w:w="36"/>
        <w:gridCol w:w="123"/>
        <w:gridCol w:w="933"/>
        <w:gridCol w:w="36"/>
        <w:gridCol w:w="36"/>
        <w:gridCol w:w="36"/>
        <w:gridCol w:w="36"/>
        <w:gridCol w:w="122"/>
        <w:gridCol w:w="858"/>
        <w:gridCol w:w="36"/>
        <w:gridCol w:w="36"/>
        <w:gridCol w:w="36"/>
        <w:gridCol w:w="36"/>
        <w:gridCol w:w="123"/>
        <w:gridCol w:w="1037"/>
        <w:gridCol w:w="36"/>
      </w:tblGrid>
      <w:tr w:rsidR="00611BDD" w14:paraId="5406730F" w14:textId="77777777">
        <w:tc>
          <w:tcPr>
            <w:tcW w:w="50" w:type="pct"/>
            <w:shd w:val="clear" w:color="auto" w:fill="auto"/>
            <w:vAlign w:val="bottom"/>
          </w:tcPr>
          <w:p w14:paraId="540672F7" w14:textId="77777777" w:rsidR="00611BDD" w:rsidRDefault="00611BDD">
            <w:pPr>
              <w:rPr>
                <w:rFonts w:ascii="宋体"/>
              </w:rPr>
            </w:pPr>
          </w:p>
        </w:tc>
        <w:tc>
          <w:tcPr>
            <w:tcW w:w="2174" w:type="pct"/>
            <w:shd w:val="clear" w:color="auto" w:fill="auto"/>
            <w:vAlign w:val="bottom"/>
          </w:tcPr>
          <w:p w14:paraId="540672F8" w14:textId="77777777" w:rsidR="00611BDD" w:rsidRDefault="00611BDD">
            <w:pPr>
              <w:rPr>
                <w:rFonts w:ascii="宋体"/>
              </w:rPr>
            </w:pPr>
          </w:p>
        </w:tc>
        <w:tc>
          <w:tcPr>
            <w:tcW w:w="5" w:type="pct"/>
            <w:shd w:val="clear" w:color="auto" w:fill="auto"/>
            <w:vAlign w:val="bottom"/>
          </w:tcPr>
          <w:p w14:paraId="540672F9" w14:textId="77777777" w:rsidR="00611BDD" w:rsidRDefault="00611BDD">
            <w:pPr>
              <w:rPr>
                <w:rFonts w:ascii="宋体"/>
              </w:rPr>
            </w:pPr>
          </w:p>
        </w:tc>
        <w:tc>
          <w:tcPr>
            <w:tcW w:w="50" w:type="pct"/>
            <w:shd w:val="clear" w:color="auto" w:fill="auto"/>
            <w:vAlign w:val="bottom"/>
          </w:tcPr>
          <w:p w14:paraId="540672FA" w14:textId="77777777" w:rsidR="00611BDD" w:rsidRDefault="00611BDD">
            <w:pPr>
              <w:rPr>
                <w:rFonts w:ascii="宋体"/>
              </w:rPr>
            </w:pPr>
          </w:p>
        </w:tc>
        <w:tc>
          <w:tcPr>
            <w:tcW w:w="610" w:type="pct"/>
            <w:shd w:val="clear" w:color="auto" w:fill="auto"/>
            <w:vAlign w:val="bottom"/>
          </w:tcPr>
          <w:p w14:paraId="540672FB" w14:textId="77777777" w:rsidR="00611BDD" w:rsidRDefault="00611BDD">
            <w:pPr>
              <w:rPr>
                <w:rFonts w:ascii="宋体"/>
              </w:rPr>
            </w:pPr>
          </w:p>
        </w:tc>
        <w:tc>
          <w:tcPr>
            <w:tcW w:w="5" w:type="pct"/>
            <w:shd w:val="clear" w:color="auto" w:fill="auto"/>
            <w:vAlign w:val="bottom"/>
          </w:tcPr>
          <w:p w14:paraId="540672FC" w14:textId="77777777" w:rsidR="00611BDD" w:rsidRDefault="00611BDD">
            <w:pPr>
              <w:rPr>
                <w:rFonts w:ascii="宋体"/>
              </w:rPr>
            </w:pPr>
          </w:p>
        </w:tc>
        <w:tc>
          <w:tcPr>
            <w:tcW w:w="5" w:type="pct"/>
            <w:shd w:val="clear" w:color="auto" w:fill="auto"/>
            <w:vAlign w:val="bottom"/>
          </w:tcPr>
          <w:p w14:paraId="540672FD" w14:textId="77777777" w:rsidR="00611BDD" w:rsidRDefault="00611BDD">
            <w:pPr>
              <w:rPr>
                <w:rFonts w:ascii="宋体"/>
              </w:rPr>
            </w:pPr>
          </w:p>
        </w:tc>
        <w:tc>
          <w:tcPr>
            <w:tcW w:w="26" w:type="pct"/>
            <w:shd w:val="clear" w:color="auto" w:fill="auto"/>
            <w:vAlign w:val="bottom"/>
          </w:tcPr>
          <w:p w14:paraId="540672FE" w14:textId="77777777" w:rsidR="00611BDD" w:rsidRDefault="00611BDD">
            <w:pPr>
              <w:rPr>
                <w:rFonts w:ascii="宋体"/>
              </w:rPr>
            </w:pPr>
          </w:p>
        </w:tc>
        <w:tc>
          <w:tcPr>
            <w:tcW w:w="5" w:type="pct"/>
            <w:shd w:val="clear" w:color="auto" w:fill="auto"/>
            <w:vAlign w:val="bottom"/>
          </w:tcPr>
          <w:p w14:paraId="540672FF" w14:textId="77777777" w:rsidR="00611BDD" w:rsidRDefault="00611BDD">
            <w:pPr>
              <w:rPr>
                <w:rFonts w:ascii="宋体"/>
              </w:rPr>
            </w:pPr>
          </w:p>
        </w:tc>
        <w:tc>
          <w:tcPr>
            <w:tcW w:w="50" w:type="pct"/>
            <w:shd w:val="clear" w:color="auto" w:fill="auto"/>
            <w:vAlign w:val="bottom"/>
          </w:tcPr>
          <w:p w14:paraId="54067300" w14:textId="77777777" w:rsidR="00611BDD" w:rsidRDefault="00611BDD">
            <w:pPr>
              <w:rPr>
                <w:rFonts w:ascii="宋体"/>
              </w:rPr>
            </w:pPr>
          </w:p>
        </w:tc>
        <w:tc>
          <w:tcPr>
            <w:tcW w:w="610" w:type="pct"/>
            <w:shd w:val="clear" w:color="auto" w:fill="auto"/>
            <w:vAlign w:val="bottom"/>
          </w:tcPr>
          <w:p w14:paraId="54067301" w14:textId="77777777" w:rsidR="00611BDD" w:rsidRDefault="00611BDD">
            <w:pPr>
              <w:rPr>
                <w:rFonts w:ascii="宋体"/>
              </w:rPr>
            </w:pPr>
          </w:p>
        </w:tc>
        <w:tc>
          <w:tcPr>
            <w:tcW w:w="5" w:type="pct"/>
            <w:shd w:val="clear" w:color="auto" w:fill="auto"/>
            <w:vAlign w:val="bottom"/>
          </w:tcPr>
          <w:p w14:paraId="54067302" w14:textId="77777777" w:rsidR="00611BDD" w:rsidRDefault="00611BDD">
            <w:pPr>
              <w:rPr>
                <w:rFonts w:ascii="宋体"/>
              </w:rPr>
            </w:pPr>
          </w:p>
        </w:tc>
        <w:tc>
          <w:tcPr>
            <w:tcW w:w="5" w:type="pct"/>
            <w:shd w:val="clear" w:color="auto" w:fill="auto"/>
            <w:vAlign w:val="bottom"/>
          </w:tcPr>
          <w:p w14:paraId="54067303" w14:textId="77777777" w:rsidR="00611BDD" w:rsidRDefault="00611BDD">
            <w:pPr>
              <w:rPr>
                <w:rFonts w:ascii="宋体"/>
              </w:rPr>
            </w:pPr>
          </w:p>
        </w:tc>
        <w:tc>
          <w:tcPr>
            <w:tcW w:w="26" w:type="pct"/>
            <w:shd w:val="clear" w:color="auto" w:fill="auto"/>
            <w:vAlign w:val="bottom"/>
          </w:tcPr>
          <w:p w14:paraId="54067304" w14:textId="77777777" w:rsidR="00611BDD" w:rsidRDefault="00611BDD">
            <w:pPr>
              <w:rPr>
                <w:rFonts w:ascii="宋体"/>
              </w:rPr>
            </w:pPr>
          </w:p>
        </w:tc>
        <w:tc>
          <w:tcPr>
            <w:tcW w:w="5" w:type="pct"/>
            <w:shd w:val="clear" w:color="auto" w:fill="auto"/>
            <w:vAlign w:val="bottom"/>
          </w:tcPr>
          <w:p w14:paraId="54067305" w14:textId="77777777" w:rsidR="00611BDD" w:rsidRDefault="00611BDD">
            <w:pPr>
              <w:rPr>
                <w:rFonts w:ascii="宋体"/>
              </w:rPr>
            </w:pPr>
          </w:p>
        </w:tc>
        <w:tc>
          <w:tcPr>
            <w:tcW w:w="50" w:type="pct"/>
            <w:shd w:val="clear" w:color="auto" w:fill="auto"/>
            <w:vAlign w:val="bottom"/>
          </w:tcPr>
          <w:p w14:paraId="54067306" w14:textId="77777777" w:rsidR="00611BDD" w:rsidRDefault="00611BDD">
            <w:pPr>
              <w:rPr>
                <w:rFonts w:ascii="宋体"/>
              </w:rPr>
            </w:pPr>
          </w:p>
        </w:tc>
        <w:tc>
          <w:tcPr>
            <w:tcW w:w="610" w:type="pct"/>
            <w:shd w:val="clear" w:color="auto" w:fill="auto"/>
            <w:vAlign w:val="bottom"/>
          </w:tcPr>
          <w:p w14:paraId="54067307" w14:textId="77777777" w:rsidR="00611BDD" w:rsidRDefault="00611BDD">
            <w:pPr>
              <w:rPr>
                <w:rFonts w:ascii="宋体"/>
              </w:rPr>
            </w:pPr>
          </w:p>
        </w:tc>
        <w:tc>
          <w:tcPr>
            <w:tcW w:w="5" w:type="pct"/>
            <w:shd w:val="clear" w:color="auto" w:fill="auto"/>
            <w:vAlign w:val="bottom"/>
          </w:tcPr>
          <w:p w14:paraId="54067308" w14:textId="77777777" w:rsidR="00611BDD" w:rsidRDefault="00611BDD">
            <w:pPr>
              <w:rPr>
                <w:rFonts w:ascii="宋体"/>
              </w:rPr>
            </w:pPr>
          </w:p>
        </w:tc>
        <w:tc>
          <w:tcPr>
            <w:tcW w:w="5" w:type="pct"/>
            <w:shd w:val="clear" w:color="auto" w:fill="auto"/>
            <w:vAlign w:val="bottom"/>
          </w:tcPr>
          <w:p w14:paraId="54067309" w14:textId="77777777" w:rsidR="00611BDD" w:rsidRDefault="00611BDD">
            <w:pPr>
              <w:rPr>
                <w:rFonts w:ascii="宋体"/>
              </w:rPr>
            </w:pPr>
          </w:p>
        </w:tc>
        <w:tc>
          <w:tcPr>
            <w:tcW w:w="26" w:type="pct"/>
            <w:shd w:val="clear" w:color="auto" w:fill="auto"/>
            <w:vAlign w:val="bottom"/>
          </w:tcPr>
          <w:p w14:paraId="5406730A" w14:textId="77777777" w:rsidR="00611BDD" w:rsidRDefault="00611BDD">
            <w:pPr>
              <w:rPr>
                <w:rFonts w:ascii="宋体"/>
              </w:rPr>
            </w:pPr>
          </w:p>
        </w:tc>
        <w:tc>
          <w:tcPr>
            <w:tcW w:w="5" w:type="pct"/>
            <w:shd w:val="clear" w:color="auto" w:fill="auto"/>
            <w:vAlign w:val="bottom"/>
          </w:tcPr>
          <w:p w14:paraId="5406730B" w14:textId="77777777" w:rsidR="00611BDD" w:rsidRDefault="00611BDD">
            <w:pPr>
              <w:rPr>
                <w:rFonts w:ascii="宋体"/>
              </w:rPr>
            </w:pPr>
          </w:p>
        </w:tc>
        <w:tc>
          <w:tcPr>
            <w:tcW w:w="50" w:type="pct"/>
            <w:shd w:val="clear" w:color="auto" w:fill="auto"/>
            <w:vAlign w:val="bottom"/>
          </w:tcPr>
          <w:p w14:paraId="5406730C" w14:textId="77777777" w:rsidR="00611BDD" w:rsidRDefault="00611BDD">
            <w:pPr>
              <w:rPr>
                <w:rFonts w:ascii="宋体"/>
              </w:rPr>
            </w:pPr>
          </w:p>
        </w:tc>
        <w:tc>
          <w:tcPr>
            <w:tcW w:w="610" w:type="pct"/>
            <w:shd w:val="clear" w:color="auto" w:fill="auto"/>
            <w:vAlign w:val="bottom"/>
          </w:tcPr>
          <w:p w14:paraId="5406730D" w14:textId="77777777" w:rsidR="00611BDD" w:rsidRDefault="00611BDD">
            <w:pPr>
              <w:rPr>
                <w:rFonts w:ascii="宋体"/>
              </w:rPr>
            </w:pPr>
          </w:p>
        </w:tc>
        <w:tc>
          <w:tcPr>
            <w:tcW w:w="5" w:type="pct"/>
            <w:shd w:val="clear" w:color="auto" w:fill="auto"/>
            <w:vAlign w:val="bottom"/>
          </w:tcPr>
          <w:p w14:paraId="5406730E" w14:textId="77777777" w:rsidR="00611BDD" w:rsidRDefault="00611BDD">
            <w:pPr>
              <w:rPr>
                <w:rFonts w:ascii="宋体"/>
              </w:rPr>
            </w:pPr>
          </w:p>
        </w:tc>
      </w:tr>
      <w:tr w:rsidR="00611BDD" w14:paraId="54067318" w14:textId="77777777">
        <w:tc>
          <w:tcPr>
            <w:tcW w:w="0" w:type="auto"/>
            <w:gridSpan w:val="3"/>
            <w:shd w:val="clear" w:color="auto" w:fill="auto"/>
            <w:tcMar>
              <w:top w:w="40" w:type="dxa"/>
              <w:left w:w="20" w:type="dxa"/>
              <w:bottom w:w="40" w:type="dxa"/>
              <w:right w:w="20" w:type="dxa"/>
            </w:tcMar>
            <w:vAlign w:val="bottom"/>
          </w:tcPr>
          <w:p w14:paraId="54067310"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4067311" w14:textId="77777777" w:rsidR="00611BDD" w:rsidRDefault="002E18C7">
            <w:pPr>
              <w:jc w:val="center"/>
              <w:textAlignment w:val="bottom"/>
            </w:pPr>
            <w:r>
              <w:rPr>
                <w:rFonts w:ascii="sans-serif" w:eastAsia="sans-serif" w:hAnsi="sans-serif" w:cs="sans-serif"/>
                <w:b/>
                <w:bCs/>
                <w:color w:val="000000"/>
                <w:sz w:val="20"/>
                <w:szCs w:val="20"/>
              </w:rPr>
              <w:t>Graphics</w:t>
            </w:r>
          </w:p>
        </w:tc>
        <w:tc>
          <w:tcPr>
            <w:tcW w:w="0" w:type="auto"/>
            <w:gridSpan w:val="3"/>
            <w:shd w:val="clear" w:color="auto" w:fill="auto"/>
            <w:tcMar>
              <w:top w:w="0" w:type="dxa"/>
              <w:left w:w="20" w:type="dxa"/>
              <w:bottom w:w="0" w:type="dxa"/>
              <w:right w:w="20" w:type="dxa"/>
            </w:tcMar>
            <w:vAlign w:val="bottom"/>
          </w:tcPr>
          <w:p w14:paraId="54067312"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313" w14:textId="77777777" w:rsidR="00611BDD" w:rsidRDefault="002E18C7">
            <w:pPr>
              <w:jc w:val="center"/>
              <w:textAlignment w:val="bottom"/>
            </w:pPr>
            <w:r>
              <w:rPr>
                <w:rFonts w:ascii="sans-serif" w:eastAsia="sans-serif" w:hAnsi="sans-serif" w:cs="sans-serif"/>
                <w:b/>
                <w:bCs/>
                <w:color w:val="000000"/>
                <w:sz w:val="20"/>
                <w:szCs w:val="20"/>
              </w:rPr>
              <w:t>Compute &amp; Networking</w:t>
            </w:r>
          </w:p>
        </w:tc>
        <w:tc>
          <w:tcPr>
            <w:tcW w:w="0" w:type="auto"/>
            <w:gridSpan w:val="3"/>
            <w:shd w:val="clear" w:color="auto" w:fill="auto"/>
            <w:tcMar>
              <w:top w:w="0" w:type="dxa"/>
              <w:left w:w="20" w:type="dxa"/>
              <w:bottom w:w="0" w:type="dxa"/>
              <w:right w:w="20" w:type="dxa"/>
            </w:tcMar>
            <w:vAlign w:val="bottom"/>
          </w:tcPr>
          <w:p w14:paraId="54067314"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315" w14:textId="77777777" w:rsidR="00611BDD" w:rsidRDefault="002E18C7">
            <w:pPr>
              <w:jc w:val="center"/>
              <w:textAlignment w:val="bottom"/>
            </w:pPr>
            <w:r>
              <w:rPr>
                <w:rFonts w:ascii="sans-serif" w:eastAsia="sans-serif" w:hAnsi="sans-serif" w:cs="sans-serif"/>
                <w:b/>
                <w:bCs/>
                <w:color w:val="000000"/>
                <w:sz w:val="20"/>
                <w:szCs w:val="20"/>
              </w:rPr>
              <w:t>All Other</w:t>
            </w:r>
          </w:p>
        </w:tc>
        <w:tc>
          <w:tcPr>
            <w:tcW w:w="0" w:type="auto"/>
            <w:gridSpan w:val="3"/>
            <w:shd w:val="clear" w:color="auto" w:fill="auto"/>
            <w:tcMar>
              <w:top w:w="0" w:type="dxa"/>
              <w:left w:w="20" w:type="dxa"/>
              <w:bottom w:w="0" w:type="dxa"/>
              <w:right w:w="20" w:type="dxa"/>
            </w:tcMar>
            <w:vAlign w:val="bottom"/>
          </w:tcPr>
          <w:p w14:paraId="54067316"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317" w14:textId="77777777" w:rsidR="00611BDD" w:rsidRDefault="002E18C7">
            <w:pPr>
              <w:jc w:val="center"/>
              <w:textAlignment w:val="bottom"/>
            </w:pPr>
            <w:r>
              <w:rPr>
                <w:rFonts w:ascii="sans-serif" w:eastAsia="sans-serif" w:hAnsi="sans-serif" w:cs="sans-serif"/>
                <w:b/>
                <w:bCs/>
                <w:color w:val="000000"/>
                <w:sz w:val="20"/>
                <w:szCs w:val="20"/>
              </w:rPr>
              <w:t>Consolidated</w:t>
            </w:r>
          </w:p>
        </w:tc>
      </w:tr>
      <w:tr w:rsidR="00611BDD" w14:paraId="54067321" w14:textId="77777777">
        <w:trPr>
          <w:trHeight w:val="60"/>
        </w:trPr>
        <w:tc>
          <w:tcPr>
            <w:tcW w:w="0" w:type="auto"/>
            <w:gridSpan w:val="3"/>
            <w:shd w:val="clear" w:color="auto" w:fill="auto"/>
            <w:tcMar>
              <w:top w:w="0" w:type="dxa"/>
              <w:left w:w="20" w:type="dxa"/>
              <w:bottom w:w="0" w:type="dxa"/>
              <w:right w:w="20" w:type="dxa"/>
            </w:tcMar>
            <w:vAlign w:val="bottom"/>
          </w:tcPr>
          <w:p w14:paraId="54067319"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31A"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31B"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31C"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31D"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31E"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31F"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320" w14:textId="77777777" w:rsidR="00611BDD" w:rsidRDefault="00611BDD">
            <w:pPr>
              <w:rPr>
                <w:rFonts w:ascii="宋体"/>
              </w:rPr>
            </w:pPr>
          </w:p>
        </w:tc>
      </w:tr>
      <w:tr w:rsidR="00611BDD" w14:paraId="54067324" w14:textId="77777777">
        <w:tc>
          <w:tcPr>
            <w:tcW w:w="0" w:type="auto"/>
            <w:gridSpan w:val="3"/>
            <w:shd w:val="clear" w:color="auto" w:fill="auto"/>
            <w:tcMar>
              <w:top w:w="40" w:type="dxa"/>
              <w:left w:w="20" w:type="dxa"/>
              <w:bottom w:w="40" w:type="dxa"/>
              <w:right w:w="20" w:type="dxa"/>
            </w:tcMar>
            <w:vAlign w:val="bottom"/>
          </w:tcPr>
          <w:p w14:paraId="54067322" w14:textId="77777777" w:rsidR="00611BDD" w:rsidRDefault="002E18C7">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54067323" w14:textId="77777777" w:rsidR="00611BDD" w:rsidRDefault="002E18C7">
            <w:pPr>
              <w:jc w:val="center"/>
              <w:textAlignment w:val="bottom"/>
            </w:pPr>
            <w:r>
              <w:rPr>
                <w:rFonts w:ascii="sans-serif" w:eastAsia="sans-serif" w:hAnsi="sans-serif" w:cs="sans-serif"/>
                <w:i/>
                <w:iCs/>
                <w:color w:val="000000"/>
                <w:sz w:val="20"/>
                <w:szCs w:val="20"/>
              </w:rPr>
              <w:t>(In millions)</w:t>
            </w:r>
          </w:p>
        </w:tc>
      </w:tr>
      <w:tr w:rsidR="00611BDD" w14:paraId="5406732D" w14:textId="77777777">
        <w:tc>
          <w:tcPr>
            <w:tcW w:w="0" w:type="auto"/>
            <w:gridSpan w:val="3"/>
            <w:shd w:val="clear" w:color="auto" w:fill="E2EFD9"/>
            <w:tcMar>
              <w:top w:w="40" w:type="dxa"/>
              <w:left w:w="20" w:type="dxa"/>
              <w:bottom w:w="40" w:type="dxa"/>
              <w:right w:w="20" w:type="dxa"/>
            </w:tcMar>
            <w:vAlign w:val="bottom"/>
          </w:tcPr>
          <w:p w14:paraId="54067325" w14:textId="77777777" w:rsidR="00611BDD" w:rsidRDefault="002E18C7">
            <w:pPr>
              <w:textAlignment w:val="bottom"/>
            </w:pPr>
            <w:r>
              <w:rPr>
                <w:rFonts w:ascii="sans-serif" w:eastAsia="sans-serif" w:hAnsi="sans-serif" w:cs="sans-serif"/>
                <w:b/>
                <w:bCs/>
                <w:color w:val="000000"/>
                <w:sz w:val="20"/>
                <w:szCs w:val="20"/>
              </w:rPr>
              <w:t>Three Months Ended August 1, 2021</w:t>
            </w:r>
          </w:p>
        </w:tc>
        <w:tc>
          <w:tcPr>
            <w:tcW w:w="0" w:type="auto"/>
            <w:gridSpan w:val="3"/>
            <w:shd w:val="clear" w:color="auto" w:fill="E2EFD9"/>
            <w:tcMar>
              <w:top w:w="40" w:type="dxa"/>
              <w:left w:w="20" w:type="dxa"/>
              <w:bottom w:w="40" w:type="dxa"/>
              <w:right w:w="20" w:type="dxa"/>
            </w:tcMar>
            <w:vAlign w:val="bottom"/>
          </w:tcPr>
          <w:p w14:paraId="54067326"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54067327" w14:textId="77777777" w:rsidR="00611BDD" w:rsidRDefault="00611BDD">
            <w:pPr>
              <w:rPr>
                <w:rFonts w:ascii="宋体"/>
              </w:rPr>
            </w:pPr>
          </w:p>
        </w:tc>
        <w:tc>
          <w:tcPr>
            <w:tcW w:w="0" w:type="auto"/>
            <w:gridSpan w:val="3"/>
            <w:shd w:val="clear" w:color="auto" w:fill="E2EFD9"/>
            <w:tcMar>
              <w:top w:w="40" w:type="dxa"/>
              <w:left w:w="20" w:type="dxa"/>
              <w:bottom w:w="40" w:type="dxa"/>
              <w:right w:w="20" w:type="dxa"/>
            </w:tcMar>
            <w:vAlign w:val="bottom"/>
          </w:tcPr>
          <w:p w14:paraId="54067328"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54067329" w14:textId="77777777" w:rsidR="00611BDD" w:rsidRDefault="00611BDD">
            <w:pPr>
              <w:rPr>
                <w:rFonts w:ascii="宋体"/>
              </w:rPr>
            </w:pPr>
          </w:p>
        </w:tc>
        <w:tc>
          <w:tcPr>
            <w:tcW w:w="0" w:type="auto"/>
            <w:gridSpan w:val="3"/>
            <w:shd w:val="clear" w:color="auto" w:fill="E2EFD9"/>
            <w:tcMar>
              <w:top w:w="40" w:type="dxa"/>
              <w:left w:w="20" w:type="dxa"/>
              <w:bottom w:w="40" w:type="dxa"/>
              <w:right w:w="20" w:type="dxa"/>
            </w:tcMar>
            <w:vAlign w:val="bottom"/>
          </w:tcPr>
          <w:p w14:paraId="5406732A"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5406732B" w14:textId="77777777" w:rsidR="00611BDD" w:rsidRDefault="00611BDD">
            <w:pPr>
              <w:rPr>
                <w:rFonts w:ascii="宋体"/>
              </w:rPr>
            </w:pPr>
          </w:p>
        </w:tc>
        <w:tc>
          <w:tcPr>
            <w:tcW w:w="0" w:type="auto"/>
            <w:gridSpan w:val="3"/>
            <w:shd w:val="clear" w:color="auto" w:fill="E2EFD9"/>
            <w:tcMar>
              <w:top w:w="40" w:type="dxa"/>
              <w:left w:w="20" w:type="dxa"/>
              <w:bottom w:w="40" w:type="dxa"/>
              <w:right w:w="20" w:type="dxa"/>
            </w:tcMar>
            <w:vAlign w:val="bottom"/>
          </w:tcPr>
          <w:p w14:paraId="5406732C" w14:textId="77777777" w:rsidR="00611BDD" w:rsidRDefault="002E18C7">
            <w:pPr>
              <w:textAlignment w:val="bottom"/>
            </w:pPr>
            <w:r>
              <w:rPr>
                <w:rFonts w:ascii="sans-serif" w:eastAsia="sans-serif" w:hAnsi="sans-serif" w:cs="sans-serif"/>
                <w:color w:val="000000"/>
                <w:sz w:val="20"/>
                <w:szCs w:val="20"/>
              </w:rPr>
              <w:t> </w:t>
            </w:r>
          </w:p>
        </w:tc>
      </w:tr>
      <w:tr w:rsidR="00611BDD" w14:paraId="5406733E" w14:textId="77777777">
        <w:tc>
          <w:tcPr>
            <w:tcW w:w="0" w:type="auto"/>
            <w:gridSpan w:val="3"/>
            <w:shd w:val="clear" w:color="auto" w:fill="FFFFFF"/>
            <w:tcMar>
              <w:top w:w="40" w:type="dxa"/>
              <w:left w:w="20" w:type="dxa"/>
              <w:bottom w:w="40" w:type="dxa"/>
              <w:right w:w="20" w:type="dxa"/>
            </w:tcMar>
            <w:vAlign w:val="bottom"/>
          </w:tcPr>
          <w:p w14:paraId="5406732E" w14:textId="77777777" w:rsidR="00611BDD" w:rsidRDefault="002E18C7">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5406732F"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7330" w14:textId="77777777" w:rsidR="00611BDD" w:rsidRDefault="002E18C7">
            <w:pPr>
              <w:jc w:val="right"/>
              <w:textAlignment w:val="bottom"/>
            </w:pPr>
            <w:r>
              <w:rPr>
                <w:rFonts w:ascii="sans-serif" w:eastAsia="sans-serif" w:hAnsi="sans-serif" w:cs="sans-serif"/>
                <w:color w:val="000000"/>
                <w:sz w:val="20"/>
                <w:szCs w:val="20"/>
              </w:rPr>
              <w:t>3,907 </w:t>
            </w:r>
          </w:p>
        </w:tc>
        <w:tc>
          <w:tcPr>
            <w:tcW w:w="0" w:type="auto"/>
            <w:shd w:val="clear" w:color="auto" w:fill="FFFFFF"/>
            <w:tcMar>
              <w:top w:w="40" w:type="dxa"/>
              <w:left w:w="0" w:type="dxa"/>
              <w:bottom w:w="40" w:type="dxa"/>
              <w:right w:w="20" w:type="dxa"/>
            </w:tcMar>
            <w:vAlign w:val="bottom"/>
          </w:tcPr>
          <w:p w14:paraId="54067331"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332"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7333"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7334" w14:textId="77777777" w:rsidR="00611BDD" w:rsidRDefault="002E18C7">
            <w:pPr>
              <w:jc w:val="right"/>
              <w:textAlignment w:val="bottom"/>
            </w:pPr>
            <w:r>
              <w:rPr>
                <w:rFonts w:ascii="sans-serif" w:eastAsia="sans-serif" w:hAnsi="sans-serif" w:cs="sans-serif"/>
                <w:color w:val="000000"/>
                <w:sz w:val="20"/>
                <w:szCs w:val="20"/>
              </w:rPr>
              <w:t>2,600 </w:t>
            </w:r>
          </w:p>
        </w:tc>
        <w:tc>
          <w:tcPr>
            <w:tcW w:w="0" w:type="auto"/>
            <w:shd w:val="clear" w:color="auto" w:fill="FFFFFF"/>
            <w:tcMar>
              <w:top w:w="40" w:type="dxa"/>
              <w:left w:w="0" w:type="dxa"/>
              <w:bottom w:w="40" w:type="dxa"/>
              <w:right w:w="20" w:type="dxa"/>
            </w:tcMar>
            <w:vAlign w:val="bottom"/>
          </w:tcPr>
          <w:p w14:paraId="54067335"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336"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7337"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7338"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406733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33A"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733B"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733C" w14:textId="77777777" w:rsidR="00611BDD" w:rsidRDefault="002E18C7">
            <w:pPr>
              <w:jc w:val="right"/>
              <w:textAlignment w:val="bottom"/>
            </w:pPr>
            <w:r>
              <w:rPr>
                <w:rFonts w:ascii="sans-serif" w:eastAsia="sans-serif" w:hAnsi="sans-serif" w:cs="sans-serif"/>
                <w:color w:val="000000"/>
                <w:sz w:val="20"/>
                <w:szCs w:val="20"/>
              </w:rPr>
              <w:t>6,507 </w:t>
            </w:r>
          </w:p>
        </w:tc>
        <w:tc>
          <w:tcPr>
            <w:tcW w:w="0" w:type="auto"/>
            <w:shd w:val="clear" w:color="auto" w:fill="FFFFFF"/>
            <w:tcMar>
              <w:top w:w="40" w:type="dxa"/>
              <w:left w:w="0" w:type="dxa"/>
              <w:bottom w:w="40" w:type="dxa"/>
              <w:right w:w="20" w:type="dxa"/>
            </w:tcMar>
            <w:vAlign w:val="bottom"/>
          </w:tcPr>
          <w:p w14:paraId="5406733D" w14:textId="77777777" w:rsidR="00611BDD" w:rsidRDefault="00611BDD">
            <w:pPr>
              <w:jc w:val="right"/>
              <w:rPr>
                <w:rFonts w:ascii="宋体"/>
              </w:rPr>
            </w:pPr>
          </w:p>
        </w:tc>
      </w:tr>
      <w:tr w:rsidR="00611BDD" w14:paraId="54067347" w14:textId="77777777">
        <w:trPr>
          <w:hidden/>
        </w:trPr>
        <w:tc>
          <w:tcPr>
            <w:tcW w:w="0" w:type="auto"/>
            <w:gridSpan w:val="3"/>
            <w:shd w:val="clear" w:color="auto" w:fill="auto"/>
            <w:vAlign w:val="bottom"/>
          </w:tcPr>
          <w:p w14:paraId="5406733F" w14:textId="77777777" w:rsidR="00611BDD" w:rsidRDefault="00611BDD">
            <w:pPr>
              <w:rPr>
                <w:rFonts w:ascii="宋体"/>
                <w:vanish/>
              </w:rPr>
            </w:pPr>
          </w:p>
        </w:tc>
        <w:tc>
          <w:tcPr>
            <w:tcW w:w="0" w:type="auto"/>
            <w:gridSpan w:val="3"/>
            <w:shd w:val="clear" w:color="auto" w:fill="auto"/>
            <w:vAlign w:val="bottom"/>
          </w:tcPr>
          <w:p w14:paraId="54067340" w14:textId="77777777" w:rsidR="00611BDD" w:rsidRDefault="00611BDD">
            <w:pPr>
              <w:rPr>
                <w:rFonts w:ascii="宋体"/>
                <w:vanish/>
              </w:rPr>
            </w:pPr>
          </w:p>
        </w:tc>
        <w:tc>
          <w:tcPr>
            <w:tcW w:w="0" w:type="auto"/>
            <w:gridSpan w:val="3"/>
            <w:shd w:val="clear" w:color="auto" w:fill="auto"/>
            <w:vAlign w:val="bottom"/>
          </w:tcPr>
          <w:p w14:paraId="54067341" w14:textId="77777777" w:rsidR="00611BDD" w:rsidRDefault="00611BDD">
            <w:pPr>
              <w:rPr>
                <w:rFonts w:ascii="宋体"/>
                <w:vanish/>
              </w:rPr>
            </w:pPr>
          </w:p>
        </w:tc>
        <w:tc>
          <w:tcPr>
            <w:tcW w:w="0" w:type="auto"/>
            <w:gridSpan w:val="3"/>
            <w:shd w:val="clear" w:color="auto" w:fill="auto"/>
            <w:vAlign w:val="bottom"/>
          </w:tcPr>
          <w:p w14:paraId="54067342" w14:textId="77777777" w:rsidR="00611BDD" w:rsidRDefault="00611BDD">
            <w:pPr>
              <w:rPr>
                <w:rFonts w:ascii="宋体"/>
                <w:vanish/>
              </w:rPr>
            </w:pPr>
          </w:p>
        </w:tc>
        <w:tc>
          <w:tcPr>
            <w:tcW w:w="0" w:type="auto"/>
            <w:gridSpan w:val="3"/>
            <w:shd w:val="clear" w:color="auto" w:fill="auto"/>
            <w:vAlign w:val="bottom"/>
          </w:tcPr>
          <w:p w14:paraId="54067343" w14:textId="77777777" w:rsidR="00611BDD" w:rsidRDefault="00611BDD">
            <w:pPr>
              <w:rPr>
                <w:rFonts w:ascii="宋体"/>
                <w:vanish/>
              </w:rPr>
            </w:pPr>
          </w:p>
        </w:tc>
        <w:tc>
          <w:tcPr>
            <w:tcW w:w="0" w:type="auto"/>
            <w:gridSpan w:val="3"/>
            <w:shd w:val="clear" w:color="auto" w:fill="auto"/>
            <w:vAlign w:val="bottom"/>
          </w:tcPr>
          <w:p w14:paraId="54067344" w14:textId="77777777" w:rsidR="00611BDD" w:rsidRDefault="00611BDD">
            <w:pPr>
              <w:rPr>
                <w:rFonts w:ascii="宋体"/>
                <w:vanish/>
              </w:rPr>
            </w:pPr>
          </w:p>
        </w:tc>
        <w:tc>
          <w:tcPr>
            <w:tcW w:w="0" w:type="auto"/>
            <w:gridSpan w:val="3"/>
            <w:shd w:val="clear" w:color="auto" w:fill="auto"/>
            <w:vAlign w:val="bottom"/>
          </w:tcPr>
          <w:p w14:paraId="54067345" w14:textId="77777777" w:rsidR="00611BDD" w:rsidRDefault="00611BDD">
            <w:pPr>
              <w:rPr>
                <w:rFonts w:ascii="宋体"/>
                <w:vanish/>
              </w:rPr>
            </w:pPr>
          </w:p>
        </w:tc>
        <w:tc>
          <w:tcPr>
            <w:tcW w:w="0" w:type="auto"/>
            <w:gridSpan w:val="3"/>
            <w:shd w:val="clear" w:color="auto" w:fill="auto"/>
            <w:vAlign w:val="bottom"/>
          </w:tcPr>
          <w:p w14:paraId="54067346" w14:textId="77777777" w:rsidR="00611BDD" w:rsidRDefault="00611BDD">
            <w:pPr>
              <w:rPr>
                <w:rFonts w:ascii="宋体"/>
                <w:vanish/>
              </w:rPr>
            </w:pPr>
          </w:p>
        </w:tc>
      </w:tr>
      <w:tr w:rsidR="00611BDD" w14:paraId="54067358" w14:textId="77777777">
        <w:tc>
          <w:tcPr>
            <w:tcW w:w="0" w:type="auto"/>
            <w:gridSpan w:val="3"/>
            <w:shd w:val="clear" w:color="auto" w:fill="E2EFD9"/>
            <w:tcMar>
              <w:top w:w="40" w:type="dxa"/>
              <w:left w:w="20" w:type="dxa"/>
              <w:bottom w:w="40" w:type="dxa"/>
              <w:right w:w="20" w:type="dxa"/>
            </w:tcMar>
            <w:vAlign w:val="bottom"/>
          </w:tcPr>
          <w:p w14:paraId="54067348" w14:textId="77777777" w:rsidR="00611BDD" w:rsidRDefault="002E18C7">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54067349"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34A" w14:textId="77777777" w:rsidR="00611BDD" w:rsidRDefault="002E18C7">
            <w:pPr>
              <w:jc w:val="right"/>
              <w:textAlignment w:val="bottom"/>
            </w:pPr>
            <w:r>
              <w:rPr>
                <w:rFonts w:ascii="sans-serif" w:eastAsia="sans-serif" w:hAnsi="sans-serif" w:cs="sans-serif"/>
                <w:color w:val="000000"/>
                <w:sz w:val="20"/>
                <w:szCs w:val="20"/>
              </w:rPr>
              <w:t>2,127 </w:t>
            </w:r>
          </w:p>
        </w:tc>
        <w:tc>
          <w:tcPr>
            <w:tcW w:w="0" w:type="auto"/>
            <w:shd w:val="clear" w:color="auto" w:fill="E2EFD9"/>
            <w:tcMar>
              <w:top w:w="40" w:type="dxa"/>
              <w:left w:w="0" w:type="dxa"/>
              <w:bottom w:w="40" w:type="dxa"/>
              <w:right w:w="20" w:type="dxa"/>
            </w:tcMar>
            <w:vAlign w:val="bottom"/>
          </w:tcPr>
          <w:p w14:paraId="5406734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34C"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34D"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34E" w14:textId="77777777" w:rsidR="00611BDD" w:rsidRDefault="002E18C7">
            <w:pPr>
              <w:jc w:val="right"/>
              <w:textAlignment w:val="bottom"/>
            </w:pPr>
            <w:r>
              <w:rPr>
                <w:rFonts w:ascii="sans-serif" w:eastAsia="sans-serif" w:hAnsi="sans-serif" w:cs="sans-serif"/>
                <w:color w:val="000000"/>
                <w:sz w:val="20"/>
                <w:szCs w:val="20"/>
              </w:rPr>
              <w:t>1,034 </w:t>
            </w:r>
          </w:p>
        </w:tc>
        <w:tc>
          <w:tcPr>
            <w:tcW w:w="0" w:type="auto"/>
            <w:shd w:val="clear" w:color="auto" w:fill="E2EFD9"/>
            <w:tcMar>
              <w:top w:w="40" w:type="dxa"/>
              <w:left w:w="0" w:type="dxa"/>
              <w:bottom w:w="40" w:type="dxa"/>
              <w:right w:w="20" w:type="dxa"/>
            </w:tcMar>
            <w:vAlign w:val="bottom"/>
          </w:tcPr>
          <w:p w14:paraId="5406734F"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350"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351"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352" w14:textId="77777777" w:rsidR="00611BDD" w:rsidRDefault="002E18C7">
            <w:pPr>
              <w:jc w:val="right"/>
              <w:textAlignment w:val="bottom"/>
            </w:pPr>
            <w:r>
              <w:rPr>
                <w:rFonts w:ascii="sans-serif" w:eastAsia="sans-serif" w:hAnsi="sans-serif" w:cs="sans-serif"/>
                <w:color w:val="000000"/>
                <w:sz w:val="20"/>
                <w:szCs w:val="20"/>
              </w:rPr>
              <w:t>(717)</w:t>
            </w:r>
          </w:p>
        </w:tc>
        <w:tc>
          <w:tcPr>
            <w:tcW w:w="0" w:type="auto"/>
            <w:shd w:val="clear" w:color="auto" w:fill="E2EFD9"/>
            <w:tcMar>
              <w:top w:w="40" w:type="dxa"/>
              <w:left w:w="0" w:type="dxa"/>
              <w:bottom w:w="40" w:type="dxa"/>
              <w:right w:w="20" w:type="dxa"/>
            </w:tcMar>
            <w:vAlign w:val="bottom"/>
          </w:tcPr>
          <w:p w14:paraId="5406735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354"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355"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356" w14:textId="77777777" w:rsidR="00611BDD" w:rsidRDefault="002E18C7">
            <w:pPr>
              <w:jc w:val="right"/>
              <w:textAlignment w:val="bottom"/>
            </w:pPr>
            <w:r>
              <w:rPr>
                <w:rFonts w:ascii="sans-serif" w:eastAsia="sans-serif" w:hAnsi="sans-serif" w:cs="sans-serif"/>
                <w:color w:val="000000"/>
                <w:sz w:val="20"/>
                <w:szCs w:val="20"/>
              </w:rPr>
              <w:t>2,444 </w:t>
            </w:r>
          </w:p>
        </w:tc>
        <w:tc>
          <w:tcPr>
            <w:tcW w:w="0" w:type="auto"/>
            <w:shd w:val="clear" w:color="auto" w:fill="E2EFD9"/>
            <w:tcMar>
              <w:top w:w="40" w:type="dxa"/>
              <w:left w:w="0" w:type="dxa"/>
              <w:bottom w:w="40" w:type="dxa"/>
              <w:right w:w="20" w:type="dxa"/>
            </w:tcMar>
            <w:vAlign w:val="bottom"/>
          </w:tcPr>
          <w:p w14:paraId="54067357" w14:textId="77777777" w:rsidR="00611BDD" w:rsidRDefault="00611BDD">
            <w:pPr>
              <w:jc w:val="right"/>
              <w:rPr>
                <w:rFonts w:ascii="宋体"/>
              </w:rPr>
            </w:pPr>
          </w:p>
        </w:tc>
      </w:tr>
      <w:tr w:rsidR="00611BDD" w14:paraId="54067361" w14:textId="77777777">
        <w:trPr>
          <w:trHeight w:val="300"/>
        </w:trPr>
        <w:tc>
          <w:tcPr>
            <w:tcW w:w="0" w:type="auto"/>
            <w:gridSpan w:val="3"/>
            <w:shd w:val="clear" w:color="auto" w:fill="FFFFFF"/>
            <w:tcMar>
              <w:top w:w="0" w:type="dxa"/>
              <w:left w:w="20" w:type="dxa"/>
              <w:bottom w:w="0" w:type="dxa"/>
              <w:right w:w="20" w:type="dxa"/>
            </w:tcMar>
            <w:vAlign w:val="bottom"/>
          </w:tcPr>
          <w:p w14:paraId="54067359"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35A"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35B"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35C"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35D"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35E"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35F"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360" w14:textId="77777777" w:rsidR="00611BDD" w:rsidRDefault="00611BDD">
            <w:pPr>
              <w:rPr>
                <w:rFonts w:ascii="宋体"/>
              </w:rPr>
            </w:pPr>
          </w:p>
        </w:tc>
      </w:tr>
      <w:tr w:rsidR="00611BDD" w14:paraId="5406736A" w14:textId="77777777">
        <w:tc>
          <w:tcPr>
            <w:tcW w:w="0" w:type="auto"/>
            <w:gridSpan w:val="3"/>
            <w:shd w:val="clear" w:color="auto" w:fill="E2EFD9"/>
            <w:tcMar>
              <w:top w:w="40" w:type="dxa"/>
              <w:left w:w="20" w:type="dxa"/>
              <w:bottom w:w="40" w:type="dxa"/>
              <w:right w:w="20" w:type="dxa"/>
            </w:tcMar>
            <w:vAlign w:val="bottom"/>
          </w:tcPr>
          <w:p w14:paraId="54067362" w14:textId="77777777" w:rsidR="00611BDD" w:rsidRDefault="002E18C7">
            <w:pPr>
              <w:textAlignment w:val="bottom"/>
            </w:pPr>
            <w:r>
              <w:rPr>
                <w:rFonts w:ascii="sans-serif" w:eastAsia="sans-serif" w:hAnsi="sans-serif" w:cs="sans-serif"/>
                <w:b/>
                <w:bCs/>
                <w:color w:val="000000"/>
                <w:sz w:val="20"/>
                <w:szCs w:val="20"/>
              </w:rPr>
              <w:t>Three Months Ended July 26, 2020</w:t>
            </w:r>
          </w:p>
        </w:tc>
        <w:tc>
          <w:tcPr>
            <w:tcW w:w="0" w:type="auto"/>
            <w:gridSpan w:val="3"/>
            <w:shd w:val="clear" w:color="auto" w:fill="E2EFD9"/>
            <w:tcMar>
              <w:top w:w="40" w:type="dxa"/>
              <w:left w:w="20" w:type="dxa"/>
              <w:bottom w:w="40" w:type="dxa"/>
              <w:right w:w="20" w:type="dxa"/>
            </w:tcMar>
            <w:vAlign w:val="bottom"/>
          </w:tcPr>
          <w:p w14:paraId="54067363" w14:textId="77777777" w:rsidR="00611BDD" w:rsidRDefault="002E18C7">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54067364" w14:textId="77777777" w:rsidR="00611BDD" w:rsidRDefault="00611BDD">
            <w:pPr>
              <w:rPr>
                <w:rFonts w:ascii="宋体"/>
              </w:rPr>
            </w:pPr>
          </w:p>
        </w:tc>
        <w:tc>
          <w:tcPr>
            <w:tcW w:w="0" w:type="auto"/>
            <w:gridSpan w:val="3"/>
            <w:shd w:val="clear" w:color="auto" w:fill="E2EFD9"/>
            <w:tcMar>
              <w:top w:w="40" w:type="dxa"/>
              <w:left w:w="20" w:type="dxa"/>
              <w:bottom w:w="40" w:type="dxa"/>
              <w:right w:w="20" w:type="dxa"/>
            </w:tcMar>
            <w:vAlign w:val="bottom"/>
          </w:tcPr>
          <w:p w14:paraId="54067365" w14:textId="77777777" w:rsidR="00611BDD" w:rsidRDefault="002E18C7">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54067366" w14:textId="77777777" w:rsidR="00611BDD" w:rsidRDefault="00611BDD">
            <w:pPr>
              <w:rPr>
                <w:rFonts w:ascii="宋体"/>
              </w:rPr>
            </w:pPr>
          </w:p>
        </w:tc>
        <w:tc>
          <w:tcPr>
            <w:tcW w:w="0" w:type="auto"/>
            <w:gridSpan w:val="3"/>
            <w:shd w:val="clear" w:color="auto" w:fill="E2EFD9"/>
            <w:tcMar>
              <w:top w:w="40" w:type="dxa"/>
              <w:left w:w="20" w:type="dxa"/>
              <w:bottom w:w="40" w:type="dxa"/>
              <w:right w:w="20" w:type="dxa"/>
            </w:tcMar>
            <w:vAlign w:val="bottom"/>
          </w:tcPr>
          <w:p w14:paraId="54067367" w14:textId="77777777" w:rsidR="00611BDD" w:rsidRDefault="002E18C7">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54067368" w14:textId="77777777" w:rsidR="00611BDD" w:rsidRDefault="00611BDD">
            <w:pPr>
              <w:rPr>
                <w:rFonts w:ascii="宋体"/>
              </w:rPr>
            </w:pPr>
          </w:p>
        </w:tc>
        <w:tc>
          <w:tcPr>
            <w:tcW w:w="0" w:type="auto"/>
            <w:gridSpan w:val="3"/>
            <w:shd w:val="clear" w:color="auto" w:fill="E2EFD9"/>
            <w:tcMar>
              <w:top w:w="40" w:type="dxa"/>
              <w:left w:w="20" w:type="dxa"/>
              <w:bottom w:w="40" w:type="dxa"/>
              <w:right w:w="20" w:type="dxa"/>
            </w:tcMar>
            <w:vAlign w:val="bottom"/>
          </w:tcPr>
          <w:p w14:paraId="54067369" w14:textId="77777777" w:rsidR="00611BDD" w:rsidRDefault="002E18C7">
            <w:pPr>
              <w:jc w:val="right"/>
              <w:textAlignment w:val="bottom"/>
            </w:pPr>
            <w:r>
              <w:rPr>
                <w:rFonts w:ascii="sans-serif" w:eastAsia="sans-serif" w:hAnsi="sans-serif" w:cs="sans-serif"/>
                <w:color w:val="000000"/>
                <w:sz w:val="20"/>
                <w:szCs w:val="20"/>
              </w:rPr>
              <w:t> </w:t>
            </w:r>
          </w:p>
        </w:tc>
      </w:tr>
      <w:tr w:rsidR="00611BDD" w14:paraId="5406737B" w14:textId="77777777">
        <w:tc>
          <w:tcPr>
            <w:tcW w:w="0" w:type="auto"/>
            <w:gridSpan w:val="3"/>
            <w:shd w:val="clear" w:color="auto" w:fill="FFFFFF"/>
            <w:tcMar>
              <w:top w:w="40" w:type="dxa"/>
              <w:left w:w="20" w:type="dxa"/>
              <w:bottom w:w="40" w:type="dxa"/>
              <w:right w:w="20" w:type="dxa"/>
            </w:tcMar>
            <w:vAlign w:val="bottom"/>
          </w:tcPr>
          <w:p w14:paraId="5406736B" w14:textId="77777777" w:rsidR="00611BDD" w:rsidRDefault="002E18C7">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5406736C"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736D" w14:textId="77777777" w:rsidR="00611BDD" w:rsidRDefault="002E18C7">
            <w:pPr>
              <w:jc w:val="right"/>
              <w:textAlignment w:val="bottom"/>
            </w:pPr>
            <w:r>
              <w:rPr>
                <w:rFonts w:ascii="sans-serif" w:eastAsia="sans-serif" w:hAnsi="sans-serif" w:cs="sans-serif"/>
                <w:color w:val="000000"/>
                <w:sz w:val="20"/>
                <w:szCs w:val="20"/>
              </w:rPr>
              <w:t>2,085 </w:t>
            </w:r>
          </w:p>
        </w:tc>
        <w:tc>
          <w:tcPr>
            <w:tcW w:w="0" w:type="auto"/>
            <w:shd w:val="clear" w:color="auto" w:fill="FFFFFF"/>
            <w:tcMar>
              <w:top w:w="40" w:type="dxa"/>
              <w:left w:w="0" w:type="dxa"/>
              <w:bottom w:w="40" w:type="dxa"/>
              <w:right w:w="20" w:type="dxa"/>
            </w:tcMar>
            <w:vAlign w:val="bottom"/>
          </w:tcPr>
          <w:p w14:paraId="5406736E"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36F"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7370"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7371" w14:textId="77777777" w:rsidR="00611BDD" w:rsidRDefault="002E18C7">
            <w:pPr>
              <w:jc w:val="right"/>
              <w:textAlignment w:val="bottom"/>
            </w:pPr>
            <w:r>
              <w:rPr>
                <w:rFonts w:ascii="sans-serif" w:eastAsia="sans-serif" w:hAnsi="sans-serif" w:cs="sans-serif"/>
                <w:color w:val="000000"/>
                <w:sz w:val="20"/>
                <w:szCs w:val="20"/>
              </w:rPr>
              <w:t>1,781 </w:t>
            </w:r>
          </w:p>
        </w:tc>
        <w:tc>
          <w:tcPr>
            <w:tcW w:w="0" w:type="auto"/>
            <w:shd w:val="clear" w:color="auto" w:fill="FFFFFF"/>
            <w:tcMar>
              <w:top w:w="40" w:type="dxa"/>
              <w:left w:w="0" w:type="dxa"/>
              <w:bottom w:w="40" w:type="dxa"/>
              <w:right w:w="20" w:type="dxa"/>
            </w:tcMar>
            <w:vAlign w:val="bottom"/>
          </w:tcPr>
          <w:p w14:paraId="54067372"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373"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7374"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7375"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406737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377"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7378"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7379" w14:textId="77777777" w:rsidR="00611BDD" w:rsidRDefault="002E18C7">
            <w:pPr>
              <w:jc w:val="right"/>
              <w:textAlignment w:val="bottom"/>
            </w:pPr>
            <w:r>
              <w:rPr>
                <w:rFonts w:ascii="sans-serif" w:eastAsia="sans-serif" w:hAnsi="sans-serif" w:cs="sans-serif"/>
                <w:color w:val="000000"/>
                <w:sz w:val="20"/>
                <w:szCs w:val="20"/>
              </w:rPr>
              <w:t>3,866 </w:t>
            </w:r>
          </w:p>
        </w:tc>
        <w:tc>
          <w:tcPr>
            <w:tcW w:w="0" w:type="auto"/>
            <w:shd w:val="clear" w:color="auto" w:fill="FFFFFF"/>
            <w:tcMar>
              <w:top w:w="40" w:type="dxa"/>
              <w:left w:w="0" w:type="dxa"/>
              <w:bottom w:w="40" w:type="dxa"/>
              <w:right w:w="20" w:type="dxa"/>
            </w:tcMar>
            <w:vAlign w:val="bottom"/>
          </w:tcPr>
          <w:p w14:paraId="5406737A" w14:textId="77777777" w:rsidR="00611BDD" w:rsidRDefault="00611BDD">
            <w:pPr>
              <w:jc w:val="right"/>
              <w:rPr>
                <w:rFonts w:ascii="宋体"/>
              </w:rPr>
            </w:pPr>
          </w:p>
        </w:tc>
      </w:tr>
      <w:tr w:rsidR="00611BDD" w14:paraId="54067384" w14:textId="77777777">
        <w:trPr>
          <w:hidden/>
        </w:trPr>
        <w:tc>
          <w:tcPr>
            <w:tcW w:w="0" w:type="auto"/>
            <w:gridSpan w:val="3"/>
            <w:shd w:val="clear" w:color="auto" w:fill="auto"/>
            <w:vAlign w:val="bottom"/>
          </w:tcPr>
          <w:p w14:paraId="5406737C" w14:textId="77777777" w:rsidR="00611BDD" w:rsidRDefault="00611BDD">
            <w:pPr>
              <w:rPr>
                <w:rFonts w:ascii="宋体"/>
                <w:vanish/>
              </w:rPr>
            </w:pPr>
          </w:p>
        </w:tc>
        <w:tc>
          <w:tcPr>
            <w:tcW w:w="0" w:type="auto"/>
            <w:gridSpan w:val="3"/>
            <w:shd w:val="clear" w:color="auto" w:fill="auto"/>
            <w:vAlign w:val="bottom"/>
          </w:tcPr>
          <w:p w14:paraId="5406737D" w14:textId="77777777" w:rsidR="00611BDD" w:rsidRDefault="00611BDD">
            <w:pPr>
              <w:rPr>
                <w:rFonts w:ascii="宋体"/>
                <w:vanish/>
              </w:rPr>
            </w:pPr>
          </w:p>
        </w:tc>
        <w:tc>
          <w:tcPr>
            <w:tcW w:w="0" w:type="auto"/>
            <w:gridSpan w:val="3"/>
            <w:shd w:val="clear" w:color="auto" w:fill="auto"/>
            <w:vAlign w:val="bottom"/>
          </w:tcPr>
          <w:p w14:paraId="5406737E" w14:textId="77777777" w:rsidR="00611BDD" w:rsidRDefault="00611BDD">
            <w:pPr>
              <w:rPr>
                <w:rFonts w:ascii="宋体"/>
                <w:vanish/>
              </w:rPr>
            </w:pPr>
          </w:p>
        </w:tc>
        <w:tc>
          <w:tcPr>
            <w:tcW w:w="0" w:type="auto"/>
            <w:gridSpan w:val="3"/>
            <w:shd w:val="clear" w:color="auto" w:fill="auto"/>
            <w:vAlign w:val="bottom"/>
          </w:tcPr>
          <w:p w14:paraId="5406737F" w14:textId="77777777" w:rsidR="00611BDD" w:rsidRDefault="00611BDD">
            <w:pPr>
              <w:rPr>
                <w:rFonts w:ascii="宋体"/>
                <w:vanish/>
              </w:rPr>
            </w:pPr>
          </w:p>
        </w:tc>
        <w:tc>
          <w:tcPr>
            <w:tcW w:w="0" w:type="auto"/>
            <w:gridSpan w:val="3"/>
            <w:shd w:val="clear" w:color="auto" w:fill="auto"/>
            <w:vAlign w:val="bottom"/>
          </w:tcPr>
          <w:p w14:paraId="54067380" w14:textId="77777777" w:rsidR="00611BDD" w:rsidRDefault="00611BDD">
            <w:pPr>
              <w:rPr>
                <w:rFonts w:ascii="宋体"/>
                <w:vanish/>
              </w:rPr>
            </w:pPr>
          </w:p>
        </w:tc>
        <w:tc>
          <w:tcPr>
            <w:tcW w:w="0" w:type="auto"/>
            <w:gridSpan w:val="3"/>
            <w:shd w:val="clear" w:color="auto" w:fill="auto"/>
            <w:vAlign w:val="bottom"/>
          </w:tcPr>
          <w:p w14:paraId="54067381" w14:textId="77777777" w:rsidR="00611BDD" w:rsidRDefault="00611BDD">
            <w:pPr>
              <w:rPr>
                <w:rFonts w:ascii="宋体"/>
                <w:vanish/>
              </w:rPr>
            </w:pPr>
          </w:p>
        </w:tc>
        <w:tc>
          <w:tcPr>
            <w:tcW w:w="0" w:type="auto"/>
            <w:gridSpan w:val="3"/>
            <w:shd w:val="clear" w:color="auto" w:fill="auto"/>
            <w:vAlign w:val="bottom"/>
          </w:tcPr>
          <w:p w14:paraId="54067382" w14:textId="77777777" w:rsidR="00611BDD" w:rsidRDefault="00611BDD">
            <w:pPr>
              <w:rPr>
                <w:rFonts w:ascii="宋体"/>
                <w:vanish/>
              </w:rPr>
            </w:pPr>
          </w:p>
        </w:tc>
        <w:tc>
          <w:tcPr>
            <w:tcW w:w="0" w:type="auto"/>
            <w:gridSpan w:val="3"/>
            <w:shd w:val="clear" w:color="auto" w:fill="auto"/>
            <w:vAlign w:val="bottom"/>
          </w:tcPr>
          <w:p w14:paraId="54067383" w14:textId="77777777" w:rsidR="00611BDD" w:rsidRDefault="00611BDD">
            <w:pPr>
              <w:rPr>
                <w:rFonts w:ascii="宋体"/>
                <w:vanish/>
              </w:rPr>
            </w:pPr>
          </w:p>
        </w:tc>
      </w:tr>
      <w:tr w:rsidR="00611BDD" w14:paraId="54067395" w14:textId="77777777">
        <w:tc>
          <w:tcPr>
            <w:tcW w:w="0" w:type="auto"/>
            <w:gridSpan w:val="3"/>
            <w:shd w:val="clear" w:color="auto" w:fill="E2EFD9"/>
            <w:tcMar>
              <w:top w:w="40" w:type="dxa"/>
              <w:left w:w="20" w:type="dxa"/>
              <w:bottom w:w="40" w:type="dxa"/>
              <w:right w:w="20" w:type="dxa"/>
            </w:tcMar>
            <w:vAlign w:val="bottom"/>
          </w:tcPr>
          <w:p w14:paraId="54067385" w14:textId="77777777" w:rsidR="00611BDD" w:rsidRDefault="002E18C7">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54067386"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387" w14:textId="77777777" w:rsidR="00611BDD" w:rsidRDefault="002E18C7">
            <w:pPr>
              <w:jc w:val="right"/>
              <w:textAlignment w:val="bottom"/>
            </w:pPr>
            <w:r>
              <w:rPr>
                <w:rFonts w:ascii="sans-serif" w:eastAsia="sans-serif" w:hAnsi="sans-serif" w:cs="sans-serif"/>
                <w:color w:val="000000"/>
                <w:sz w:val="20"/>
                <w:szCs w:val="20"/>
              </w:rPr>
              <w:t>911 </w:t>
            </w:r>
          </w:p>
        </w:tc>
        <w:tc>
          <w:tcPr>
            <w:tcW w:w="0" w:type="auto"/>
            <w:shd w:val="clear" w:color="auto" w:fill="E2EFD9"/>
            <w:tcMar>
              <w:top w:w="40" w:type="dxa"/>
              <w:left w:w="0" w:type="dxa"/>
              <w:bottom w:w="40" w:type="dxa"/>
              <w:right w:w="20" w:type="dxa"/>
            </w:tcMar>
            <w:vAlign w:val="bottom"/>
          </w:tcPr>
          <w:p w14:paraId="54067388"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389"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38A"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38B" w14:textId="77777777" w:rsidR="00611BDD" w:rsidRDefault="002E18C7">
            <w:pPr>
              <w:jc w:val="right"/>
              <w:textAlignment w:val="bottom"/>
            </w:pPr>
            <w:r>
              <w:rPr>
                <w:rFonts w:ascii="sans-serif" w:eastAsia="sans-serif" w:hAnsi="sans-serif" w:cs="sans-serif"/>
                <w:color w:val="000000"/>
                <w:sz w:val="20"/>
                <w:szCs w:val="20"/>
              </w:rPr>
              <w:t>691 </w:t>
            </w:r>
          </w:p>
        </w:tc>
        <w:tc>
          <w:tcPr>
            <w:tcW w:w="0" w:type="auto"/>
            <w:shd w:val="clear" w:color="auto" w:fill="E2EFD9"/>
            <w:tcMar>
              <w:top w:w="40" w:type="dxa"/>
              <w:left w:w="0" w:type="dxa"/>
              <w:bottom w:w="40" w:type="dxa"/>
              <w:right w:w="20" w:type="dxa"/>
            </w:tcMar>
            <w:vAlign w:val="bottom"/>
          </w:tcPr>
          <w:p w14:paraId="5406738C"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38D"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38E"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38F" w14:textId="77777777" w:rsidR="00611BDD" w:rsidRDefault="002E18C7">
            <w:pPr>
              <w:jc w:val="right"/>
              <w:textAlignment w:val="bottom"/>
            </w:pPr>
            <w:r>
              <w:rPr>
                <w:rFonts w:ascii="sans-serif" w:eastAsia="sans-serif" w:hAnsi="sans-serif" w:cs="sans-serif"/>
                <w:color w:val="000000"/>
                <w:sz w:val="20"/>
                <w:szCs w:val="20"/>
              </w:rPr>
              <w:t>(951)</w:t>
            </w:r>
          </w:p>
        </w:tc>
        <w:tc>
          <w:tcPr>
            <w:tcW w:w="0" w:type="auto"/>
            <w:shd w:val="clear" w:color="auto" w:fill="E2EFD9"/>
            <w:tcMar>
              <w:top w:w="40" w:type="dxa"/>
              <w:left w:w="0" w:type="dxa"/>
              <w:bottom w:w="40" w:type="dxa"/>
              <w:right w:w="20" w:type="dxa"/>
            </w:tcMar>
            <w:vAlign w:val="bottom"/>
          </w:tcPr>
          <w:p w14:paraId="54067390"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391"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392"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393" w14:textId="77777777" w:rsidR="00611BDD" w:rsidRDefault="002E18C7">
            <w:pPr>
              <w:jc w:val="right"/>
              <w:textAlignment w:val="bottom"/>
            </w:pPr>
            <w:r>
              <w:rPr>
                <w:rFonts w:ascii="sans-serif" w:eastAsia="sans-serif" w:hAnsi="sans-serif" w:cs="sans-serif"/>
                <w:color w:val="000000"/>
                <w:sz w:val="20"/>
                <w:szCs w:val="20"/>
              </w:rPr>
              <w:t>651 </w:t>
            </w:r>
          </w:p>
        </w:tc>
        <w:tc>
          <w:tcPr>
            <w:tcW w:w="0" w:type="auto"/>
            <w:shd w:val="clear" w:color="auto" w:fill="E2EFD9"/>
            <w:tcMar>
              <w:top w:w="40" w:type="dxa"/>
              <w:left w:w="0" w:type="dxa"/>
              <w:bottom w:w="40" w:type="dxa"/>
              <w:right w:w="20" w:type="dxa"/>
            </w:tcMar>
            <w:vAlign w:val="bottom"/>
          </w:tcPr>
          <w:p w14:paraId="54067394" w14:textId="77777777" w:rsidR="00611BDD" w:rsidRDefault="00611BDD">
            <w:pPr>
              <w:jc w:val="right"/>
              <w:rPr>
                <w:rFonts w:ascii="宋体"/>
              </w:rPr>
            </w:pPr>
          </w:p>
        </w:tc>
      </w:tr>
      <w:tr w:rsidR="00611BDD" w14:paraId="5406739E" w14:textId="77777777">
        <w:trPr>
          <w:trHeight w:val="300"/>
        </w:trPr>
        <w:tc>
          <w:tcPr>
            <w:tcW w:w="0" w:type="auto"/>
            <w:gridSpan w:val="3"/>
            <w:shd w:val="clear" w:color="auto" w:fill="FFFFFF"/>
            <w:tcMar>
              <w:top w:w="0" w:type="dxa"/>
              <w:left w:w="20" w:type="dxa"/>
              <w:bottom w:w="0" w:type="dxa"/>
              <w:right w:w="20" w:type="dxa"/>
            </w:tcMar>
            <w:vAlign w:val="bottom"/>
          </w:tcPr>
          <w:p w14:paraId="54067396"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397"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398"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399"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39A"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39B"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39C"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39D" w14:textId="77777777" w:rsidR="00611BDD" w:rsidRDefault="00611BDD">
            <w:pPr>
              <w:rPr>
                <w:rFonts w:ascii="宋体"/>
              </w:rPr>
            </w:pPr>
          </w:p>
        </w:tc>
      </w:tr>
      <w:tr w:rsidR="00611BDD" w14:paraId="540673A7" w14:textId="77777777">
        <w:tc>
          <w:tcPr>
            <w:tcW w:w="0" w:type="auto"/>
            <w:gridSpan w:val="3"/>
            <w:shd w:val="clear" w:color="auto" w:fill="E2EFD9"/>
            <w:tcMar>
              <w:top w:w="40" w:type="dxa"/>
              <w:left w:w="20" w:type="dxa"/>
              <w:bottom w:w="40" w:type="dxa"/>
              <w:right w:w="20" w:type="dxa"/>
            </w:tcMar>
            <w:vAlign w:val="bottom"/>
          </w:tcPr>
          <w:p w14:paraId="5406739F" w14:textId="77777777" w:rsidR="00611BDD" w:rsidRDefault="002E18C7">
            <w:pPr>
              <w:textAlignment w:val="bottom"/>
            </w:pPr>
            <w:r>
              <w:rPr>
                <w:rFonts w:ascii="sans-serif" w:eastAsia="sans-serif" w:hAnsi="sans-serif" w:cs="sans-serif"/>
                <w:b/>
                <w:bCs/>
                <w:color w:val="000000"/>
                <w:sz w:val="20"/>
                <w:szCs w:val="20"/>
              </w:rPr>
              <w:t>Six Months Ended August 1, 2021</w:t>
            </w:r>
          </w:p>
        </w:tc>
        <w:tc>
          <w:tcPr>
            <w:tcW w:w="0" w:type="auto"/>
            <w:gridSpan w:val="3"/>
            <w:shd w:val="clear" w:color="auto" w:fill="E2EFD9"/>
            <w:tcMar>
              <w:top w:w="0" w:type="dxa"/>
              <w:left w:w="20" w:type="dxa"/>
              <w:bottom w:w="0" w:type="dxa"/>
              <w:right w:w="20" w:type="dxa"/>
            </w:tcMar>
            <w:vAlign w:val="bottom"/>
          </w:tcPr>
          <w:p w14:paraId="540673A0"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73A1"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73A2"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73A3"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73A4"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73A5"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73A6" w14:textId="77777777" w:rsidR="00611BDD" w:rsidRDefault="00611BDD">
            <w:pPr>
              <w:rPr>
                <w:rFonts w:ascii="宋体"/>
              </w:rPr>
            </w:pPr>
          </w:p>
        </w:tc>
      </w:tr>
      <w:tr w:rsidR="00611BDD" w14:paraId="540673B8" w14:textId="77777777">
        <w:tc>
          <w:tcPr>
            <w:tcW w:w="0" w:type="auto"/>
            <w:gridSpan w:val="3"/>
            <w:shd w:val="clear" w:color="auto" w:fill="FFFFFF"/>
            <w:tcMar>
              <w:top w:w="40" w:type="dxa"/>
              <w:left w:w="20" w:type="dxa"/>
              <w:bottom w:w="40" w:type="dxa"/>
              <w:right w:w="20" w:type="dxa"/>
            </w:tcMar>
            <w:vAlign w:val="bottom"/>
          </w:tcPr>
          <w:p w14:paraId="540673A8" w14:textId="77777777" w:rsidR="00611BDD" w:rsidRDefault="002E18C7">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540673A9"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73AA" w14:textId="77777777" w:rsidR="00611BDD" w:rsidRDefault="002E18C7">
            <w:pPr>
              <w:jc w:val="right"/>
              <w:textAlignment w:val="bottom"/>
            </w:pPr>
            <w:r>
              <w:rPr>
                <w:rFonts w:ascii="sans-serif" w:eastAsia="sans-serif" w:hAnsi="sans-serif" w:cs="sans-serif"/>
                <w:color w:val="000000"/>
                <w:sz w:val="20"/>
                <w:szCs w:val="20"/>
              </w:rPr>
              <w:t>7,358 </w:t>
            </w:r>
          </w:p>
        </w:tc>
        <w:tc>
          <w:tcPr>
            <w:tcW w:w="0" w:type="auto"/>
            <w:shd w:val="clear" w:color="auto" w:fill="FFFFFF"/>
            <w:tcMar>
              <w:top w:w="40" w:type="dxa"/>
              <w:left w:w="0" w:type="dxa"/>
              <w:bottom w:w="40" w:type="dxa"/>
              <w:right w:w="20" w:type="dxa"/>
            </w:tcMar>
            <w:vAlign w:val="bottom"/>
          </w:tcPr>
          <w:p w14:paraId="540673AB"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3AC"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73AD"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73AE" w14:textId="77777777" w:rsidR="00611BDD" w:rsidRDefault="002E18C7">
            <w:pPr>
              <w:jc w:val="right"/>
              <w:textAlignment w:val="bottom"/>
            </w:pPr>
            <w:r>
              <w:rPr>
                <w:rFonts w:ascii="sans-serif" w:eastAsia="sans-serif" w:hAnsi="sans-serif" w:cs="sans-serif"/>
                <w:color w:val="000000"/>
                <w:sz w:val="20"/>
                <w:szCs w:val="20"/>
              </w:rPr>
              <w:t>4,810 </w:t>
            </w:r>
          </w:p>
        </w:tc>
        <w:tc>
          <w:tcPr>
            <w:tcW w:w="0" w:type="auto"/>
            <w:shd w:val="clear" w:color="auto" w:fill="FFFFFF"/>
            <w:tcMar>
              <w:top w:w="40" w:type="dxa"/>
              <w:left w:w="0" w:type="dxa"/>
              <w:bottom w:w="40" w:type="dxa"/>
              <w:right w:w="20" w:type="dxa"/>
            </w:tcMar>
            <w:vAlign w:val="bottom"/>
          </w:tcPr>
          <w:p w14:paraId="540673AF"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3B0"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73B1"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73B2"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40673B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3B4"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73B5"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73B6" w14:textId="77777777" w:rsidR="00611BDD" w:rsidRDefault="002E18C7">
            <w:pPr>
              <w:jc w:val="right"/>
              <w:textAlignment w:val="bottom"/>
            </w:pPr>
            <w:r>
              <w:rPr>
                <w:rFonts w:ascii="sans-serif" w:eastAsia="sans-serif" w:hAnsi="sans-serif" w:cs="sans-serif"/>
                <w:color w:val="000000"/>
                <w:sz w:val="20"/>
                <w:szCs w:val="20"/>
              </w:rPr>
              <w:t>12,168 </w:t>
            </w:r>
          </w:p>
        </w:tc>
        <w:tc>
          <w:tcPr>
            <w:tcW w:w="0" w:type="auto"/>
            <w:shd w:val="clear" w:color="auto" w:fill="FFFFFF"/>
            <w:tcMar>
              <w:top w:w="40" w:type="dxa"/>
              <w:left w:w="0" w:type="dxa"/>
              <w:bottom w:w="40" w:type="dxa"/>
              <w:right w:w="20" w:type="dxa"/>
            </w:tcMar>
            <w:vAlign w:val="bottom"/>
          </w:tcPr>
          <w:p w14:paraId="540673B7" w14:textId="77777777" w:rsidR="00611BDD" w:rsidRDefault="00611BDD">
            <w:pPr>
              <w:jc w:val="right"/>
              <w:rPr>
                <w:rFonts w:ascii="宋体"/>
              </w:rPr>
            </w:pPr>
          </w:p>
        </w:tc>
      </w:tr>
      <w:tr w:rsidR="00611BDD" w14:paraId="540673C1" w14:textId="77777777">
        <w:trPr>
          <w:hidden/>
        </w:trPr>
        <w:tc>
          <w:tcPr>
            <w:tcW w:w="0" w:type="auto"/>
            <w:gridSpan w:val="3"/>
            <w:shd w:val="clear" w:color="auto" w:fill="auto"/>
            <w:vAlign w:val="bottom"/>
          </w:tcPr>
          <w:p w14:paraId="540673B9" w14:textId="77777777" w:rsidR="00611BDD" w:rsidRDefault="00611BDD">
            <w:pPr>
              <w:rPr>
                <w:rFonts w:ascii="宋体"/>
                <w:vanish/>
              </w:rPr>
            </w:pPr>
          </w:p>
        </w:tc>
        <w:tc>
          <w:tcPr>
            <w:tcW w:w="0" w:type="auto"/>
            <w:gridSpan w:val="3"/>
            <w:shd w:val="clear" w:color="auto" w:fill="auto"/>
            <w:vAlign w:val="bottom"/>
          </w:tcPr>
          <w:p w14:paraId="540673BA" w14:textId="77777777" w:rsidR="00611BDD" w:rsidRDefault="00611BDD">
            <w:pPr>
              <w:rPr>
                <w:rFonts w:ascii="宋体"/>
                <w:vanish/>
              </w:rPr>
            </w:pPr>
          </w:p>
        </w:tc>
        <w:tc>
          <w:tcPr>
            <w:tcW w:w="0" w:type="auto"/>
            <w:gridSpan w:val="3"/>
            <w:shd w:val="clear" w:color="auto" w:fill="auto"/>
            <w:vAlign w:val="bottom"/>
          </w:tcPr>
          <w:p w14:paraId="540673BB" w14:textId="77777777" w:rsidR="00611BDD" w:rsidRDefault="00611BDD">
            <w:pPr>
              <w:rPr>
                <w:rFonts w:ascii="宋体"/>
                <w:vanish/>
              </w:rPr>
            </w:pPr>
          </w:p>
        </w:tc>
        <w:tc>
          <w:tcPr>
            <w:tcW w:w="0" w:type="auto"/>
            <w:gridSpan w:val="3"/>
            <w:shd w:val="clear" w:color="auto" w:fill="auto"/>
            <w:vAlign w:val="bottom"/>
          </w:tcPr>
          <w:p w14:paraId="540673BC" w14:textId="77777777" w:rsidR="00611BDD" w:rsidRDefault="00611BDD">
            <w:pPr>
              <w:rPr>
                <w:rFonts w:ascii="宋体"/>
                <w:vanish/>
              </w:rPr>
            </w:pPr>
          </w:p>
        </w:tc>
        <w:tc>
          <w:tcPr>
            <w:tcW w:w="0" w:type="auto"/>
            <w:gridSpan w:val="3"/>
            <w:shd w:val="clear" w:color="auto" w:fill="auto"/>
            <w:vAlign w:val="bottom"/>
          </w:tcPr>
          <w:p w14:paraId="540673BD" w14:textId="77777777" w:rsidR="00611BDD" w:rsidRDefault="00611BDD">
            <w:pPr>
              <w:rPr>
                <w:rFonts w:ascii="宋体"/>
                <w:vanish/>
              </w:rPr>
            </w:pPr>
          </w:p>
        </w:tc>
        <w:tc>
          <w:tcPr>
            <w:tcW w:w="0" w:type="auto"/>
            <w:gridSpan w:val="3"/>
            <w:shd w:val="clear" w:color="auto" w:fill="auto"/>
            <w:vAlign w:val="bottom"/>
          </w:tcPr>
          <w:p w14:paraId="540673BE" w14:textId="77777777" w:rsidR="00611BDD" w:rsidRDefault="00611BDD">
            <w:pPr>
              <w:rPr>
                <w:rFonts w:ascii="宋体"/>
                <w:vanish/>
              </w:rPr>
            </w:pPr>
          </w:p>
        </w:tc>
        <w:tc>
          <w:tcPr>
            <w:tcW w:w="0" w:type="auto"/>
            <w:gridSpan w:val="3"/>
            <w:shd w:val="clear" w:color="auto" w:fill="auto"/>
            <w:vAlign w:val="bottom"/>
          </w:tcPr>
          <w:p w14:paraId="540673BF" w14:textId="77777777" w:rsidR="00611BDD" w:rsidRDefault="00611BDD">
            <w:pPr>
              <w:rPr>
                <w:rFonts w:ascii="宋体"/>
                <w:vanish/>
              </w:rPr>
            </w:pPr>
          </w:p>
        </w:tc>
        <w:tc>
          <w:tcPr>
            <w:tcW w:w="0" w:type="auto"/>
            <w:gridSpan w:val="3"/>
            <w:shd w:val="clear" w:color="auto" w:fill="auto"/>
            <w:vAlign w:val="bottom"/>
          </w:tcPr>
          <w:p w14:paraId="540673C0" w14:textId="77777777" w:rsidR="00611BDD" w:rsidRDefault="00611BDD">
            <w:pPr>
              <w:rPr>
                <w:rFonts w:ascii="宋体"/>
                <w:vanish/>
              </w:rPr>
            </w:pPr>
          </w:p>
        </w:tc>
      </w:tr>
      <w:tr w:rsidR="00611BDD" w14:paraId="540673D2" w14:textId="77777777">
        <w:tc>
          <w:tcPr>
            <w:tcW w:w="0" w:type="auto"/>
            <w:gridSpan w:val="3"/>
            <w:shd w:val="clear" w:color="auto" w:fill="E2EFD9"/>
            <w:tcMar>
              <w:top w:w="40" w:type="dxa"/>
              <w:left w:w="20" w:type="dxa"/>
              <w:bottom w:w="40" w:type="dxa"/>
              <w:right w:w="20" w:type="dxa"/>
            </w:tcMar>
            <w:vAlign w:val="bottom"/>
          </w:tcPr>
          <w:p w14:paraId="540673C2" w14:textId="77777777" w:rsidR="00611BDD" w:rsidRDefault="002E18C7">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540673C3"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3C4" w14:textId="77777777" w:rsidR="00611BDD" w:rsidRDefault="002E18C7">
            <w:pPr>
              <w:jc w:val="right"/>
              <w:textAlignment w:val="bottom"/>
            </w:pPr>
            <w:r>
              <w:rPr>
                <w:rFonts w:ascii="sans-serif" w:eastAsia="sans-serif" w:hAnsi="sans-serif" w:cs="sans-serif"/>
                <w:color w:val="000000"/>
                <w:sz w:val="20"/>
                <w:szCs w:val="20"/>
              </w:rPr>
              <w:t>3,913 </w:t>
            </w:r>
          </w:p>
        </w:tc>
        <w:tc>
          <w:tcPr>
            <w:tcW w:w="0" w:type="auto"/>
            <w:shd w:val="clear" w:color="auto" w:fill="E2EFD9"/>
            <w:tcMar>
              <w:top w:w="40" w:type="dxa"/>
              <w:left w:w="0" w:type="dxa"/>
              <w:bottom w:w="40" w:type="dxa"/>
              <w:right w:w="20" w:type="dxa"/>
            </w:tcMar>
            <w:vAlign w:val="bottom"/>
          </w:tcPr>
          <w:p w14:paraId="540673C5"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3C6"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3C7"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3C8" w14:textId="77777777" w:rsidR="00611BDD" w:rsidRDefault="002E18C7">
            <w:pPr>
              <w:jc w:val="right"/>
              <w:textAlignment w:val="bottom"/>
            </w:pPr>
            <w:r>
              <w:rPr>
                <w:rFonts w:ascii="sans-serif" w:eastAsia="sans-serif" w:hAnsi="sans-serif" w:cs="sans-serif"/>
                <w:color w:val="000000"/>
                <w:sz w:val="20"/>
                <w:szCs w:val="20"/>
              </w:rPr>
              <w:t>1,895 </w:t>
            </w:r>
          </w:p>
        </w:tc>
        <w:tc>
          <w:tcPr>
            <w:tcW w:w="0" w:type="auto"/>
            <w:shd w:val="clear" w:color="auto" w:fill="E2EFD9"/>
            <w:tcMar>
              <w:top w:w="40" w:type="dxa"/>
              <w:left w:w="0" w:type="dxa"/>
              <w:bottom w:w="40" w:type="dxa"/>
              <w:right w:w="20" w:type="dxa"/>
            </w:tcMar>
            <w:vAlign w:val="bottom"/>
          </w:tcPr>
          <w:p w14:paraId="540673C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3CA"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3CB"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3CC" w14:textId="77777777" w:rsidR="00611BDD" w:rsidRDefault="002E18C7">
            <w:pPr>
              <w:jc w:val="right"/>
              <w:textAlignment w:val="bottom"/>
            </w:pPr>
            <w:r>
              <w:rPr>
                <w:rFonts w:ascii="sans-serif" w:eastAsia="sans-serif" w:hAnsi="sans-serif" w:cs="sans-serif"/>
                <w:color w:val="000000"/>
                <w:sz w:val="20"/>
                <w:szCs w:val="20"/>
              </w:rPr>
              <w:t>(1,408)</w:t>
            </w:r>
          </w:p>
        </w:tc>
        <w:tc>
          <w:tcPr>
            <w:tcW w:w="0" w:type="auto"/>
            <w:shd w:val="clear" w:color="auto" w:fill="E2EFD9"/>
            <w:tcMar>
              <w:top w:w="40" w:type="dxa"/>
              <w:left w:w="0" w:type="dxa"/>
              <w:bottom w:w="40" w:type="dxa"/>
              <w:right w:w="20" w:type="dxa"/>
            </w:tcMar>
            <w:vAlign w:val="bottom"/>
          </w:tcPr>
          <w:p w14:paraId="540673CD"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3CE"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3CF"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3D0" w14:textId="77777777" w:rsidR="00611BDD" w:rsidRDefault="002E18C7">
            <w:pPr>
              <w:jc w:val="right"/>
              <w:textAlignment w:val="bottom"/>
            </w:pPr>
            <w:r>
              <w:rPr>
                <w:rFonts w:ascii="sans-serif" w:eastAsia="sans-serif" w:hAnsi="sans-serif" w:cs="sans-serif"/>
                <w:color w:val="000000"/>
                <w:sz w:val="20"/>
                <w:szCs w:val="20"/>
              </w:rPr>
              <w:t>4,400 </w:t>
            </w:r>
          </w:p>
        </w:tc>
        <w:tc>
          <w:tcPr>
            <w:tcW w:w="0" w:type="auto"/>
            <w:shd w:val="clear" w:color="auto" w:fill="E2EFD9"/>
            <w:tcMar>
              <w:top w:w="40" w:type="dxa"/>
              <w:left w:w="0" w:type="dxa"/>
              <w:bottom w:w="40" w:type="dxa"/>
              <w:right w:w="20" w:type="dxa"/>
            </w:tcMar>
            <w:vAlign w:val="bottom"/>
          </w:tcPr>
          <w:p w14:paraId="540673D1" w14:textId="77777777" w:rsidR="00611BDD" w:rsidRDefault="00611BDD">
            <w:pPr>
              <w:jc w:val="right"/>
              <w:rPr>
                <w:rFonts w:ascii="宋体"/>
              </w:rPr>
            </w:pPr>
          </w:p>
        </w:tc>
      </w:tr>
      <w:tr w:rsidR="00611BDD" w14:paraId="540673DB" w14:textId="77777777">
        <w:trPr>
          <w:trHeight w:val="300"/>
        </w:trPr>
        <w:tc>
          <w:tcPr>
            <w:tcW w:w="0" w:type="auto"/>
            <w:gridSpan w:val="3"/>
            <w:shd w:val="clear" w:color="auto" w:fill="FFFFFF"/>
            <w:tcMar>
              <w:top w:w="0" w:type="dxa"/>
              <w:left w:w="20" w:type="dxa"/>
              <w:bottom w:w="0" w:type="dxa"/>
              <w:right w:w="20" w:type="dxa"/>
            </w:tcMar>
            <w:vAlign w:val="bottom"/>
          </w:tcPr>
          <w:p w14:paraId="540673D3"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3D4"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3D5"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3D6"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3D7"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3D8"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3D9"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3DA" w14:textId="77777777" w:rsidR="00611BDD" w:rsidRDefault="00611BDD">
            <w:pPr>
              <w:rPr>
                <w:rFonts w:ascii="宋体"/>
              </w:rPr>
            </w:pPr>
          </w:p>
        </w:tc>
      </w:tr>
      <w:tr w:rsidR="00611BDD" w14:paraId="540673E4" w14:textId="77777777">
        <w:tc>
          <w:tcPr>
            <w:tcW w:w="0" w:type="auto"/>
            <w:gridSpan w:val="3"/>
            <w:shd w:val="clear" w:color="auto" w:fill="E2EFD9"/>
            <w:tcMar>
              <w:top w:w="40" w:type="dxa"/>
              <w:left w:w="20" w:type="dxa"/>
              <w:bottom w:w="40" w:type="dxa"/>
              <w:right w:w="20" w:type="dxa"/>
            </w:tcMar>
            <w:vAlign w:val="bottom"/>
          </w:tcPr>
          <w:p w14:paraId="540673DC" w14:textId="77777777" w:rsidR="00611BDD" w:rsidRDefault="002E18C7">
            <w:pPr>
              <w:textAlignment w:val="bottom"/>
            </w:pPr>
            <w:r>
              <w:rPr>
                <w:rFonts w:ascii="sans-serif" w:eastAsia="sans-serif" w:hAnsi="sans-serif" w:cs="sans-serif"/>
                <w:b/>
                <w:bCs/>
                <w:color w:val="000000"/>
                <w:sz w:val="20"/>
                <w:szCs w:val="20"/>
              </w:rPr>
              <w:t>Six Months Ended July 26, 2020</w:t>
            </w:r>
          </w:p>
        </w:tc>
        <w:tc>
          <w:tcPr>
            <w:tcW w:w="0" w:type="auto"/>
            <w:gridSpan w:val="3"/>
            <w:shd w:val="clear" w:color="auto" w:fill="E2EFD9"/>
            <w:tcMar>
              <w:top w:w="0" w:type="dxa"/>
              <w:left w:w="20" w:type="dxa"/>
              <w:bottom w:w="0" w:type="dxa"/>
              <w:right w:w="20" w:type="dxa"/>
            </w:tcMar>
            <w:vAlign w:val="bottom"/>
          </w:tcPr>
          <w:p w14:paraId="540673DD"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73DE"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73DF"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73E0"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73E1"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73E2" w14:textId="77777777" w:rsidR="00611BDD" w:rsidRDefault="00611BDD">
            <w:pPr>
              <w:rPr>
                <w:rFonts w:ascii="宋体"/>
              </w:rPr>
            </w:pPr>
          </w:p>
        </w:tc>
        <w:tc>
          <w:tcPr>
            <w:tcW w:w="0" w:type="auto"/>
            <w:gridSpan w:val="3"/>
            <w:shd w:val="clear" w:color="auto" w:fill="E2EFD9"/>
            <w:tcMar>
              <w:top w:w="0" w:type="dxa"/>
              <w:left w:w="20" w:type="dxa"/>
              <w:bottom w:w="0" w:type="dxa"/>
              <w:right w:w="20" w:type="dxa"/>
            </w:tcMar>
            <w:vAlign w:val="bottom"/>
          </w:tcPr>
          <w:p w14:paraId="540673E3" w14:textId="77777777" w:rsidR="00611BDD" w:rsidRDefault="00611BDD">
            <w:pPr>
              <w:rPr>
                <w:rFonts w:ascii="宋体"/>
              </w:rPr>
            </w:pPr>
          </w:p>
        </w:tc>
      </w:tr>
      <w:tr w:rsidR="00611BDD" w14:paraId="540673F5" w14:textId="77777777">
        <w:tc>
          <w:tcPr>
            <w:tcW w:w="0" w:type="auto"/>
            <w:gridSpan w:val="3"/>
            <w:shd w:val="clear" w:color="auto" w:fill="FFFFFF"/>
            <w:tcMar>
              <w:top w:w="40" w:type="dxa"/>
              <w:left w:w="20" w:type="dxa"/>
              <w:bottom w:w="40" w:type="dxa"/>
              <w:right w:w="20" w:type="dxa"/>
            </w:tcMar>
            <w:vAlign w:val="bottom"/>
          </w:tcPr>
          <w:p w14:paraId="540673E5" w14:textId="77777777" w:rsidR="00611BDD" w:rsidRDefault="002E18C7">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540673E6"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73E7" w14:textId="77777777" w:rsidR="00611BDD" w:rsidRDefault="002E18C7">
            <w:pPr>
              <w:jc w:val="right"/>
              <w:textAlignment w:val="bottom"/>
            </w:pPr>
            <w:r>
              <w:rPr>
                <w:rFonts w:ascii="sans-serif" w:eastAsia="sans-serif" w:hAnsi="sans-serif" w:cs="sans-serif"/>
                <w:color w:val="000000"/>
                <w:sz w:val="20"/>
                <w:szCs w:val="20"/>
              </w:rPr>
              <w:t>3,991 </w:t>
            </w:r>
          </w:p>
        </w:tc>
        <w:tc>
          <w:tcPr>
            <w:tcW w:w="0" w:type="auto"/>
            <w:shd w:val="clear" w:color="auto" w:fill="FFFFFF"/>
            <w:tcMar>
              <w:top w:w="40" w:type="dxa"/>
              <w:left w:w="0" w:type="dxa"/>
              <w:bottom w:w="40" w:type="dxa"/>
              <w:right w:w="20" w:type="dxa"/>
            </w:tcMar>
            <w:vAlign w:val="bottom"/>
          </w:tcPr>
          <w:p w14:paraId="540673E8"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3E9"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73EA"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73EB" w14:textId="77777777" w:rsidR="00611BDD" w:rsidRDefault="002E18C7">
            <w:pPr>
              <w:jc w:val="right"/>
              <w:textAlignment w:val="bottom"/>
            </w:pPr>
            <w:r>
              <w:rPr>
                <w:rFonts w:ascii="sans-serif" w:eastAsia="sans-serif" w:hAnsi="sans-serif" w:cs="sans-serif"/>
                <w:color w:val="000000"/>
                <w:sz w:val="20"/>
                <w:szCs w:val="20"/>
              </w:rPr>
              <w:t>2,955 </w:t>
            </w:r>
          </w:p>
        </w:tc>
        <w:tc>
          <w:tcPr>
            <w:tcW w:w="0" w:type="auto"/>
            <w:shd w:val="clear" w:color="auto" w:fill="FFFFFF"/>
            <w:tcMar>
              <w:top w:w="40" w:type="dxa"/>
              <w:left w:w="0" w:type="dxa"/>
              <w:bottom w:w="40" w:type="dxa"/>
              <w:right w:w="20" w:type="dxa"/>
            </w:tcMar>
            <w:vAlign w:val="bottom"/>
          </w:tcPr>
          <w:p w14:paraId="540673EC"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3ED"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73EE"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73EF"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540673F0"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3F1"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73F2"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73F3" w14:textId="77777777" w:rsidR="00611BDD" w:rsidRDefault="002E18C7">
            <w:pPr>
              <w:jc w:val="right"/>
              <w:textAlignment w:val="bottom"/>
            </w:pPr>
            <w:r>
              <w:rPr>
                <w:rFonts w:ascii="sans-serif" w:eastAsia="sans-serif" w:hAnsi="sans-serif" w:cs="sans-serif"/>
                <w:color w:val="000000"/>
                <w:sz w:val="20"/>
                <w:szCs w:val="20"/>
              </w:rPr>
              <w:t>6,946 </w:t>
            </w:r>
          </w:p>
        </w:tc>
        <w:tc>
          <w:tcPr>
            <w:tcW w:w="0" w:type="auto"/>
            <w:shd w:val="clear" w:color="auto" w:fill="FFFFFF"/>
            <w:tcMar>
              <w:top w:w="40" w:type="dxa"/>
              <w:left w:w="0" w:type="dxa"/>
              <w:bottom w:w="40" w:type="dxa"/>
              <w:right w:w="20" w:type="dxa"/>
            </w:tcMar>
            <w:vAlign w:val="bottom"/>
          </w:tcPr>
          <w:p w14:paraId="540673F4" w14:textId="77777777" w:rsidR="00611BDD" w:rsidRDefault="00611BDD">
            <w:pPr>
              <w:jc w:val="right"/>
              <w:rPr>
                <w:rFonts w:ascii="宋体"/>
              </w:rPr>
            </w:pPr>
          </w:p>
        </w:tc>
      </w:tr>
      <w:tr w:rsidR="00611BDD" w14:paraId="540673FE" w14:textId="77777777">
        <w:trPr>
          <w:hidden/>
        </w:trPr>
        <w:tc>
          <w:tcPr>
            <w:tcW w:w="0" w:type="auto"/>
            <w:gridSpan w:val="3"/>
            <w:shd w:val="clear" w:color="auto" w:fill="auto"/>
            <w:vAlign w:val="bottom"/>
          </w:tcPr>
          <w:p w14:paraId="540673F6" w14:textId="77777777" w:rsidR="00611BDD" w:rsidRDefault="00611BDD">
            <w:pPr>
              <w:rPr>
                <w:rFonts w:ascii="宋体"/>
                <w:vanish/>
              </w:rPr>
            </w:pPr>
          </w:p>
        </w:tc>
        <w:tc>
          <w:tcPr>
            <w:tcW w:w="0" w:type="auto"/>
            <w:gridSpan w:val="3"/>
            <w:shd w:val="clear" w:color="auto" w:fill="auto"/>
            <w:vAlign w:val="bottom"/>
          </w:tcPr>
          <w:p w14:paraId="540673F7" w14:textId="77777777" w:rsidR="00611BDD" w:rsidRDefault="00611BDD">
            <w:pPr>
              <w:rPr>
                <w:rFonts w:ascii="宋体"/>
                <w:vanish/>
              </w:rPr>
            </w:pPr>
          </w:p>
        </w:tc>
        <w:tc>
          <w:tcPr>
            <w:tcW w:w="0" w:type="auto"/>
            <w:gridSpan w:val="3"/>
            <w:shd w:val="clear" w:color="auto" w:fill="auto"/>
            <w:vAlign w:val="bottom"/>
          </w:tcPr>
          <w:p w14:paraId="540673F8" w14:textId="77777777" w:rsidR="00611BDD" w:rsidRDefault="00611BDD">
            <w:pPr>
              <w:rPr>
                <w:rFonts w:ascii="宋体"/>
                <w:vanish/>
              </w:rPr>
            </w:pPr>
          </w:p>
        </w:tc>
        <w:tc>
          <w:tcPr>
            <w:tcW w:w="0" w:type="auto"/>
            <w:gridSpan w:val="3"/>
            <w:shd w:val="clear" w:color="auto" w:fill="auto"/>
            <w:vAlign w:val="bottom"/>
          </w:tcPr>
          <w:p w14:paraId="540673F9" w14:textId="77777777" w:rsidR="00611BDD" w:rsidRDefault="00611BDD">
            <w:pPr>
              <w:rPr>
                <w:rFonts w:ascii="宋体"/>
                <w:vanish/>
              </w:rPr>
            </w:pPr>
          </w:p>
        </w:tc>
        <w:tc>
          <w:tcPr>
            <w:tcW w:w="0" w:type="auto"/>
            <w:gridSpan w:val="3"/>
            <w:shd w:val="clear" w:color="auto" w:fill="auto"/>
            <w:vAlign w:val="bottom"/>
          </w:tcPr>
          <w:p w14:paraId="540673FA" w14:textId="77777777" w:rsidR="00611BDD" w:rsidRDefault="00611BDD">
            <w:pPr>
              <w:rPr>
                <w:rFonts w:ascii="宋体"/>
                <w:vanish/>
              </w:rPr>
            </w:pPr>
          </w:p>
        </w:tc>
        <w:tc>
          <w:tcPr>
            <w:tcW w:w="0" w:type="auto"/>
            <w:gridSpan w:val="3"/>
            <w:shd w:val="clear" w:color="auto" w:fill="auto"/>
            <w:vAlign w:val="bottom"/>
          </w:tcPr>
          <w:p w14:paraId="540673FB" w14:textId="77777777" w:rsidR="00611BDD" w:rsidRDefault="00611BDD">
            <w:pPr>
              <w:rPr>
                <w:rFonts w:ascii="宋体"/>
                <w:vanish/>
              </w:rPr>
            </w:pPr>
          </w:p>
        </w:tc>
        <w:tc>
          <w:tcPr>
            <w:tcW w:w="0" w:type="auto"/>
            <w:gridSpan w:val="3"/>
            <w:shd w:val="clear" w:color="auto" w:fill="auto"/>
            <w:vAlign w:val="bottom"/>
          </w:tcPr>
          <w:p w14:paraId="540673FC" w14:textId="77777777" w:rsidR="00611BDD" w:rsidRDefault="00611BDD">
            <w:pPr>
              <w:rPr>
                <w:rFonts w:ascii="宋体"/>
                <w:vanish/>
              </w:rPr>
            </w:pPr>
          </w:p>
        </w:tc>
        <w:tc>
          <w:tcPr>
            <w:tcW w:w="0" w:type="auto"/>
            <w:gridSpan w:val="3"/>
            <w:shd w:val="clear" w:color="auto" w:fill="auto"/>
            <w:vAlign w:val="bottom"/>
          </w:tcPr>
          <w:p w14:paraId="540673FD" w14:textId="77777777" w:rsidR="00611BDD" w:rsidRDefault="00611BDD">
            <w:pPr>
              <w:rPr>
                <w:rFonts w:ascii="宋体"/>
                <w:vanish/>
              </w:rPr>
            </w:pPr>
          </w:p>
        </w:tc>
      </w:tr>
      <w:tr w:rsidR="00611BDD" w14:paraId="5406740F" w14:textId="77777777">
        <w:tc>
          <w:tcPr>
            <w:tcW w:w="0" w:type="auto"/>
            <w:gridSpan w:val="3"/>
            <w:shd w:val="clear" w:color="auto" w:fill="E2EFD9"/>
            <w:tcMar>
              <w:top w:w="40" w:type="dxa"/>
              <w:left w:w="20" w:type="dxa"/>
              <w:bottom w:w="40" w:type="dxa"/>
              <w:right w:w="20" w:type="dxa"/>
            </w:tcMar>
            <w:vAlign w:val="bottom"/>
          </w:tcPr>
          <w:p w14:paraId="540673FF" w14:textId="77777777" w:rsidR="00611BDD" w:rsidRDefault="002E18C7">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54067400"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401" w14:textId="77777777" w:rsidR="00611BDD" w:rsidRDefault="002E18C7">
            <w:pPr>
              <w:jc w:val="right"/>
              <w:textAlignment w:val="bottom"/>
            </w:pPr>
            <w:r>
              <w:rPr>
                <w:rFonts w:ascii="sans-serif" w:eastAsia="sans-serif" w:hAnsi="sans-serif" w:cs="sans-serif"/>
                <w:color w:val="000000"/>
                <w:sz w:val="20"/>
                <w:szCs w:val="20"/>
              </w:rPr>
              <w:t>1,747 </w:t>
            </w:r>
          </w:p>
        </w:tc>
        <w:tc>
          <w:tcPr>
            <w:tcW w:w="0" w:type="auto"/>
            <w:shd w:val="clear" w:color="auto" w:fill="E2EFD9"/>
            <w:tcMar>
              <w:top w:w="40" w:type="dxa"/>
              <w:left w:w="0" w:type="dxa"/>
              <w:bottom w:w="40" w:type="dxa"/>
              <w:right w:w="20" w:type="dxa"/>
            </w:tcMar>
            <w:vAlign w:val="bottom"/>
          </w:tcPr>
          <w:p w14:paraId="54067402"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403"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404"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405" w14:textId="77777777" w:rsidR="00611BDD" w:rsidRDefault="002E18C7">
            <w:pPr>
              <w:jc w:val="right"/>
              <w:textAlignment w:val="bottom"/>
            </w:pPr>
            <w:r>
              <w:rPr>
                <w:rFonts w:ascii="sans-serif" w:eastAsia="sans-serif" w:hAnsi="sans-serif" w:cs="sans-serif"/>
                <w:color w:val="000000"/>
                <w:sz w:val="20"/>
                <w:szCs w:val="20"/>
              </w:rPr>
              <w:t>1,142 </w:t>
            </w:r>
          </w:p>
        </w:tc>
        <w:tc>
          <w:tcPr>
            <w:tcW w:w="0" w:type="auto"/>
            <w:shd w:val="clear" w:color="auto" w:fill="E2EFD9"/>
            <w:tcMar>
              <w:top w:w="40" w:type="dxa"/>
              <w:left w:w="0" w:type="dxa"/>
              <w:bottom w:w="40" w:type="dxa"/>
              <w:right w:w="20" w:type="dxa"/>
            </w:tcMar>
            <w:vAlign w:val="bottom"/>
          </w:tcPr>
          <w:p w14:paraId="5406740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407"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408"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409" w14:textId="77777777" w:rsidR="00611BDD" w:rsidRDefault="002E18C7">
            <w:pPr>
              <w:jc w:val="right"/>
              <w:textAlignment w:val="bottom"/>
            </w:pPr>
            <w:r>
              <w:rPr>
                <w:rFonts w:ascii="sans-serif" w:eastAsia="sans-serif" w:hAnsi="sans-serif" w:cs="sans-serif"/>
                <w:color w:val="000000"/>
                <w:sz w:val="20"/>
                <w:szCs w:val="20"/>
              </w:rPr>
              <w:t>(1,262)</w:t>
            </w:r>
          </w:p>
        </w:tc>
        <w:tc>
          <w:tcPr>
            <w:tcW w:w="0" w:type="auto"/>
            <w:shd w:val="clear" w:color="auto" w:fill="E2EFD9"/>
            <w:tcMar>
              <w:top w:w="40" w:type="dxa"/>
              <w:left w:w="0" w:type="dxa"/>
              <w:bottom w:w="40" w:type="dxa"/>
              <w:right w:w="20" w:type="dxa"/>
            </w:tcMar>
            <w:vAlign w:val="bottom"/>
          </w:tcPr>
          <w:p w14:paraId="5406740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40B"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40C"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40D" w14:textId="77777777" w:rsidR="00611BDD" w:rsidRDefault="002E18C7">
            <w:pPr>
              <w:jc w:val="right"/>
              <w:textAlignment w:val="bottom"/>
            </w:pPr>
            <w:r>
              <w:rPr>
                <w:rFonts w:ascii="sans-serif" w:eastAsia="sans-serif" w:hAnsi="sans-serif" w:cs="sans-serif"/>
                <w:color w:val="000000"/>
                <w:sz w:val="20"/>
                <w:szCs w:val="20"/>
              </w:rPr>
              <w:t>1,627 </w:t>
            </w:r>
          </w:p>
        </w:tc>
        <w:tc>
          <w:tcPr>
            <w:tcW w:w="0" w:type="auto"/>
            <w:shd w:val="clear" w:color="auto" w:fill="E2EFD9"/>
            <w:tcMar>
              <w:top w:w="40" w:type="dxa"/>
              <w:left w:w="0" w:type="dxa"/>
              <w:bottom w:w="40" w:type="dxa"/>
              <w:right w:w="20" w:type="dxa"/>
            </w:tcMar>
            <w:vAlign w:val="bottom"/>
          </w:tcPr>
          <w:p w14:paraId="5406740E" w14:textId="77777777" w:rsidR="00611BDD" w:rsidRDefault="00611BDD">
            <w:pPr>
              <w:jc w:val="right"/>
              <w:rPr>
                <w:rFonts w:ascii="宋体"/>
              </w:rPr>
            </w:pPr>
          </w:p>
        </w:tc>
      </w:tr>
    </w:tbl>
    <w:p w14:paraId="54067410" w14:textId="77777777" w:rsidR="00611BDD" w:rsidRDefault="00611BDD">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568"/>
        <w:gridCol w:w="38"/>
        <w:gridCol w:w="123"/>
        <w:gridCol w:w="966"/>
        <w:gridCol w:w="37"/>
        <w:gridCol w:w="36"/>
        <w:gridCol w:w="36"/>
        <w:gridCol w:w="36"/>
        <w:gridCol w:w="122"/>
        <w:gridCol w:w="922"/>
        <w:gridCol w:w="36"/>
        <w:gridCol w:w="36"/>
        <w:gridCol w:w="36"/>
        <w:gridCol w:w="36"/>
        <w:gridCol w:w="122"/>
        <w:gridCol w:w="922"/>
        <w:gridCol w:w="36"/>
        <w:gridCol w:w="36"/>
        <w:gridCol w:w="36"/>
        <w:gridCol w:w="36"/>
        <w:gridCol w:w="122"/>
        <w:gridCol w:w="923"/>
        <w:gridCol w:w="36"/>
      </w:tblGrid>
      <w:tr w:rsidR="00611BDD" w14:paraId="54067429" w14:textId="77777777">
        <w:trPr>
          <w:jc w:val="center"/>
        </w:trPr>
        <w:tc>
          <w:tcPr>
            <w:tcW w:w="50" w:type="pct"/>
            <w:shd w:val="clear" w:color="auto" w:fill="auto"/>
            <w:vAlign w:val="bottom"/>
          </w:tcPr>
          <w:p w14:paraId="54067411" w14:textId="77777777" w:rsidR="00611BDD" w:rsidRDefault="00611BDD">
            <w:pPr>
              <w:rPr>
                <w:rFonts w:ascii="宋体"/>
              </w:rPr>
            </w:pPr>
          </w:p>
        </w:tc>
        <w:tc>
          <w:tcPr>
            <w:tcW w:w="2174" w:type="pct"/>
            <w:shd w:val="clear" w:color="auto" w:fill="auto"/>
            <w:vAlign w:val="bottom"/>
          </w:tcPr>
          <w:p w14:paraId="54067412" w14:textId="77777777" w:rsidR="00611BDD" w:rsidRDefault="00611BDD">
            <w:pPr>
              <w:rPr>
                <w:rFonts w:ascii="宋体"/>
              </w:rPr>
            </w:pPr>
          </w:p>
        </w:tc>
        <w:tc>
          <w:tcPr>
            <w:tcW w:w="5" w:type="pct"/>
            <w:shd w:val="clear" w:color="auto" w:fill="auto"/>
            <w:vAlign w:val="bottom"/>
          </w:tcPr>
          <w:p w14:paraId="54067413" w14:textId="77777777" w:rsidR="00611BDD" w:rsidRDefault="00611BDD">
            <w:pPr>
              <w:rPr>
                <w:rFonts w:ascii="宋体"/>
              </w:rPr>
            </w:pPr>
          </w:p>
        </w:tc>
        <w:tc>
          <w:tcPr>
            <w:tcW w:w="50" w:type="pct"/>
            <w:shd w:val="clear" w:color="auto" w:fill="auto"/>
            <w:vAlign w:val="bottom"/>
          </w:tcPr>
          <w:p w14:paraId="54067414" w14:textId="77777777" w:rsidR="00611BDD" w:rsidRDefault="00611BDD">
            <w:pPr>
              <w:rPr>
                <w:rFonts w:ascii="宋体"/>
              </w:rPr>
            </w:pPr>
          </w:p>
        </w:tc>
        <w:tc>
          <w:tcPr>
            <w:tcW w:w="610" w:type="pct"/>
            <w:shd w:val="clear" w:color="auto" w:fill="auto"/>
            <w:vAlign w:val="bottom"/>
          </w:tcPr>
          <w:p w14:paraId="54067415" w14:textId="77777777" w:rsidR="00611BDD" w:rsidRDefault="00611BDD">
            <w:pPr>
              <w:rPr>
                <w:rFonts w:ascii="宋体"/>
              </w:rPr>
            </w:pPr>
          </w:p>
        </w:tc>
        <w:tc>
          <w:tcPr>
            <w:tcW w:w="5" w:type="pct"/>
            <w:shd w:val="clear" w:color="auto" w:fill="auto"/>
            <w:vAlign w:val="bottom"/>
          </w:tcPr>
          <w:p w14:paraId="54067416" w14:textId="77777777" w:rsidR="00611BDD" w:rsidRDefault="00611BDD">
            <w:pPr>
              <w:rPr>
                <w:rFonts w:ascii="宋体"/>
              </w:rPr>
            </w:pPr>
          </w:p>
        </w:tc>
        <w:tc>
          <w:tcPr>
            <w:tcW w:w="5" w:type="pct"/>
            <w:shd w:val="clear" w:color="auto" w:fill="auto"/>
            <w:vAlign w:val="bottom"/>
          </w:tcPr>
          <w:p w14:paraId="54067417" w14:textId="77777777" w:rsidR="00611BDD" w:rsidRDefault="00611BDD">
            <w:pPr>
              <w:rPr>
                <w:rFonts w:ascii="宋体"/>
              </w:rPr>
            </w:pPr>
          </w:p>
        </w:tc>
        <w:tc>
          <w:tcPr>
            <w:tcW w:w="26" w:type="pct"/>
            <w:shd w:val="clear" w:color="auto" w:fill="auto"/>
            <w:vAlign w:val="bottom"/>
          </w:tcPr>
          <w:p w14:paraId="54067418" w14:textId="77777777" w:rsidR="00611BDD" w:rsidRDefault="00611BDD">
            <w:pPr>
              <w:rPr>
                <w:rFonts w:ascii="宋体"/>
              </w:rPr>
            </w:pPr>
          </w:p>
        </w:tc>
        <w:tc>
          <w:tcPr>
            <w:tcW w:w="5" w:type="pct"/>
            <w:shd w:val="clear" w:color="auto" w:fill="auto"/>
            <w:vAlign w:val="bottom"/>
          </w:tcPr>
          <w:p w14:paraId="54067419" w14:textId="77777777" w:rsidR="00611BDD" w:rsidRDefault="00611BDD">
            <w:pPr>
              <w:rPr>
                <w:rFonts w:ascii="宋体"/>
              </w:rPr>
            </w:pPr>
          </w:p>
        </w:tc>
        <w:tc>
          <w:tcPr>
            <w:tcW w:w="50" w:type="pct"/>
            <w:shd w:val="clear" w:color="auto" w:fill="auto"/>
            <w:vAlign w:val="bottom"/>
          </w:tcPr>
          <w:p w14:paraId="5406741A" w14:textId="77777777" w:rsidR="00611BDD" w:rsidRDefault="00611BDD">
            <w:pPr>
              <w:rPr>
                <w:rFonts w:ascii="宋体"/>
              </w:rPr>
            </w:pPr>
          </w:p>
        </w:tc>
        <w:tc>
          <w:tcPr>
            <w:tcW w:w="610" w:type="pct"/>
            <w:shd w:val="clear" w:color="auto" w:fill="auto"/>
            <w:vAlign w:val="bottom"/>
          </w:tcPr>
          <w:p w14:paraId="5406741B" w14:textId="77777777" w:rsidR="00611BDD" w:rsidRDefault="00611BDD">
            <w:pPr>
              <w:rPr>
                <w:rFonts w:ascii="宋体"/>
              </w:rPr>
            </w:pPr>
          </w:p>
        </w:tc>
        <w:tc>
          <w:tcPr>
            <w:tcW w:w="5" w:type="pct"/>
            <w:shd w:val="clear" w:color="auto" w:fill="auto"/>
            <w:vAlign w:val="bottom"/>
          </w:tcPr>
          <w:p w14:paraId="5406741C" w14:textId="77777777" w:rsidR="00611BDD" w:rsidRDefault="00611BDD">
            <w:pPr>
              <w:rPr>
                <w:rFonts w:ascii="宋体"/>
              </w:rPr>
            </w:pPr>
          </w:p>
        </w:tc>
        <w:tc>
          <w:tcPr>
            <w:tcW w:w="5" w:type="pct"/>
            <w:shd w:val="clear" w:color="auto" w:fill="auto"/>
            <w:vAlign w:val="bottom"/>
          </w:tcPr>
          <w:p w14:paraId="5406741D" w14:textId="77777777" w:rsidR="00611BDD" w:rsidRDefault="00611BDD">
            <w:pPr>
              <w:rPr>
                <w:rFonts w:ascii="宋体"/>
              </w:rPr>
            </w:pPr>
          </w:p>
        </w:tc>
        <w:tc>
          <w:tcPr>
            <w:tcW w:w="26" w:type="pct"/>
            <w:shd w:val="clear" w:color="auto" w:fill="auto"/>
            <w:vAlign w:val="bottom"/>
          </w:tcPr>
          <w:p w14:paraId="5406741E" w14:textId="77777777" w:rsidR="00611BDD" w:rsidRDefault="00611BDD">
            <w:pPr>
              <w:rPr>
                <w:rFonts w:ascii="宋体"/>
              </w:rPr>
            </w:pPr>
          </w:p>
        </w:tc>
        <w:tc>
          <w:tcPr>
            <w:tcW w:w="5" w:type="pct"/>
            <w:shd w:val="clear" w:color="auto" w:fill="auto"/>
            <w:vAlign w:val="bottom"/>
          </w:tcPr>
          <w:p w14:paraId="5406741F" w14:textId="77777777" w:rsidR="00611BDD" w:rsidRDefault="00611BDD">
            <w:pPr>
              <w:rPr>
                <w:rFonts w:ascii="宋体"/>
              </w:rPr>
            </w:pPr>
          </w:p>
        </w:tc>
        <w:tc>
          <w:tcPr>
            <w:tcW w:w="50" w:type="pct"/>
            <w:shd w:val="clear" w:color="auto" w:fill="auto"/>
            <w:vAlign w:val="bottom"/>
          </w:tcPr>
          <w:p w14:paraId="54067420" w14:textId="77777777" w:rsidR="00611BDD" w:rsidRDefault="00611BDD">
            <w:pPr>
              <w:rPr>
                <w:rFonts w:ascii="宋体"/>
              </w:rPr>
            </w:pPr>
          </w:p>
        </w:tc>
        <w:tc>
          <w:tcPr>
            <w:tcW w:w="610" w:type="pct"/>
            <w:shd w:val="clear" w:color="auto" w:fill="auto"/>
            <w:vAlign w:val="bottom"/>
          </w:tcPr>
          <w:p w14:paraId="54067421" w14:textId="77777777" w:rsidR="00611BDD" w:rsidRDefault="00611BDD">
            <w:pPr>
              <w:rPr>
                <w:rFonts w:ascii="宋体"/>
              </w:rPr>
            </w:pPr>
          </w:p>
        </w:tc>
        <w:tc>
          <w:tcPr>
            <w:tcW w:w="5" w:type="pct"/>
            <w:shd w:val="clear" w:color="auto" w:fill="auto"/>
            <w:vAlign w:val="bottom"/>
          </w:tcPr>
          <w:p w14:paraId="54067422" w14:textId="77777777" w:rsidR="00611BDD" w:rsidRDefault="00611BDD">
            <w:pPr>
              <w:rPr>
                <w:rFonts w:ascii="宋体"/>
              </w:rPr>
            </w:pPr>
          </w:p>
        </w:tc>
        <w:tc>
          <w:tcPr>
            <w:tcW w:w="5" w:type="pct"/>
            <w:shd w:val="clear" w:color="auto" w:fill="auto"/>
            <w:vAlign w:val="bottom"/>
          </w:tcPr>
          <w:p w14:paraId="54067423" w14:textId="77777777" w:rsidR="00611BDD" w:rsidRDefault="00611BDD">
            <w:pPr>
              <w:rPr>
                <w:rFonts w:ascii="宋体"/>
              </w:rPr>
            </w:pPr>
          </w:p>
        </w:tc>
        <w:tc>
          <w:tcPr>
            <w:tcW w:w="26" w:type="pct"/>
            <w:shd w:val="clear" w:color="auto" w:fill="auto"/>
            <w:vAlign w:val="bottom"/>
          </w:tcPr>
          <w:p w14:paraId="54067424" w14:textId="77777777" w:rsidR="00611BDD" w:rsidRDefault="00611BDD">
            <w:pPr>
              <w:rPr>
                <w:rFonts w:ascii="宋体"/>
              </w:rPr>
            </w:pPr>
          </w:p>
        </w:tc>
        <w:tc>
          <w:tcPr>
            <w:tcW w:w="5" w:type="pct"/>
            <w:shd w:val="clear" w:color="auto" w:fill="auto"/>
            <w:vAlign w:val="bottom"/>
          </w:tcPr>
          <w:p w14:paraId="54067425" w14:textId="77777777" w:rsidR="00611BDD" w:rsidRDefault="00611BDD">
            <w:pPr>
              <w:rPr>
                <w:rFonts w:ascii="宋体"/>
              </w:rPr>
            </w:pPr>
          </w:p>
        </w:tc>
        <w:tc>
          <w:tcPr>
            <w:tcW w:w="50" w:type="pct"/>
            <w:shd w:val="clear" w:color="auto" w:fill="auto"/>
            <w:vAlign w:val="bottom"/>
          </w:tcPr>
          <w:p w14:paraId="54067426" w14:textId="77777777" w:rsidR="00611BDD" w:rsidRDefault="00611BDD">
            <w:pPr>
              <w:rPr>
                <w:rFonts w:ascii="宋体"/>
              </w:rPr>
            </w:pPr>
          </w:p>
        </w:tc>
        <w:tc>
          <w:tcPr>
            <w:tcW w:w="610" w:type="pct"/>
            <w:shd w:val="clear" w:color="auto" w:fill="auto"/>
            <w:vAlign w:val="bottom"/>
          </w:tcPr>
          <w:p w14:paraId="54067427" w14:textId="77777777" w:rsidR="00611BDD" w:rsidRDefault="00611BDD">
            <w:pPr>
              <w:rPr>
                <w:rFonts w:ascii="宋体"/>
              </w:rPr>
            </w:pPr>
          </w:p>
        </w:tc>
        <w:tc>
          <w:tcPr>
            <w:tcW w:w="5" w:type="pct"/>
            <w:shd w:val="clear" w:color="auto" w:fill="auto"/>
            <w:vAlign w:val="bottom"/>
          </w:tcPr>
          <w:p w14:paraId="54067428" w14:textId="77777777" w:rsidR="00611BDD" w:rsidRDefault="00611BDD">
            <w:pPr>
              <w:rPr>
                <w:rFonts w:ascii="宋体"/>
              </w:rPr>
            </w:pPr>
          </w:p>
        </w:tc>
      </w:tr>
      <w:tr w:rsidR="00611BDD" w14:paraId="5406742E" w14:textId="77777777">
        <w:trPr>
          <w:jc w:val="center"/>
        </w:trPr>
        <w:tc>
          <w:tcPr>
            <w:tcW w:w="0" w:type="auto"/>
            <w:gridSpan w:val="3"/>
            <w:shd w:val="clear" w:color="auto" w:fill="auto"/>
            <w:tcMar>
              <w:top w:w="0" w:type="dxa"/>
              <w:left w:w="20" w:type="dxa"/>
              <w:bottom w:w="0" w:type="dxa"/>
              <w:right w:w="20" w:type="dxa"/>
            </w:tcMar>
            <w:vAlign w:val="bottom"/>
          </w:tcPr>
          <w:p w14:paraId="5406742A" w14:textId="77777777" w:rsidR="00611BDD" w:rsidRDefault="00611BDD">
            <w:pPr>
              <w:rPr>
                <w:rFonts w:ascii="宋体"/>
              </w:rPr>
            </w:pPr>
          </w:p>
        </w:tc>
        <w:tc>
          <w:tcPr>
            <w:tcW w:w="0" w:type="auto"/>
            <w:gridSpan w:val="9"/>
            <w:shd w:val="clear" w:color="auto" w:fill="auto"/>
            <w:tcMar>
              <w:top w:w="40" w:type="dxa"/>
              <w:left w:w="20" w:type="dxa"/>
              <w:bottom w:w="40" w:type="dxa"/>
              <w:right w:w="20" w:type="dxa"/>
            </w:tcMar>
            <w:vAlign w:val="bottom"/>
          </w:tcPr>
          <w:p w14:paraId="5406742B" w14:textId="77777777" w:rsidR="00611BDD" w:rsidRDefault="002E18C7">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5406742C" w14:textId="77777777" w:rsidR="00611BDD" w:rsidRDefault="00611BDD">
            <w:pPr>
              <w:rPr>
                <w:rFonts w:ascii="宋体"/>
              </w:rPr>
            </w:pPr>
          </w:p>
        </w:tc>
        <w:tc>
          <w:tcPr>
            <w:tcW w:w="0" w:type="auto"/>
            <w:gridSpan w:val="9"/>
            <w:shd w:val="clear" w:color="auto" w:fill="auto"/>
            <w:tcMar>
              <w:top w:w="40" w:type="dxa"/>
              <w:left w:w="20" w:type="dxa"/>
              <w:bottom w:w="40" w:type="dxa"/>
              <w:right w:w="20" w:type="dxa"/>
            </w:tcMar>
            <w:vAlign w:val="bottom"/>
          </w:tcPr>
          <w:p w14:paraId="5406742D" w14:textId="77777777" w:rsidR="00611BDD" w:rsidRDefault="002E18C7">
            <w:pPr>
              <w:jc w:val="center"/>
              <w:textAlignment w:val="bottom"/>
            </w:pPr>
            <w:r>
              <w:rPr>
                <w:rFonts w:ascii="sans-serif" w:eastAsia="sans-serif" w:hAnsi="sans-serif" w:cs="sans-serif"/>
                <w:b/>
                <w:bCs/>
                <w:color w:val="000000"/>
                <w:sz w:val="20"/>
                <w:szCs w:val="20"/>
              </w:rPr>
              <w:t>Six Months Ended</w:t>
            </w:r>
          </w:p>
        </w:tc>
      </w:tr>
      <w:tr w:rsidR="00611BDD" w14:paraId="54067437" w14:textId="77777777">
        <w:trPr>
          <w:jc w:val="center"/>
        </w:trPr>
        <w:tc>
          <w:tcPr>
            <w:tcW w:w="0" w:type="auto"/>
            <w:gridSpan w:val="3"/>
            <w:shd w:val="clear" w:color="auto" w:fill="auto"/>
            <w:tcMar>
              <w:top w:w="0" w:type="dxa"/>
              <w:left w:w="20" w:type="dxa"/>
              <w:bottom w:w="0" w:type="dxa"/>
              <w:right w:w="20" w:type="dxa"/>
            </w:tcMar>
            <w:vAlign w:val="bottom"/>
          </w:tcPr>
          <w:p w14:paraId="5406742F"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7430" w14:textId="77777777" w:rsidR="00611BDD" w:rsidRDefault="002E18C7">
            <w:pPr>
              <w:jc w:val="center"/>
              <w:textAlignment w:val="bottom"/>
            </w:pPr>
            <w:r>
              <w:rPr>
                <w:rFonts w:ascii="sans-serif" w:eastAsia="sans-serif" w:hAnsi="sans-serif" w:cs="sans-serif"/>
                <w:b/>
                <w:bCs/>
                <w:color w:val="000000"/>
                <w:sz w:val="20"/>
                <w:szCs w:val="20"/>
              </w:rPr>
              <w:t>August 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431"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7432" w14:textId="77777777" w:rsidR="00611BDD" w:rsidRDefault="002E18C7">
            <w:pPr>
              <w:jc w:val="center"/>
              <w:textAlignment w:val="bottom"/>
            </w:pPr>
            <w:r>
              <w:rPr>
                <w:rFonts w:ascii="sans-serif" w:eastAsia="sans-serif" w:hAnsi="sans-serif" w:cs="sans-serif"/>
                <w:b/>
                <w:bCs/>
                <w:color w:val="000000"/>
                <w:sz w:val="20"/>
                <w:szCs w:val="20"/>
              </w:rPr>
              <w:t>July 26,</w:t>
            </w:r>
            <w:r>
              <w:rPr>
                <w:rFonts w:ascii="sans-serif" w:eastAsia="sans-serif" w:hAnsi="sans-serif" w:cs="sans-serif"/>
                <w:b/>
                <w:bCs/>
                <w:color w:val="000000"/>
                <w:sz w:val="20"/>
                <w:szCs w:val="20"/>
              </w:rPr>
              <w:br/>
              <w:t>2020</w:t>
            </w:r>
          </w:p>
        </w:tc>
        <w:tc>
          <w:tcPr>
            <w:tcW w:w="0" w:type="auto"/>
            <w:gridSpan w:val="3"/>
            <w:shd w:val="clear" w:color="auto" w:fill="auto"/>
            <w:tcMar>
              <w:top w:w="0" w:type="dxa"/>
              <w:left w:w="20" w:type="dxa"/>
              <w:bottom w:w="0" w:type="dxa"/>
              <w:right w:w="20" w:type="dxa"/>
            </w:tcMar>
            <w:vAlign w:val="bottom"/>
          </w:tcPr>
          <w:p w14:paraId="54067433"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7434" w14:textId="77777777" w:rsidR="00611BDD" w:rsidRDefault="002E18C7">
            <w:pPr>
              <w:jc w:val="center"/>
              <w:textAlignment w:val="bottom"/>
            </w:pPr>
            <w:r>
              <w:rPr>
                <w:rFonts w:ascii="sans-serif" w:eastAsia="sans-serif" w:hAnsi="sans-serif" w:cs="sans-serif"/>
                <w:b/>
                <w:bCs/>
                <w:color w:val="000000"/>
                <w:sz w:val="20"/>
                <w:szCs w:val="20"/>
              </w:rPr>
              <w:t>August 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435"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7436" w14:textId="77777777" w:rsidR="00611BDD" w:rsidRDefault="002E18C7">
            <w:pPr>
              <w:jc w:val="center"/>
              <w:textAlignment w:val="bottom"/>
            </w:pPr>
            <w:r>
              <w:rPr>
                <w:rFonts w:ascii="sans-serif" w:eastAsia="sans-serif" w:hAnsi="sans-serif" w:cs="sans-serif"/>
                <w:b/>
                <w:bCs/>
                <w:color w:val="000000"/>
                <w:sz w:val="20"/>
                <w:szCs w:val="20"/>
              </w:rPr>
              <w:t>July 26,</w:t>
            </w:r>
            <w:r>
              <w:rPr>
                <w:rFonts w:ascii="sans-serif" w:eastAsia="sans-serif" w:hAnsi="sans-serif" w:cs="sans-serif"/>
                <w:b/>
                <w:bCs/>
                <w:color w:val="000000"/>
                <w:sz w:val="20"/>
                <w:szCs w:val="20"/>
              </w:rPr>
              <w:br/>
              <w:t>2020</w:t>
            </w:r>
          </w:p>
        </w:tc>
      </w:tr>
      <w:tr w:rsidR="00611BDD" w14:paraId="54067440" w14:textId="77777777">
        <w:trPr>
          <w:trHeight w:val="60"/>
          <w:jc w:val="center"/>
        </w:trPr>
        <w:tc>
          <w:tcPr>
            <w:tcW w:w="0" w:type="auto"/>
            <w:gridSpan w:val="3"/>
            <w:shd w:val="clear" w:color="auto" w:fill="auto"/>
            <w:tcMar>
              <w:top w:w="0" w:type="dxa"/>
              <w:left w:w="20" w:type="dxa"/>
              <w:bottom w:w="0" w:type="dxa"/>
              <w:right w:w="20" w:type="dxa"/>
            </w:tcMar>
            <w:vAlign w:val="bottom"/>
          </w:tcPr>
          <w:p w14:paraId="54067438"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439"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43A"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43B"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43C"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43D"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43E"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43F" w14:textId="77777777" w:rsidR="00611BDD" w:rsidRDefault="00611BDD">
            <w:pPr>
              <w:rPr>
                <w:rFonts w:ascii="宋体"/>
              </w:rPr>
            </w:pPr>
          </w:p>
        </w:tc>
      </w:tr>
      <w:tr w:rsidR="00611BDD" w14:paraId="54067443" w14:textId="77777777">
        <w:trPr>
          <w:jc w:val="center"/>
        </w:trPr>
        <w:tc>
          <w:tcPr>
            <w:tcW w:w="0" w:type="auto"/>
            <w:gridSpan w:val="3"/>
            <w:shd w:val="clear" w:color="auto" w:fill="auto"/>
            <w:tcMar>
              <w:top w:w="0" w:type="dxa"/>
              <w:left w:w="20" w:type="dxa"/>
              <w:bottom w:w="0" w:type="dxa"/>
              <w:right w:w="20" w:type="dxa"/>
            </w:tcMar>
            <w:vAlign w:val="bottom"/>
          </w:tcPr>
          <w:p w14:paraId="54067441" w14:textId="77777777" w:rsidR="00611BDD" w:rsidRDefault="00611BDD">
            <w:pPr>
              <w:rPr>
                <w:rFonts w:ascii="宋体"/>
              </w:rPr>
            </w:pPr>
          </w:p>
        </w:tc>
        <w:tc>
          <w:tcPr>
            <w:tcW w:w="0" w:type="auto"/>
            <w:gridSpan w:val="21"/>
            <w:shd w:val="clear" w:color="auto" w:fill="auto"/>
            <w:tcMar>
              <w:top w:w="40" w:type="dxa"/>
              <w:left w:w="20" w:type="dxa"/>
              <w:bottom w:w="40" w:type="dxa"/>
              <w:right w:w="20" w:type="dxa"/>
            </w:tcMar>
            <w:vAlign w:val="bottom"/>
          </w:tcPr>
          <w:p w14:paraId="54067442" w14:textId="77777777" w:rsidR="00611BDD" w:rsidRDefault="002E18C7">
            <w:pPr>
              <w:jc w:val="center"/>
              <w:textAlignment w:val="bottom"/>
            </w:pPr>
            <w:r>
              <w:rPr>
                <w:rFonts w:ascii="sans-serif" w:eastAsia="sans-serif" w:hAnsi="sans-serif" w:cs="sans-serif"/>
                <w:i/>
                <w:iCs/>
                <w:color w:val="000000"/>
                <w:sz w:val="20"/>
                <w:szCs w:val="20"/>
              </w:rPr>
              <w:t>(In millions)</w:t>
            </w:r>
          </w:p>
        </w:tc>
      </w:tr>
      <w:tr w:rsidR="00611BDD" w14:paraId="5406744C" w14:textId="77777777">
        <w:trPr>
          <w:jc w:val="center"/>
        </w:trPr>
        <w:tc>
          <w:tcPr>
            <w:tcW w:w="0" w:type="auto"/>
            <w:gridSpan w:val="3"/>
            <w:shd w:val="clear" w:color="auto" w:fill="auto"/>
            <w:tcMar>
              <w:top w:w="40" w:type="dxa"/>
              <w:left w:w="20" w:type="dxa"/>
              <w:bottom w:w="40" w:type="dxa"/>
              <w:right w:w="20" w:type="dxa"/>
            </w:tcMar>
            <w:vAlign w:val="bottom"/>
          </w:tcPr>
          <w:p w14:paraId="54067444" w14:textId="77777777" w:rsidR="00611BDD" w:rsidRDefault="002E18C7">
            <w:pPr>
              <w:textAlignment w:val="bottom"/>
            </w:pPr>
            <w:r>
              <w:rPr>
                <w:rFonts w:ascii="sans-serif" w:eastAsia="sans-serif" w:hAnsi="sans-serif" w:cs="sans-serif"/>
                <w:b/>
                <w:bCs/>
                <w:color w:val="000000"/>
                <w:sz w:val="20"/>
                <w:szCs w:val="20"/>
              </w:rPr>
              <w:t>Reconciling items included in "All Other" category:</w:t>
            </w:r>
          </w:p>
        </w:tc>
        <w:tc>
          <w:tcPr>
            <w:tcW w:w="0" w:type="auto"/>
            <w:gridSpan w:val="3"/>
            <w:shd w:val="clear" w:color="auto" w:fill="auto"/>
            <w:tcMar>
              <w:top w:w="0" w:type="dxa"/>
              <w:left w:w="20" w:type="dxa"/>
              <w:bottom w:w="0" w:type="dxa"/>
              <w:right w:w="20" w:type="dxa"/>
            </w:tcMar>
            <w:vAlign w:val="bottom"/>
          </w:tcPr>
          <w:p w14:paraId="54067445"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446"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447"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448"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449"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44A"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44B" w14:textId="77777777" w:rsidR="00611BDD" w:rsidRDefault="00611BDD">
            <w:pPr>
              <w:rPr>
                <w:rFonts w:ascii="宋体"/>
              </w:rPr>
            </w:pPr>
          </w:p>
        </w:tc>
      </w:tr>
      <w:tr w:rsidR="00611BDD" w14:paraId="54067455" w14:textId="77777777">
        <w:trPr>
          <w:jc w:val="center"/>
          <w:hidden/>
        </w:trPr>
        <w:tc>
          <w:tcPr>
            <w:tcW w:w="0" w:type="auto"/>
            <w:gridSpan w:val="3"/>
            <w:shd w:val="clear" w:color="auto" w:fill="auto"/>
            <w:vAlign w:val="bottom"/>
          </w:tcPr>
          <w:p w14:paraId="5406744D" w14:textId="77777777" w:rsidR="00611BDD" w:rsidRDefault="00611BDD">
            <w:pPr>
              <w:rPr>
                <w:rFonts w:ascii="宋体"/>
                <w:vanish/>
              </w:rPr>
            </w:pPr>
          </w:p>
        </w:tc>
        <w:tc>
          <w:tcPr>
            <w:tcW w:w="0" w:type="auto"/>
            <w:gridSpan w:val="3"/>
            <w:shd w:val="clear" w:color="auto" w:fill="auto"/>
            <w:vAlign w:val="bottom"/>
          </w:tcPr>
          <w:p w14:paraId="5406744E" w14:textId="77777777" w:rsidR="00611BDD" w:rsidRDefault="00611BDD">
            <w:pPr>
              <w:rPr>
                <w:rFonts w:ascii="宋体"/>
                <w:vanish/>
              </w:rPr>
            </w:pPr>
          </w:p>
        </w:tc>
        <w:tc>
          <w:tcPr>
            <w:tcW w:w="0" w:type="auto"/>
            <w:gridSpan w:val="3"/>
            <w:shd w:val="clear" w:color="auto" w:fill="auto"/>
            <w:vAlign w:val="bottom"/>
          </w:tcPr>
          <w:p w14:paraId="5406744F" w14:textId="77777777" w:rsidR="00611BDD" w:rsidRDefault="00611BDD">
            <w:pPr>
              <w:rPr>
                <w:rFonts w:ascii="宋体"/>
                <w:vanish/>
              </w:rPr>
            </w:pPr>
          </w:p>
        </w:tc>
        <w:tc>
          <w:tcPr>
            <w:tcW w:w="0" w:type="auto"/>
            <w:gridSpan w:val="3"/>
            <w:shd w:val="clear" w:color="auto" w:fill="auto"/>
            <w:vAlign w:val="bottom"/>
          </w:tcPr>
          <w:p w14:paraId="54067450" w14:textId="77777777" w:rsidR="00611BDD" w:rsidRDefault="00611BDD">
            <w:pPr>
              <w:rPr>
                <w:rFonts w:ascii="宋体"/>
                <w:vanish/>
              </w:rPr>
            </w:pPr>
          </w:p>
        </w:tc>
        <w:tc>
          <w:tcPr>
            <w:tcW w:w="0" w:type="auto"/>
            <w:gridSpan w:val="3"/>
            <w:shd w:val="clear" w:color="auto" w:fill="auto"/>
            <w:vAlign w:val="bottom"/>
          </w:tcPr>
          <w:p w14:paraId="54067451" w14:textId="77777777" w:rsidR="00611BDD" w:rsidRDefault="00611BDD">
            <w:pPr>
              <w:rPr>
                <w:rFonts w:ascii="宋体"/>
                <w:vanish/>
              </w:rPr>
            </w:pPr>
          </w:p>
        </w:tc>
        <w:tc>
          <w:tcPr>
            <w:tcW w:w="0" w:type="auto"/>
            <w:gridSpan w:val="3"/>
            <w:shd w:val="clear" w:color="auto" w:fill="auto"/>
            <w:vAlign w:val="bottom"/>
          </w:tcPr>
          <w:p w14:paraId="54067452" w14:textId="77777777" w:rsidR="00611BDD" w:rsidRDefault="00611BDD">
            <w:pPr>
              <w:rPr>
                <w:rFonts w:ascii="宋体"/>
                <w:vanish/>
              </w:rPr>
            </w:pPr>
          </w:p>
        </w:tc>
        <w:tc>
          <w:tcPr>
            <w:tcW w:w="0" w:type="auto"/>
            <w:gridSpan w:val="3"/>
            <w:shd w:val="clear" w:color="auto" w:fill="auto"/>
            <w:vAlign w:val="bottom"/>
          </w:tcPr>
          <w:p w14:paraId="54067453" w14:textId="77777777" w:rsidR="00611BDD" w:rsidRDefault="00611BDD">
            <w:pPr>
              <w:rPr>
                <w:rFonts w:ascii="宋体"/>
                <w:vanish/>
              </w:rPr>
            </w:pPr>
          </w:p>
        </w:tc>
        <w:tc>
          <w:tcPr>
            <w:tcW w:w="0" w:type="auto"/>
            <w:gridSpan w:val="3"/>
            <w:shd w:val="clear" w:color="auto" w:fill="auto"/>
            <w:vAlign w:val="bottom"/>
          </w:tcPr>
          <w:p w14:paraId="54067454" w14:textId="77777777" w:rsidR="00611BDD" w:rsidRDefault="00611BDD">
            <w:pPr>
              <w:rPr>
                <w:rFonts w:ascii="宋体"/>
                <w:vanish/>
              </w:rPr>
            </w:pPr>
          </w:p>
        </w:tc>
      </w:tr>
      <w:tr w:rsidR="00611BDD" w14:paraId="54067466" w14:textId="77777777">
        <w:trPr>
          <w:jc w:val="center"/>
        </w:trPr>
        <w:tc>
          <w:tcPr>
            <w:tcW w:w="0" w:type="auto"/>
            <w:gridSpan w:val="3"/>
            <w:shd w:val="clear" w:color="auto" w:fill="E2EFD9"/>
            <w:tcMar>
              <w:top w:w="40" w:type="dxa"/>
              <w:left w:w="20" w:type="dxa"/>
              <w:bottom w:w="40" w:type="dxa"/>
              <w:right w:w="20" w:type="dxa"/>
            </w:tcMar>
            <w:vAlign w:val="bottom"/>
          </w:tcPr>
          <w:p w14:paraId="54067456" w14:textId="77777777" w:rsidR="00611BDD" w:rsidRDefault="002E18C7">
            <w:pPr>
              <w:textAlignment w:val="bottom"/>
            </w:pPr>
            <w:r>
              <w:rPr>
                <w:rFonts w:ascii="sans-serif" w:eastAsia="sans-serif" w:hAnsi="sans-serif" w:cs="sans-serif"/>
                <w:color w:val="000000"/>
                <w:sz w:val="20"/>
                <w:szCs w:val="20"/>
              </w:rPr>
              <w:t xml:space="preserve">Stock-based </w:t>
            </w:r>
            <w:r>
              <w:rPr>
                <w:rFonts w:ascii="sans-serif" w:eastAsia="sans-serif" w:hAnsi="sans-serif" w:cs="sans-serif"/>
                <w:color w:val="000000"/>
                <w:sz w:val="20"/>
                <w:szCs w:val="20"/>
              </w:rPr>
              <w:t>compensation expense</w:t>
            </w:r>
          </w:p>
        </w:tc>
        <w:tc>
          <w:tcPr>
            <w:tcW w:w="0" w:type="auto"/>
            <w:shd w:val="clear" w:color="auto" w:fill="E2EFD9"/>
            <w:tcMar>
              <w:top w:w="40" w:type="dxa"/>
              <w:left w:w="20" w:type="dxa"/>
              <w:bottom w:w="40" w:type="dxa"/>
              <w:right w:w="0" w:type="dxa"/>
            </w:tcMar>
            <w:vAlign w:val="bottom"/>
          </w:tcPr>
          <w:p w14:paraId="54067457"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458" w14:textId="77777777" w:rsidR="00611BDD" w:rsidRDefault="002E18C7">
            <w:pPr>
              <w:jc w:val="right"/>
              <w:textAlignment w:val="bottom"/>
            </w:pPr>
            <w:r>
              <w:rPr>
                <w:rFonts w:ascii="sans-serif" w:eastAsia="sans-serif" w:hAnsi="sans-serif" w:cs="sans-serif"/>
                <w:color w:val="000000"/>
                <w:sz w:val="20"/>
                <w:szCs w:val="20"/>
              </w:rPr>
              <w:t>(465)</w:t>
            </w:r>
          </w:p>
        </w:tc>
        <w:tc>
          <w:tcPr>
            <w:tcW w:w="0" w:type="auto"/>
            <w:shd w:val="clear" w:color="auto" w:fill="E2EFD9"/>
            <w:tcMar>
              <w:top w:w="40" w:type="dxa"/>
              <w:left w:w="0" w:type="dxa"/>
              <w:bottom w:w="40" w:type="dxa"/>
              <w:right w:w="20" w:type="dxa"/>
            </w:tcMar>
            <w:vAlign w:val="bottom"/>
          </w:tcPr>
          <w:p w14:paraId="5406745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45A"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45B"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45C" w14:textId="77777777" w:rsidR="00611BDD" w:rsidRDefault="002E18C7">
            <w:pPr>
              <w:jc w:val="right"/>
              <w:textAlignment w:val="bottom"/>
            </w:pPr>
            <w:r>
              <w:rPr>
                <w:rFonts w:ascii="sans-serif" w:eastAsia="sans-serif" w:hAnsi="sans-serif" w:cs="sans-serif"/>
                <w:color w:val="000000"/>
                <w:sz w:val="20"/>
                <w:szCs w:val="20"/>
              </w:rPr>
              <w:t>(374)</w:t>
            </w:r>
          </w:p>
        </w:tc>
        <w:tc>
          <w:tcPr>
            <w:tcW w:w="0" w:type="auto"/>
            <w:shd w:val="clear" w:color="auto" w:fill="E2EFD9"/>
            <w:tcMar>
              <w:top w:w="40" w:type="dxa"/>
              <w:left w:w="0" w:type="dxa"/>
              <w:bottom w:w="40" w:type="dxa"/>
              <w:right w:w="20" w:type="dxa"/>
            </w:tcMar>
            <w:vAlign w:val="bottom"/>
          </w:tcPr>
          <w:p w14:paraId="5406745D"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45E"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45F"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460" w14:textId="77777777" w:rsidR="00611BDD" w:rsidRDefault="002E18C7">
            <w:pPr>
              <w:jc w:val="right"/>
              <w:textAlignment w:val="bottom"/>
            </w:pPr>
            <w:r>
              <w:rPr>
                <w:rFonts w:ascii="sans-serif" w:eastAsia="sans-serif" w:hAnsi="sans-serif" w:cs="sans-serif"/>
                <w:color w:val="000000"/>
                <w:sz w:val="20"/>
                <w:szCs w:val="20"/>
              </w:rPr>
              <w:t>(894)</w:t>
            </w:r>
          </w:p>
        </w:tc>
        <w:tc>
          <w:tcPr>
            <w:tcW w:w="0" w:type="auto"/>
            <w:shd w:val="clear" w:color="auto" w:fill="E2EFD9"/>
            <w:tcMar>
              <w:top w:w="40" w:type="dxa"/>
              <w:left w:w="0" w:type="dxa"/>
              <w:bottom w:w="40" w:type="dxa"/>
              <w:right w:w="20" w:type="dxa"/>
            </w:tcMar>
            <w:vAlign w:val="bottom"/>
          </w:tcPr>
          <w:p w14:paraId="54067461"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462"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463"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464" w14:textId="77777777" w:rsidR="00611BDD" w:rsidRDefault="002E18C7">
            <w:pPr>
              <w:jc w:val="right"/>
              <w:textAlignment w:val="bottom"/>
            </w:pPr>
            <w:r>
              <w:rPr>
                <w:rFonts w:ascii="sans-serif" w:eastAsia="sans-serif" w:hAnsi="sans-serif" w:cs="sans-serif"/>
                <w:color w:val="000000"/>
                <w:sz w:val="20"/>
                <w:szCs w:val="20"/>
              </w:rPr>
              <w:t>(598)</w:t>
            </w:r>
          </w:p>
        </w:tc>
        <w:tc>
          <w:tcPr>
            <w:tcW w:w="0" w:type="auto"/>
            <w:shd w:val="clear" w:color="auto" w:fill="E2EFD9"/>
            <w:tcMar>
              <w:top w:w="40" w:type="dxa"/>
              <w:left w:w="0" w:type="dxa"/>
              <w:bottom w:w="40" w:type="dxa"/>
              <w:right w:w="20" w:type="dxa"/>
            </w:tcMar>
            <w:vAlign w:val="bottom"/>
          </w:tcPr>
          <w:p w14:paraId="54067465" w14:textId="77777777" w:rsidR="00611BDD" w:rsidRDefault="00611BDD">
            <w:pPr>
              <w:jc w:val="right"/>
              <w:rPr>
                <w:rFonts w:ascii="宋体"/>
              </w:rPr>
            </w:pPr>
          </w:p>
        </w:tc>
      </w:tr>
      <w:tr w:rsidR="00611BDD" w14:paraId="54067473" w14:textId="77777777">
        <w:trPr>
          <w:jc w:val="center"/>
        </w:trPr>
        <w:tc>
          <w:tcPr>
            <w:tcW w:w="0" w:type="auto"/>
            <w:gridSpan w:val="3"/>
            <w:shd w:val="clear" w:color="auto" w:fill="FFFFFF"/>
            <w:tcMar>
              <w:top w:w="40" w:type="dxa"/>
              <w:left w:w="20" w:type="dxa"/>
              <w:bottom w:w="40" w:type="dxa"/>
              <w:right w:w="20" w:type="dxa"/>
            </w:tcMar>
            <w:vAlign w:val="bottom"/>
          </w:tcPr>
          <w:p w14:paraId="54067467" w14:textId="77777777" w:rsidR="00611BDD" w:rsidRDefault="002E18C7">
            <w:pPr>
              <w:textAlignment w:val="bottom"/>
            </w:pPr>
            <w:r>
              <w:rPr>
                <w:rFonts w:ascii="sans-serif" w:eastAsia="sans-serif" w:hAnsi="sans-serif" w:cs="sans-serif"/>
                <w:color w:val="000000"/>
                <w:sz w:val="20"/>
                <w:szCs w:val="20"/>
              </w:rPr>
              <w:t>Acquisition-related and other costs</w:t>
            </w:r>
          </w:p>
        </w:tc>
        <w:tc>
          <w:tcPr>
            <w:tcW w:w="0" w:type="auto"/>
            <w:gridSpan w:val="2"/>
            <w:shd w:val="clear" w:color="auto" w:fill="FFFFFF"/>
            <w:tcMar>
              <w:top w:w="40" w:type="dxa"/>
              <w:left w:w="20" w:type="dxa"/>
              <w:bottom w:w="40" w:type="dxa"/>
              <w:right w:w="0" w:type="dxa"/>
            </w:tcMar>
            <w:vAlign w:val="bottom"/>
          </w:tcPr>
          <w:p w14:paraId="54067468" w14:textId="77777777" w:rsidR="00611BDD" w:rsidRDefault="002E18C7">
            <w:pPr>
              <w:jc w:val="right"/>
              <w:textAlignment w:val="bottom"/>
            </w:pPr>
            <w:r>
              <w:rPr>
                <w:rFonts w:ascii="sans-serif" w:eastAsia="sans-serif" w:hAnsi="sans-serif" w:cs="sans-serif"/>
                <w:color w:val="000000"/>
                <w:sz w:val="20"/>
                <w:szCs w:val="20"/>
              </w:rPr>
              <w:t>(158)</w:t>
            </w:r>
          </w:p>
        </w:tc>
        <w:tc>
          <w:tcPr>
            <w:tcW w:w="0" w:type="auto"/>
            <w:shd w:val="clear" w:color="auto" w:fill="FFFFFF"/>
            <w:tcMar>
              <w:top w:w="40" w:type="dxa"/>
              <w:left w:w="0" w:type="dxa"/>
              <w:bottom w:w="40" w:type="dxa"/>
              <w:right w:w="20" w:type="dxa"/>
            </w:tcMar>
            <w:vAlign w:val="bottom"/>
          </w:tcPr>
          <w:p w14:paraId="5406746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46A"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46B" w14:textId="77777777" w:rsidR="00611BDD" w:rsidRDefault="002E18C7">
            <w:pPr>
              <w:jc w:val="right"/>
              <w:textAlignment w:val="bottom"/>
            </w:pPr>
            <w:r>
              <w:rPr>
                <w:rFonts w:ascii="sans-serif" w:eastAsia="sans-serif" w:hAnsi="sans-serif" w:cs="sans-serif"/>
                <w:color w:val="000000"/>
                <w:sz w:val="20"/>
                <w:szCs w:val="20"/>
              </w:rPr>
              <w:t>(474)</w:t>
            </w:r>
          </w:p>
        </w:tc>
        <w:tc>
          <w:tcPr>
            <w:tcW w:w="0" w:type="auto"/>
            <w:shd w:val="clear" w:color="auto" w:fill="FFFFFF"/>
            <w:tcMar>
              <w:top w:w="40" w:type="dxa"/>
              <w:left w:w="0" w:type="dxa"/>
              <w:bottom w:w="40" w:type="dxa"/>
              <w:right w:w="20" w:type="dxa"/>
            </w:tcMar>
            <w:vAlign w:val="bottom"/>
          </w:tcPr>
          <w:p w14:paraId="5406746C"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46D"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46E" w14:textId="77777777" w:rsidR="00611BDD" w:rsidRDefault="002E18C7">
            <w:pPr>
              <w:jc w:val="right"/>
              <w:textAlignment w:val="bottom"/>
            </w:pPr>
            <w:r>
              <w:rPr>
                <w:rFonts w:ascii="sans-serif" w:eastAsia="sans-serif" w:hAnsi="sans-serif" w:cs="sans-serif"/>
                <w:color w:val="000000"/>
                <w:sz w:val="20"/>
                <w:szCs w:val="20"/>
              </w:rPr>
              <w:t>(325)</w:t>
            </w:r>
          </w:p>
        </w:tc>
        <w:tc>
          <w:tcPr>
            <w:tcW w:w="0" w:type="auto"/>
            <w:shd w:val="clear" w:color="auto" w:fill="FFFFFF"/>
            <w:tcMar>
              <w:top w:w="40" w:type="dxa"/>
              <w:left w:w="0" w:type="dxa"/>
              <w:bottom w:w="40" w:type="dxa"/>
              <w:right w:w="20" w:type="dxa"/>
            </w:tcMar>
            <w:vAlign w:val="bottom"/>
          </w:tcPr>
          <w:p w14:paraId="5406746F"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470"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471" w14:textId="77777777" w:rsidR="00611BDD" w:rsidRDefault="002E18C7">
            <w:pPr>
              <w:jc w:val="right"/>
              <w:textAlignment w:val="bottom"/>
            </w:pPr>
            <w:r>
              <w:rPr>
                <w:rFonts w:ascii="sans-serif" w:eastAsia="sans-serif" w:hAnsi="sans-serif" w:cs="sans-serif"/>
                <w:color w:val="000000"/>
                <w:sz w:val="20"/>
                <w:szCs w:val="20"/>
              </w:rPr>
              <w:t>(479)</w:t>
            </w:r>
          </w:p>
        </w:tc>
        <w:tc>
          <w:tcPr>
            <w:tcW w:w="0" w:type="auto"/>
            <w:shd w:val="clear" w:color="auto" w:fill="FFFFFF"/>
            <w:tcMar>
              <w:top w:w="40" w:type="dxa"/>
              <w:left w:w="0" w:type="dxa"/>
              <w:bottom w:w="40" w:type="dxa"/>
              <w:right w:w="20" w:type="dxa"/>
            </w:tcMar>
            <w:vAlign w:val="bottom"/>
          </w:tcPr>
          <w:p w14:paraId="54067472" w14:textId="77777777" w:rsidR="00611BDD" w:rsidRDefault="00611BDD">
            <w:pPr>
              <w:jc w:val="right"/>
              <w:rPr>
                <w:rFonts w:ascii="宋体"/>
              </w:rPr>
            </w:pPr>
          </w:p>
        </w:tc>
      </w:tr>
      <w:tr w:rsidR="00611BDD" w14:paraId="54067480" w14:textId="77777777">
        <w:trPr>
          <w:jc w:val="center"/>
        </w:trPr>
        <w:tc>
          <w:tcPr>
            <w:tcW w:w="0" w:type="auto"/>
            <w:gridSpan w:val="3"/>
            <w:shd w:val="clear" w:color="auto" w:fill="E2EFD9"/>
            <w:tcMar>
              <w:top w:w="40" w:type="dxa"/>
              <w:left w:w="20" w:type="dxa"/>
              <w:bottom w:w="40" w:type="dxa"/>
              <w:right w:w="20" w:type="dxa"/>
            </w:tcMar>
            <w:vAlign w:val="bottom"/>
          </w:tcPr>
          <w:p w14:paraId="54067474" w14:textId="77777777" w:rsidR="00611BDD" w:rsidRDefault="002E18C7">
            <w:pPr>
              <w:textAlignment w:val="bottom"/>
            </w:pPr>
            <w:r>
              <w:rPr>
                <w:rFonts w:ascii="sans-serif" w:eastAsia="sans-serif" w:hAnsi="sans-serif" w:cs="sans-serif"/>
                <w:color w:val="000000"/>
                <w:sz w:val="20"/>
                <w:szCs w:val="20"/>
              </w:rPr>
              <w:t xml:space="preserve">Unallocated cost of revenue and operating expenses </w:t>
            </w:r>
          </w:p>
        </w:tc>
        <w:tc>
          <w:tcPr>
            <w:tcW w:w="0" w:type="auto"/>
            <w:gridSpan w:val="2"/>
            <w:shd w:val="clear" w:color="auto" w:fill="E2EFD9"/>
            <w:tcMar>
              <w:top w:w="40" w:type="dxa"/>
              <w:left w:w="20" w:type="dxa"/>
              <w:bottom w:w="40" w:type="dxa"/>
              <w:right w:w="0" w:type="dxa"/>
            </w:tcMar>
            <w:vAlign w:val="bottom"/>
          </w:tcPr>
          <w:p w14:paraId="54067475" w14:textId="77777777" w:rsidR="00611BDD" w:rsidRDefault="002E18C7">
            <w:pPr>
              <w:jc w:val="right"/>
              <w:textAlignment w:val="bottom"/>
            </w:pPr>
            <w:r>
              <w:rPr>
                <w:rFonts w:ascii="sans-serif" w:eastAsia="sans-serif" w:hAnsi="sans-serif" w:cs="sans-serif"/>
                <w:color w:val="000000"/>
                <w:sz w:val="20"/>
                <w:szCs w:val="20"/>
              </w:rPr>
              <w:t>(90)</w:t>
            </w:r>
          </w:p>
        </w:tc>
        <w:tc>
          <w:tcPr>
            <w:tcW w:w="0" w:type="auto"/>
            <w:shd w:val="clear" w:color="auto" w:fill="E2EFD9"/>
            <w:tcMar>
              <w:top w:w="40" w:type="dxa"/>
              <w:left w:w="0" w:type="dxa"/>
              <w:bottom w:w="40" w:type="dxa"/>
              <w:right w:w="20" w:type="dxa"/>
            </w:tcMar>
            <w:vAlign w:val="bottom"/>
          </w:tcPr>
          <w:p w14:paraId="5406747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477"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478" w14:textId="77777777" w:rsidR="00611BDD" w:rsidRDefault="002E18C7">
            <w:pPr>
              <w:jc w:val="right"/>
              <w:textAlignment w:val="bottom"/>
            </w:pPr>
            <w:r>
              <w:rPr>
                <w:rFonts w:ascii="sans-serif" w:eastAsia="sans-serif" w:hAnsi="sans-serif" w:cs="sans-serif"/>
                <w:color w:val="000000"/>
                <w:sz w:val="20"/>
                <w:szCs w:val="20"/>
              </w:rPr>
              <w:t>(86)</w:t>
            </w:r>
          </w:p>
        </w:tc>
        <w:tc>
          <w:tcPr>
            <w:tcW w:w="0" w:type="auto"/>
            <w:shd w:val="clear" w:color="auto" w:fill="E2EFD9"/>
            <w:tcMar>
              <w:top w:w="40" w:type="dxa"/>
              <w:left w:w="0" w:type="dxa"/>
              <w:bottom w:w="40" w:type="dxa"/>
              <w:right w:w="20" w:type="dxa"/>
            </w:tcMar>
            <w:vAlign w:val="bottom"/>
          </w:tcPr>
          <w:p w14:paraId="5406747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47A"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47B" w14:textId="77777777" w:rsidR="00611BDD" w:rsidRDefault="002E18C7">
            <w:pPr>
              <w:jc w:val="right"/>
              <w:textAlignment w:val="bottom"/>
            </w:pPr>
            <w:r>
              <w:rPr>
                <w:rFonts w:ascii="sans-serif" w:eastAsia="sans-serif" w:hAnsi="sans-serif" w:cs="sans-serif"/>
                <w:color w:val="000000"/>
                <w:sz w:val="20"/>
                <w:szCs w:val="20"/>
              </w:rPr>
              <w:t>(180)</w:t>
            </w:r>
          </w:p>
        </w:tc>
        <w:tc>
          <w:tcPr>
            <w:tcW w:w="0" w:type="auto"/>
            <w:shd w:val="clear" w:color="auto" w:fill="E2EFD9"/>
            <w:tcMar>
              <w:top w:w="40" w:type="dxa"/>
              <w:left w:w="0" w:type="dxa"/>
              <w:bottom w:w="40" w:type="dxa"/>
              <w:right w:w="20" w:type="dxa"/>
            </w:tcMar>
            <w:vAlign w:val="bottom"/>
          </w:tcPr>
          <w:p w14:paraId="5406747C"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47D"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47E" w14:textId="77777777" w:rsidR="00611BDD" w:rsidRDefault="002E18C7">
            <w:pPr>
              <w:jc w:val="right"/>
              <w:textAlignment w:val="bottom"/>
            </w:pPr>
            <w:r>
              <w:rPr>
                <w:rFonts w:ascii="sans-serif" w:eastAsia="sans-serif" w:hAnsi="sans-serif" w:cs="sans-serif"/>
                <w:color w:val="000000"/>
                <w:sz w:val="20"/>
                <w:szCs w:val="20"/>
              </w:rPr>
              <w:t>(168)</w:t>
            </w:r>
          </w:p>
        </w:tc>
        <w:tc>
          <w:tcPr>
            <w:tcW w:w="0" w:type="auto"/>
            <w:shd w:val="clear" w:color="auto" w:fill="E2EFD9"/>
            <w:tcMar>
              <w:top w:w="40" w:type="dxa"/>
              <w:left w:w="0" w:type="dxa"/>
              <w:bottom w:w="40" w:type="dxa"/>
              <w:right w:w="20" w:type="dxa"/>
            </w:tcMar>
            <w:vAlign w:val="bottom"/>
          </w:tcPr>
          <w:p w14:paraId="5406747F" w14:textId="77777777" w:rsidR="00611BDD" w:rsidRDefault="00611BDD">
            <w:pPr>
              <w:jc w:val="right"/>
              <w:rPr>
                <w:rFonts w:ascii="宋体"/>
              </w:rPr>
            </w:pPr>
          </w:p>
        </w:tc>
      </w:tr>
      <w:tr w:rsidR="00611BDD" w14:paraId="5406748D" w14:textId="77777777">
        <w:trPr>
          <w:jc w:val="center"/>
        </w:trPr>
        <w:tc>
          <w:tcPr>
            <w:tcW w:w="0" w:type="auto"/>
            <w:gridSpan w:val="3"/>
            <w:shd w:val="clear" w:color="auto" w:fill="FFFFFF"/>
            <w:tcMar>
              <w:top w:w="40" w:type="dxa"/>
              <w:left w:w="20" w:type="dxa"/>
              <w:bottom w:w="40" w:type="dxa"/>
              <w:right w:w="20" w:type="dxa"/>
            </w:tcMar>
            <w:vAlign w:val="bottom"/>
          </w:tcPr>
          <w:p w14:paraId="54067481" w14:textId="77777777" w:rsidR="00611BDD" w:rsidRDefault="002E18C7">
            <w:pPr>
              <w:textAlignment w:val="bottom"/>
            </w:pPr>
            <w:r>
              <w:rPr>
                <w:rFonts w:ascii="sans-serif" w:eastAsia="sans-serif" w:hAnsi="sans-serif" w:cs="sans-serif"/>
                <w:color w:val="000000"/>
                <w:sz w:val="20"/>
                <w:szCs w:val="20"/>
              </w:rPr>
              <w:t>IP-related costs</w:t>
            </w:r>
          </w:p>
        </w:tc>
        <w:tc>
          <w:tcPr>
            <w:tcW w:w="0" w:type="auto"/>
            <w:gridSpan w:val="2"/>
            <w:shd w:val="clear" w:color="auto" w:fill="FFFFFF"/>
            <w:tcMar>
              <w:top w:w="40" w:type="dxa"/>
              <w:left w:w="20" w:type="dxa"/>
              <w:bottom w:w="40" w:type="dxa"/>
              <w:right w:w="0" w:type="dxa"/>
            </w:tcMar>
            <w:vAlign w:val="bottom"/>
          </w:tcPr>
          <w:p w14:paraId="54067482" w14:textId="77777777" w:rsidR="00611BDD" w:rsidRDefault="002E18C7">
            <w:pPr>
              <w:jc w:val="right"/>
              <w:textAlignment w:val="bottom"/>
            </w:pPr>
            <w:r>
              <w:rPr>
                <w:rFonts w:ascii="sans-serif" w:eastAsia="sans-serif" w:hAnsi="sans-serif" w:cs="sans-serif"/>
                <w:color w:val="000000"/>
                <w:sz w:val="20"/>
                <w:szCs w:val="20"/>
              </w:rPr>
              <w:t>(4)</w:t>
            </w:r>
          </w:p>
        </w:tc>
        <w:tc>
          <w:tcPr>
            <w:tcW w:w="0" w:type="auto"/>
            <w:shd w:val="clear" w:color="auto" w:fill="FFFFFF"/>
            <w:tcMar>
              <w:top w:w="40" w:type="dxa"/>
              <w:left w:w="0" w:type="dxa"/>
              <w:bottom w:w="40" w:type="dxa"/>
              <w:right w:w="20" w:type="dxa"/>
            </w:tcMar>
            <w:vAlign w:val="bottom"/>
          </w:tcPr>
          <w:p w14:paraId="5406748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484"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485" w14:textId="77777777" w:rsidR="00611BDD" w:rsidRDefault="002E18C7">
            <w:pPr>
              <w:jc w:val="right"/>
              <w:textAlignment w:val="bottom"/>
            </w:pPr>
            <w:r>
              <w:rPr>
                <w:rFonts w:ascii="sans-serif" w:eastAsia="sans-serif" w:hAnsi="sans-serif" w:cs="sans-serif"/>
                <w:color w:val="000000"/>
                <w:sz w:val="20"/>
                <w:szCs w:val="20"/>
              </w:rPr>
              <w:t>(17)</w:t>
            </w:r>
          </w:p>
        </w:tc>
        <w:tc>
          <w:tcPr>
            <w:tcW w:w="0" w:type="auto"/>
            <w:shd w:val="clear" w:color="auto" w:fill="FFFFFF"/>
            <w:tcMar>
              <w:top w:w="40" w:type="dxa"/>
              <w:left w:w="0" w:type="dxa"/>
              <w:bottom w:w="40" w:type="dxa"/>
              <w:right w:w="20" w:type="dxa"/>
            </w:tcMar>
            <w:vAlign w:val="bottom"/>
          </w:tcPr>
          <w:p w14:paraId="5406748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487"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488" w14:textId="77777777" w:rsidR="00611BDD" w:rsidRDefault="002E18C7">
            <w:pPr>
              <w:jc w:val="right"/>
              <w:textAlignment w:val="bottom"/>
            </w:pPr>
            <w:r>
              <w:rPr>
                <w:rFonts w:ascii="sans-serif" w:eastAsia="sans-serif" w:hAnsi="sans-serif" w:cs="sans-serif"/>
                <w:color w:val="000000"/>
                <w:sz w:val="20"/>
                <w:szCs w:val="20"/>
              </w:rPr>
              <w:t>(9)</w:t>
            </w:r>
          </w:p>
        </w:tc>
        <w:tc>
          <w:tcPr>
            <w:tcW w:w="0" w:type="auto"/>
            <w:shd w:val="clear" w:color="auto" w:fill="FFFFFF"/>
            <w:tcMar>
              <w:top w:w="40" w:type="dxa"/>
              <w:left w:w="0" w:type="dxa"/>
              <w:bottom w:w="40" w:type="dxa"/>
              <w:right w:w="20" w:type="dxa"/>
            </w:tcMar>
            <w:vAlign w:val="bottom"/>
          </w:tcPr>
          <w:p w14:paraId="5406748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48A"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48B" w14:textId="77777777" w:rsidR="00611BDD" w:rsidRDefault="002E18C7">
            <w:pPr>
              <w:jc w:val="right"/>
              <w:textAlignment w:val="bottom"/>
            </w:pPr>
            <w:r>
              <w:rPr>
                <w:rFonts w:ascii="sans-serif" w:eastAsia="sans-serif" w:hAnsi="sans-serif" w:cs="sans-serif"/>
                <w:color w:val="000000"/>
                <w:sz w:val="20"/>
                <w:szCs w:val="20"/>
              </w:rPr>
              <w:t>(17)</w:t>
            </w:r>
          </w:p>
        </w:tc>
        <w:tc>
          <w:tcPr>
            <w:tcW w:w="0" w:type="auto"/>
            <w:shd w:val="clear" w:color="auto" w:fill="FFFFFF"/>
            <w:tcMar>
              <w:top w:w="40" w:type="dxa"/>
              <w:left w:w="0" w:type="dxa"/>
              <w:bottom w:w="40" w:type="dxa"/>
              <w:right w:w="20" w:type="dxa"/>
            </w:tcMar>
            <w:vAlign w:val="bottom"/>
          </w:tcPr>
          <w:p w14:paraId="5406748C" w14:textId="77777777" w:rsidR="00611BDD" w:rsidRDefault="00611BDD">
            <w:pPr>
              <w:jc w:val="right"/>
              <w:rPr>
                <w:rFonts w:ascii="宋体"/>
              </w:rPr>
            </w:pPr>
          </w:p>
        </w:tc>
      </w:tr>
      <w:tr w:rsidR="00611BDD" w14:paraId="54067496" w14:textId="77777777">
        <w:trPr>
          <w:jc w:val="center"/>
          <w:hidden/>
        </w:trPr>
        <w:tc>
          <w:tcPr>
            <w:tcW w:w="0" w:type="auto"/>
            <w:gridSpan w:val="3"/>
            <w:shd w:val="clear" w:color="auto" w:fill="auto"/>
            <w:vAlign w:val="bottom"/>
          </w:tcPr>
          <w:p w14:paraId="5406748E" w14:textId="77777777" w:rsidR="00611BDD" w:rsidRDefault="00611BDD">
            <w:pPr>
              <w:rPr>
                <w:rFonts w:ascii="宋体"/>
                <w:vanish/>
              </w:rPr>
            </w:pPr>
          </w:p>
        </w:tc>
        <w:tc>
          <w:tcPr>
            <w:tcW w:w="0" w:type="auto"/>
            <w:gridSpan w:val="3"/>
            <w:shd w:val="clear" w:color="auto" w:fill="auto"/>
            <w:vAlign w:val="bottom"/>
          </w:tcPr>
          <w:p w14:paraId="5406748F" w14:textId="77777777" w:rsidR="00611BDD" w:rsidRDefault="00611BDD">
            <w:pPr>
              <w:rPr>
                <w:rFonts w:ascii="宋体"/>
                <w:vanish/>
              </w:rPr>
            </w:pPr>
          </w:p>
        </w:tc>
        <w:tc>
          <w:tcPr>
            <w:tcW w:w="0" w:type="auto"/>
            <w:gridSpan w:val="3"/>
            <w:shd w:val="clear" w:color="auto" w:fill="auto"/>
            <w:vAlign w:val="bottom"/>
          </w:tcPr>
          <w:p w14:paraId="54067490" w14:textId="77777777" w:rsidR="00611BDD" w:rsidRDefault="00611BDD">
            <w:pPr>
              <w:rPr>
                <w:rFonts w:ascii="宋体"/>
                <w:vanish/>
              </w:rPr>
            </w:pPr>
          </w:p>
        </w:tc>
        <w:tc>
          <w:tcPr>
            <w:tcW w:w="0" w:type="auto"/>
            <w:gridSpan w:val="3"/>
            <w:shd w:val="clear" w:color="auto" w:fill="auto"/>
            <w:vAlign w:val="bottom"/>
          </w:tcPr>
          <w:p w14:paraId="54067491" w14:textId="77777777" w:rsidR="00611BDD" w:rsidRDefault="00611BDD">
            <w:pPr>
              <w:rPr>
                <w:rFonts w:ascii="宋体"/>
                <w:vanish/>
              </w:rPr>
            </w:pPr>
          </w:p>
        </w:tc>
        <w:tc>
          <w:tcPr>
            <w:tcW w:w="0" w:type="auto"/>
            <w:gridSpan w:val="3"/>
            <w:shd w:val="clear" w:color="auto" w:fill="auto"/>
            <w:vAlign w:val="bottom"/>
          </w:tcPr>
          <w:p w14:paraId="54067492" w14:textId="77777777" w:rsidR="00611BDD" w:rsidRDefault="00611BDD">
            <w:pPr>
              <w:rPr>
                <w:rFonts w:ascii="宋体"/>
                <w:vanish/>
              </w:rPr>
            </w:pPr>
          </w:p>
        </w:tc>
        <w:tc>
          <w:tcPr>
            <w:tcW w:w="0" w:type="auto"/>
            <w:gridSpan w:val="3"/>
            <w:shd w:val="clear" w:color="auto" w:fill="auto"/>
            <w:vAlign w:val="bottom"/>
          </w:tcPr>
          <w:p w14:paraId="54067493" w14:textId="77777777" w:rsidR="00611BDD" w:rsidRDefault="00611BDD">
            <w:pPr>
              <w:rPr>
                <w:rFonts w:ascii="宋体"/>
                <w:vanish/>
              </w:rPr>
            </w:pPr>
          </w:p>
        </w:tc>
        <w:tc>
          <w:tcPr>
            <w:tcW w:w="0" w:type="auto"/>
            <w:gridSpan w:val="3"/>
            <w:shd w:val="clear" w:color="auto" w:fill="auto"/>
            <w:vAlign w:val="bottom"/>
          </w:tcPr>
          <w:p w14:paraId="54067494" w14:textId="77777777" w:rsidR="00611BDD" w:rsidRDefault="00611BDD">
            <w:pPr>
              <w:rPr>
                <w:rFonts w:ascii="宋体"/>
                <w:vanish/>
              </w:rPr>
            </w:pPr>
          </w:p>
        </w:tc>
        <w:tc>
          <w:tcPr>
            <w:tcW w:w="0" w:type="auto"/>
            <w:gridSpan w:val="3"/>
            <w:shd w:val="clear" w:color="auto" w:fill="auto"/>
            <w:vAlign w:val="bottom"/>
          </w:tcPr>
          <w:p w14:paraId="54067495" w14:textId="77777777" w:rsidR="00611BDD" w:rsidRDefault="00611BDD">
            <w:pPr>
              <w:rPr>
                <w:rFonts w:ascii="宋体"/>
                <w:vanish/>
              </w:rPr>
            </w:pPr>
          </w:p>
        </w:tc>
      </w:tr>
      <w:tr w:rsidR="00611BDD" w14:paraId="5406749F" w14:textId="77777777">
        <w:trPr>
          <w:jc w:val="center"/>
          <w:hidden/>
        </w:trPr>
        <w:tc>
          <w:tcPr>
            <w:tcW w:w="0" w:type="auto"/>
            <w:gridSpan w:val="3"/>
            <w:shd w:val="clear" w:color="auto" w:fill="auto"/>
            <w:vAlign w:val="bottom"/>
          </w:tcPr>
          <w:p w14:paraId="54067497" w14:textId="77777777" w:rsidR="00611BDD" w:rsidRDefault="00611BDD">
            <w:pPr>
              <w:rPr>
                <w:rFonts w:ascii="宋体"/>
                <w:vanish/>
              </w:rPr>
            </w:pPr>
          </w:p>
        </w:tc>
        <w:tc>
          <w:tcPr>
            <w:tcW w:w="0" w:type="auto"/>
            <w:gridSpan w:val="3"/>
            <w:shd w:val="clear" w:color="auto" w:fill="auto"/>
            <w:vAlign w:val="bottom"/>
          </w:tcPr>
          <w:p w14:paraId="54067498" w14:textId="77777777" w:rsidR="00611BDD" w:rsidRDefault="00611BDD">
            <w:pPr>
              <w:rPr>
                <w:rFonts w:ascii="宋体"/>
                <w:vanish/>
              </w:rPr>
            </w:pPr>
          </w:p>
        </w:tc>
        <w:tc>
          <w:tcPr>
            <w:tcW w:w="0" w:type="auto"/>
            <w:gridSpan w:val="3"/>
            <w:shd w:val="clear" w:color="auto" w:fill="auto"/>
            <w:vAlign w:val="bottom"/>
          </w:tcPr>
          <w:p w14:paraId="54067499" w14:textId="77777777" w:rsidR="00611BDD" w:rsidRDefault="00611BDD">
            <w:pPr>
              <w:rPr>
                <w:rFonts w:ascii="宋体"/>
                <w:vanish/>
              </w:rPr>
            </w:pPr>
          </w:p>
        </w:tc>
        <w:tc>
          <w:tcPr>
            <w:tcW w:w="0" w:type="auto"/>
            <w:gridSpan w:val="3"/>
            <w:shd w:val="clear" w:color="auto" w:fill="auto"/>
            <w:vAlign w:val="bottom"/>
          </w:tcPr>
          <w:p w14:paraId="5406749A" w14:textId="77777777" w:rsidR="00611BDD" w:rsidRDefault="00611BDD">
            <w:pPr>
              <w:rPr>
                <w:rFonts w:ascii="宋体"/>
                <w:vanish/>
              </w:rPr>
            </w:pPr>
          </w:p>
        </w:tc>
        <w:tc>
          <w:tcPr>
            <w:tcW w:w="0" w:type="auto"/>
            <w:gridSpan w:val="3"/>
            <w:shd w:val="clear" w:color="auto" w:fill="auto"/>
            <w:vAlign w:val="bottom"/>
          </w:tcPr>
          <w:p w14:paraId="5406749B" w14:textId="77777777" w:rsidR="00611BDD" w:rsidRDefault="00611BDD">
            <w:pPr>
              <w:rPr>
                <w:rFonts w:ascii="宋体"/>
                <w:vanish/>
              </w:rPr>
            </w:pPr>
          </w:p>
        </w:tc>
        <w:tc>
          <w:tcPr>
            <w:tcW w:w="0" w:type="auto"/>
            <w:gridSpan w:val="3"/>
            <w:shd w:val="clear" w:color="auto" w:fill="auto"/>
            <w:vAlign w:val="bottom"/>
          </w:tcPr>
          <w:p w14:paraId="5406749C" w14:textId="77777777" w:rsidR="00611BDD" w:rsidRDefault="00611BDD">
            <w:pPr>
              <w:rPr>
                <w:rFonts w:ascii="宋体"/>
                <w:vanish/>
              </w:rPr>
            </w:pPr>
          </w:p>
        </w:tc>
        <w:tc>
          <w:tcPr>
            <w:tcW w:w="0" w:type="auto"/>
            <w:gridSpan w:val="3"/>
            <w:shd w:val="clear" w:color="auto" w:fill="auto"/>
            <w:vAlign w:val="bottom"/>
          </w:tcPr>
          <w:p w14:paraId="5406749D" w14:textId="77777777" w:rsidR="00611BDD" w:rsidRDefault="00611BDD">
            <w:pPr>
              <w:rPr>
                <w:rFonts w:ascii="宋体"/>
                <w:vanish/>
              </w:rPr>
            </w:pPr>
          </w:p>
        </w:tc>
        <w:tc>
          <w:tcPr>
            <w:tcW w:w="0" w:type="auto"/>
            <w:gridSpan w:val="3"/>
            <w:shd w:val="clear" w:color="auto" w:fill="auto"/>
            <w:vAlign w:val="bottom"/>
          </w:tcPr>
          <w:p w14:paraId="5406749E" w14:textId="77777777" w:rsidR="00611BDD" w:rsidRDefault="00611BDD">
            <w:pPr>
              <w:rPr>
                <w:rFonts w:ascii="宋体"/>
                <w:vanish/>
              </w:rPr>
            </w:pPr>
          </w:p>
        </w:tc>
      </w:tr>
      <w:tr w:rsidR="00611BDD" w14:paraId="540674B0" w14:textId="77777777">
        <w:trPr>
          <w:jc w:val="center"/>
        </w:trPr>
        <w:tc>
          <w:tcPr>
            <w:tcW w:w="0" w:type="auto"/>
            <w:gridSpan w:val="3"/>
            <w:shd w:val="clear" w:color="auto" w:fill="E2EFD9"/>
            <w:tcMar>
              <w:top w:w="40" w:type="dxa"/>
              <w:left w:w="20" w:type="dxa"/>
              <w:bottom w:w="40" w:type="dxa"/>
              <w:right w:w="20" w:type="dxa"/>
            </w:tcMar>
            <w:vAlign w:val="bottom"/>
          </w:tcPr>
          <w:p w14:paraId="540674A0" w14:textId="77777777" w:rsidR="00611BDD" w:rsidRDefault="002E18C7">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4A1"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4A2" w14:textId="77777777" w:rsidR="00611BDD" w:rsidRDefault="002E18C7">
            <w:pPr>
              <w:jc w:val="right"/>
              <w:textAlignment w:val="bottom"/>
            </w:pPr>
            <w:r>
              <w:rPr>
                <w:rFonts w:ascii="sans-serif" w:eastAsia="sans-serif" w:hAnsi="sans-serif" w:cs="sans-serif"/>
                <w:color w:val="000000"/>
                <w:sz w:val="20"/>
                <w:szCs w:val="20"/>
              </w:rPr>
              <w:t>(717)</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4A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4A4"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4A5"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4A6" w14:textId="77777777" w:rsidR="00611BDD" w:rsidRDefault="002E18C7">
            <w:pPr>
              <w:jc w:val="right"/>
              <w:textAlignment w:val="bottom"/>
            </w:pPr>
            <w:r>
              <w:rPr>
                <w:rFonts w:ascii="sans-serif" w:eastAsia="sans-serif" w:hAnsi="sans-serif" w:cs="sans-serif"/>
                <w:color w:val="000000"/>
                <w:sz w:val="20"/>
                <w:szCs w:val="20"/>
              </w:rPr>
              <w:t>(951)</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4A7"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4A8"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4A9"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4AA" w14:textId="77777777" w:rsidR="00611BDD" w:rsidRDefault="002E18C7">
            <w:pPr>
              <w:jc w:val="right"/>
              <w:textAlignment w:val="bottom"/>
            </w:pPr>
            <w:r>
              <w:rPr>
                <w:rFonts w:ascii="sans-serif" w:eastAsia="sans-serif" w:hAnsi="sans-serif" w:cs="sans-serif"/>
                <w:color w:val="000000"/>
                <w:sz w:val="20"/>
                <w:szCs w:val="20"/>
              </w:rPr>
              <w:t>(1,408)</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4A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4AC"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4AD"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4AE" w14:textId="77777777" w:rsidR="00611BDD" w:rsidRDefault="002E18C7">
            <w:pPr>
              <w:jc w:val="right"/>
              <w:textAlignment w:val="bottom"/>
            </w:pPr>
            <w:r>
              <w:rPr>
                <w:rFonts w:ascii="sans-serif" w:eastAsia="sans-serif" w:hAnsi="sans-serif" w:cs="sans-serif"/>
                <w:color w:val="000000"/>
                <w:sz w:val="20"/>
                <w:szCs w:val="20"/>
              </w:rPr>
              <w:t>(1,262)</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4AF" w14:textId="77777777" w:rsidR="00611BDD" w:rsidRDefault="00611BDD">
            <w:pPr>
              <w:jc w:val="right"/>
              <w:rPr>
                <w:rFonts w:ascii="宋体"/>
              </w:rPr>
            </w:pPr>
          </w:p>
        </w:tc>
      </w:tr>
    </w:tbl>
    <w:p w14:paraId="540674B1" w14:textId="77777777" w:rsidR="00611BDD" w:rsidRDefault="00611BDD">
      <w:pPr>
        <w:spacing w:before="360" w:after="360"/>
        <w:jc w:val="both"/>
      </w:pPr>
    </w:p>
    <w:p w14:paraId="540674B2" w14:textId="77777777" w:rsidR="00611BDD" w:rsidRDefault="00611BDD">
      <w:pPr>
        <w:spacing w:before="360" w:after="360"/>
        <w:jc w:val="both"/>
      </w:pPr>
    </w:p>
    <w:p w14:paraId="540674B3" w14:textId="77777777" w:rsidR="00611BDD" w:rsidRDefault="00611BDD">
      <w:pPr>
        <w:spacing w:before="360" w:after="360"/>
        <w:jc w:val="both"/>
      </w:pPr>
    </w:p>
    <w:p w14:paraId="540674B4" w14:textId="77777777" w:rsidR="00611BDD" w:rsidRDefault="00611BDD">
      <w:pPr>
        <w:spacing w:before="360" w:after="360"/>
        <w:jc w:val="both"/>
      </w:pPr>
    </w:p>
    <w:p w14:paraId="540674B5" w14:textId="77777777" w:rsidR="00611BDD" w:rsidRDefault="00611BDD">
      <w:pPr>
        <w:spacing w:before="360" w:after="360"/>
        <w:jc w:val="both"/>
      </w:pPr>
    </w:p>
    <w:p w14:paraId="540674B6" w14:textId="77777777" w:rsidR="00611BDD" w:rsidRDefault="002E18C7">
      <w:pPr>
        <w:spacing w:after="180"/>
        <w:jc w:val="center"/>
      </w:pPr>
      <w:r>
        <w:rPr>
          <w:rFonts w:ascii="sans-serif" w:eastAsia="sans-serif" w:hAnsi="sans-serif" w:cs="sans-serif"/>
          <w:color w:val="000000"/>
          <w:sz w:val="20"/>
          <w:szCs w:val="20"/>
        </w:rPr>
        <w:t>22</w:t>
      </w:r>
    </w:p>
    <w:p w14:paraId="540674B7" w14:textId="77777777" w:rsidR="00611BDD" w:rsidRDefault="002E18C7">
      <w:r>
        <w:pict w14:anchorId="54067C3A">
          <v:rect id="_x0000_i1046" style="width:415.3pt;height:1.5pt" o:hralign="center" o:hrstd="t" o:hr="t" fillcolor="#a0a0a0" stroked="f"/>
        </w:pict>
      </w:r>
    </w:p>
    <w:p w14:paraId="540674B8" w14:textId="77777777" w:rsidR="00611BDD" w:rsidRDefault="002E18C7">
      <w:pPr>
        <w:jc w:val="center"/>
      </w:pPr>
      <w:r>
        <w:rPr>
          <w:rFonts w:ascii="sans-serif" w:eastAsia="sans-serif" w:hAnsi="sans-serif" w:cs="sans-serif"/>
          <w:b/>
          <w:bCs/>
          <w:color w:val="000000"/>
          <w:sz w:val="20"/>
          <w:szCs w:val="20"/>
        </w:rPr>
        <w:t>NVIDIA CORPORATION AND SUBSIDIARIES</w:t>
      </w:r>
    </w:p>
    <w:p w14:paraId="540674B9" w14:textId="77777777" w:rsidR="00611BDD" w:rsidRDefault="002E18C7">
      <w:pPr>
        <w:jc w:val="center"/>
      </w:pPr>
      <w:r>
        <w:rPr>
          <w:rFonts w:ascii="sans-serif" w:eastAsia="sans-serif" w:hAnsi="sans-serif" w:cs="sans-serif"/>
          <w:b/>
          <w:bCs/>
          <w:color w:val="000000"/>
          <w:sz w:val="20"/>
          <w:szCs w:val="20"/>
        </w:rPr>
        <w:t xml:space="preserve">NOTES TO CONDENSED CONSOLIDATED FINANCIAL STATEMENTS </w:t>
      </w:r>
      <w:r>
        <w:rPr>
          <w:rFonts w:ascii="sans-serif" w:eastAsia="sans-serif" w:hAnsi="sans-serif" w:cs="sans-serif"/>
          <w:b/>
          <w:bCs/>
          <w:color w:val="000000"/>
          <w:sz w:val="20"/>
          <w:szCs w:val="20"/>
        </w:rPr>
        <w:t>(Continued)</w:t>
      </w:r>
    </w:p>
    <w:p w14:paraId="540674BA" w14:textId="77777777" w:rsidR="00611BDD" w:rsidRDefault="002E18C7">
      <w:pPr>
        <w:jc w:val="center"/>
      </w:pPr>
      <w:r>
        <w:rPr>
          <w:rFonts w:ascii="sans-serif" w:eastAsia="sans-serif" w:hAnsi="sans-serif" w:cs="sans-serif"/>
          <w:b/>
          <w:bCs/>
          <w:color w:val="000000"/>
          <w:sz w:val="20"/>
          <w:szCs w:val="20"/>
        </w:rPr>
        <w:t>(Unaudited)</w:t>
      </w:r>
    </w:p>
    <w:p w14:paraId="540674BB" w14:textId="77777777" w:rsidR="00611BDD" w:rsidRDefault="00611BDD">
      <w:pPr>
        <w:spacing w:after="180"/>
        <w:jc w:val="both"/>
      </w:pPr>
    </w:p>
    <w:p w14:paraId="540674BC" w14:textId="77777777" w:rsidR="00611BDD" w:rsidRDefault="00611BDD">
      <w:pPr>
        <w:spacing w:after="180"/>
        <w:jc w:val="both"/>
      </w:pPr>
    </w:p>
    <w:p w14:paraId="540674BD" w14:textId="77777777" w:rsidR="00611BDD" w:rsidRDefault="002E18C7">
      <w:pPr>
        <w:spacing w:before="360" w:after="360"/>
        <w:jc w:val="both"/>
      </w:pPr>
      <w:r>
        <w:rPr>
          <w:rFonts w:ascii="sans-serif" w:eastAsia="sans-serif" w:hAnsi="sans-serif" w:cs="sans-serif"/>
          <w:color w:val="000000"/>
          <w:sz w:val="20"/>
          <w:szCs w:val="20"/>
        </w:rPr>
        <w:t>Revenue by geographic region is allocated to individual countries based on the location to which the products are initially billed even if our customers’ revenue is attributable to end customers that are located in a different loc</w:t>
      </w:r>
      <w:r>
        <w:rPr>
          <w:rFonts w:ascii="sans-serif" w:eastAsia="sans-serif" w:hAnsi="sans-serif" w:cs="sans-serif"/>
          <w:color w:val="000000"/>
          <w:sz w:val="20"/>
          <w:szCs w:val="20"/>
        </w:rPr>
        <w:t xml:space="preserve">ation. The following table summarizes information pertaining to our revenue from customers based on the invoicing address by geographic regions: </w:t>
      </w:r>
    </w:p>
    <w:tbl>
      <w:tblPr>
        <w:tblW w:w="5000" w:type="pct"/>
        <w:tblCellMar>
          <w:top w:w="15" w:type="dxa"/>
          <w:left w:w="15" w:type="dxa"/>
          <w:bottom w:w="15" w:type="dxa"/>
          <w:right w:w="15" w:type="dxa"/>
        </w:tblCellMar>
        <w:tblLook w:val="04A0" w:firstRow="1" w:lastRow="0" w:firstColumn="1" w:lastColumn="0" w:noHBand="0" w:noVBand="1"/>
      </w:tblPr>
      <w:tblGrid>
        <w:gridCol w:w="38"/>
        <w:gridCol w:w="3569"/>
        <w:gridCol w:w="36"/>
        <w:gridCol w:w="122"/>
        <w:gridCol w:w="966"/>
        <w:gridCol w:w="36"/>
        <w:gridCol w:w="36"/>
        <w:gridCol w:w="36"/>
        <w:gridCol w:w="36"/>
        <w:gridCol w:w="122"/>
        <w:gridCol w:w="923"/>
        <w:gridCol w:w="36"/>
        <w:gridCol w:w="36"/>
        <w:gridCol w:w="36"/>
        <w:gridCol w:w="36"/>
        <w:gridCol w:w="122"/>
        <w:gridCol w:w="924"/>
        <w:gridCol w:w="36"/>
        <w:gridCol w:w="36"/>
        <w:gridCol w:w="36"/>
        <w:gridCol w:w="36"/>
        <w:gridCol w:w="122"/>
        <w:gridCol w:w="924"/>
        <w:gridCol w:w="36"/>
      </w:tblGrid>
      <w:tr w:rsidR="00611BDD" w14:paraId="540674D6" w14:textId="77777777">
        <w:tc>
          <w:tcPr>
            <w:tcW w:w="50" w:type="pct"/>
            <w:shd w:val="clear" w:color="auto" w:fill="auto"/>
            <w:vAlign w:val="bottom"/>
          </w:tcPr>
          <w:p w14:paraId="540674BE" w14:textId="77777777" w:rsidR="00611BDD" w:rsidRDefault="00611BDD">
            <w:pPr>
              <w:rPr>
                <w:rFonts w:ascii="宋体"/>
              </w:rPr>
            </w:pPr>
          </w:p>
        </w:tc>
        <w:tc>
          <w:tcPr>
            <w:tcW w:w="2174" w:type="pct"/>
            <w:shd w:val="clear" w:color="auto" w:fill="auto"/>
            <w:vAlign w:val="bottom"/>
          </w:tcPr>
          <w:p w14:paraId="540674BF" w14:textId="77777777" w:rsidR="00611BDD" w:rsidRDefault="00611BDD">
            <w:pPr>
              <w:rPr>
                <w:rFonts w:ascii="宋体"/>
              </w:rPr>
            </w:pPr>
          </w:p>
        </w:tc>
        <w:tc>
          <w:tcPr>
            <w:tcW w:w="5" w:type="pct"/>
            <w:shd w:val="clear" w:color="auto" w:fill="auto"/>
            <w:vAlign w:val="bottom"/>
          </w:tcPr>
          <w:p w14:paraId="540674C0" w14:textId="77777777" w:rsidR="00611BDD" w:rsidRDefault="00611BDD">
            <w:pPr>
              <w:rPr>
                <w:rFonts w:ascii="宋体"/>
              </w:rPr>
            </w:pPr>
          </w:p>
        </w:tc>
        <w:tc>
          <w:tcPr>
            <w:tcW w:w="50" w:type="pct"/>
            <w:shd w:val="clear" w:color="auto" w:fill="auto"/>
            <w:vAlign w:val="bottom"/>
          </w:tcPr>
          <w:p w14:paraId="540674C1" w14:textId="77777777" w:rsidR="00611BDD" w:rsidRDefault="00611BDD">
            <w:pPr>
              <w:rPr>
                <w:rFonts w:ascii="宋体"/>
              </w:rPr>
            </w:pPr>
          </w:p>
        </w:tc>
        <w:tc>
          <w:tcPr>
            <w:tcW w:w="610" w:type="pct"/>
            <w:shd w:val="clear" w:color="auto" w:fill="auto"/>
            <w:vAlign w:val="bottom"/>
          </w:tcPr>
          <w:p w14:paraId="540674C2" w14:textId="77777777" w:rsidR="00611BDD" w:rsidRDefault="00611BDD">
            <w:pPr>
              <w:rPr>
                <w:rFonts w:ascii="宋体"/>
              </w:rPr>
            </w:pPr>
          </w:p>
        </w:tc>
        <w:tc>
          <w:tcPr>
            <w:tcW w:w="5" w:type="pct"/>
            <w:shd w:val="clear" w:color="auto" w:fill="auto"/>
            <w:vAlign w:val="bottom"/>
          </w:tcPr>
          <w:p w14:paraId="540674C3" w14:textId="77777777" w:rsidR="00611BDD" w:rsidRDefault="00611BDD">
            <w:pPr>
              <w:rPr>
                <w:rFonts w:ascii="宋体"/>
              </w:rPr>
            </w:pPr>
          </w:p>
        </w:tc>
        <w:tc>
          <w:tcPr>
            <w:tcW w:w="5" w:type="pct"/>
            <w:shd w:val="clear" w:color="auto" w:fill="auto"/>
            <w:vAlign w:val="bottom"/>
          </w:tcPr>
          <w:p w14:paraId="540674C4" w14:textId="77777777" w:rsidR="00611BDD" w:rsidRDefault="00611BDD">
            <w:pPr>
              <w:rPr>
                <w:rFonts w:ascii="宋体"/>
              </w:rPr>
            </w:pPr>
          </w:p>
        </w:tc>
        <w:tc>
          <w:tcPr>
            <w:tcW w:w="26" w:type="pct"/>
            <w:shd w:val="clear" w:color="auto" w:fill="auto"/>
            <w:vAlign w:val="bottom"/>
          </w:tcPr>
          <w:p w14:paraId="540674C5" w14:textId="77777777" w:rsidR="00611BDD" w:rsidRDefault="00611BDD">
            <w:pPr>
              <w:rPr>
                <w:rFonts w:ascii="宋体"/>
              </w:rPr>
            </w:pPr>
          </w:p>
        </w:tc>
        <w:tc>
          <w:tcPr>
            <w:tcW w:w="5" w:type="pct"/>
            <w:shd w:val="clear" w:color="auto" w:fill="auto"/>
            <w:vAlign w:val="bottom"/>
          </w:tcPr>
          <w:p w14:paraId="540674C6" w14:textId="77777777" w:rsidR="00611BDD" w:rsidRDefault="00611BDD">
            <w:pPr>
              <w:rPr>
                <w:rFonts w:ascii="宋体"/>
              </w:rPr>
            </w:pPr>
          </w:p>
        </w:tc>
        <w:tc>
          <w:tcPr>
            <w:tcW w:w="50" w:type="pct"/>
            <w:shd w:val="clear" w:color="auto" w:fill="auto"/>
            <w:vAlign w:val="bottom"/>
          </w:tcPr>
          <w:p w14:paraId="540674C7" w14:textId="77777777" w:rsidR="00611BDD" w:rsidRDefault="00611BDD">
            <w:pPr>
              <w:rPr>
                <w:rFonts w:ascii="宋体"/>
              </w:rPr>
            </w:pPr>
          </w:p>
        </w:tc>
        <w:tc>
          <w:tcPr>
            <w:tcW w:w="610" w:type="pct"/>
            <w:shd w:val="clear" w:color="auto" w:fill="auto"/>
            <w:vAlign w:val="bottom"/>
          </w:tcPr>
          <w:p w14:paraId="540674C8" w14:textId="77777777" w:rsidR="00611BDD" w:rsidRDefault="00611BDD">
            <w:pPr>
              <w:rPr>
                <w:rFonts w:ascii="宋体"/>
              </w:rPr>
            </w:pPr>
          </w:p>
        </w:tc>
        <w:tc>
          <w:tcPr>
            <w:tcW w:w="5" w:type="pct"/>
            <w:shd w:val="clear" w:color="auto" w:fill="auto"/>
            <w:vAlign w:val="bottom"/>
          </w:tcPr>
          <w:p w14:paraId="540674C9" w14:textId="77777777" w:rsidR="00611BDD" w:rsidRDefault="00611BDD">
            <w:pPr>
              <w:rPr>
                <w:rFonts w:ascii="宋体"/>
              </w:rPr>
            </w:pPr>
          </w:p>
        </w:tc>
        <w:tc>
          <w:tcPr>
            <w:tcW w:w="5" w:type="pct"/>
            <w:shd w:val="clear" w:color="auto" w:fill="auto"/>
            <w:vAlign w:val="bottom"/>
          </w:tcPr>
          <w:p w14:paraId="540674CA" w14:textId="77777777" w:rsidR="00611BDD" w:rsidRDefault="00611BDD">
            <w:pPr>
              <w:rPr>
                <w:rFonts w:ascii="宋体"/>
              </w:rPr>
            </w:pPr>
          </w:p>
        </w:tc>
        <w:tc>
          <w:tcPr>
            <w:tcW w:w="26" w:type="pct"/>
            <w:shd w:val="clear" w:color="auto" w:fill="auto"/>
            <w:vAlign w:val="bottom"/>
          </w:tcPr>
          <w:p w14:paraId="540674CB" w14:textId="77777777" w:rsidR="00611BDD" w:rsidRDefault="00611BDD">
            <w:pPr>
              <w:rPr>
                <w:rFonts w:ascii="宋体"/>
              </w:rPr>
            </w:pPr>
          </w:p>
        </w:tc>
        <w:tc>
          <w:tcPr>
            <w:tcW w:w="5" w:type="pct"/>
            <w:shd w:val="clear" w:color="auto" w:fill="auto"/>
            <w:vAlign w:val="bottom"/>
          </w:tcPr>
          <w:p w14:paraId="540674CC" w14:textId="77777777" w:rsidR="00611BDD" w:rsidRDefault="00611BDD">
            <w:pPr>
              <w:rPr>
                <w:rFonts w:ascii="宋体"/>
              </w:rPr>
            </w:pPr>
          </w:p>
        </w:tc>
        <w:tc>
          <w:tcPr>
            <w:tcW w:w="50" w:type="pct"/>
            <w:shd w:val="clear" w:color="auto" w:fill="auto"/>
            <w:vAlign w:val="bottom"/>
          </w:tcPr>
          <w:p w14:paraId="540674CD" w14:textId="77777777" w:rsidR="00611BDD" w:rsidRDefault="00611BDD">
            <w:pPr>
              <w:rPr>
                <w:rFonts w:ascii="宋体"/>
              </w:rPr>
            </w:pPr>
          </w:p>
        </w:tc>
        <w:tc>
          <w:tcPr>
            <w:tcW w:w="610" w:type="pct"/>
            <w:shd w:val="clear" w:color="auto" w:fill="auto"/>
            <w:vAlign w:val="bottom"/>
          </w:tcPr>
          <w:p w14:paraId="540674CE" w14:textId="77777777" w:rsidR="00611BDD" w:rsidRDefault="00611BDD">
            <w:pPr>
              <w:rPr>
                <w:rFonts w:ascii="宋体"/>
              </w:rPr>
            </w:pPr>
          </w:p>
        </w:tc>
        <w:tc>
          <w:tcPr>
            <w:tcW w:w="5" w:type="pct"/>
            <w:shd w:val="clear" w:color="auto" w:fill="auto"/>
            <w:vAlign w:val="bottom"/>
          </w:tcPr>
          <w:p w14:paraId="540674CF" w14:textId="77777777" w:rsidR="00611BDD" w:rsidRDefault="00611BDD">
            <w:pPr>
              <w:rPr>
                <w:rFonts w:ascii="宋体"/>
              </w:rPr>
            </w:pPr>
          </w:p>
        </w:tc>
        <w:tc>
          <w:tcPr>
            <w:tcW w:w="5" w:type="pct"/>
            <w:shd w:val="clear" w:color="auto" w:fill="auto"/>
            <w:vAlign w:val="bottom"/>
          </w:tcPr>
          <w:p w14:paraId="540674D0" w14:textId="77777777" w:rsidR="00611BDD" w:rsidRDefault="00611BDD">
            <w:pPr>
              <w:rPr>
                <w:rFonts w:ascii="宋体"/>
              </w:rPr>
            </w:pPr>
          </w:p>
        </w:tc>
        <w:tc>
          <w:tcPr>
            <w:tcW w:w="26" w:type="pct"/>
            <w:shd w:val="clear" w:color="auto" w:fill="auto"/>
            <w:vAlign w:val="bottom"/>
          </w:tcPr>
          <w:p w14:paraId="540674D1" w14:textId="77777777" w:rsidR="00611BDD" w:rsidRDefault="00611BDD">
            <w:pPr>
              <w:rPr>
                <w:rFonts w:ascii="宋体"/>
              </w:rPr>
            </w:pPr>
          </w:p>
        </w:tc>
        <w:tc>
          <w:tcPr>
            <w:tcW w:w="5" w:type="pct"/>
            <w:shd w:val="clear" w:color="auto" w:fill="auto"/>
            <w:vAlign w:val="bottom"/>
          </w:tcPr>
          <w:p w14:paraId="540674D2" w14:textId="77777777" w:rsidR="00611BDD" w:rsidRDefault="00611BDD">
            <w:pPr>
              <w:rPr>
                <w:rFonts w:ascii="宋体"/>
              </w:rPr>
            </w:pPr>
          </w:p>
        </w:tc>
        <w:tc>
          <w:tcPr>
            <w:tcW w:w="50" w:type="pct"/>
            <w:shd w:val="clear" w:color="auto" w:fill="auto"/>
            <w:vAlign w:val="bottom"/>
          </w:tcPr>
          <w:p w14:paraId="540674D3" w14:textId="77777777" w:rsidR="00611BDD" w:rsidRDefault="00611BDD">
            <w:pPr>
              <w:rPr>
                <w:rFonts w:ascii="宋体"/>
              </w:rPr>
            </w:pPr>
          </w:p>
        </w:tc>
        <w:tc>
          <w:tcPr>
            <w:tcW w:w="610" w:type="pct"/>
            <w:shd w:val="clear" w:color="auto" w:fill="auto"/>
            <w:vAlign w:val="bottom"/>
          </w:tcPr>
          <w:p w14:paraId="540674D4" w14:textId="77777777" w:rsidR="00611BDD" w:rsidRDefault="00611BDD">
            <w:pPr>
              <w:rPr>
                <w:rFonts w:ascii="宋体"/>
              </w:rPr>
            </w:pPr>
          </w:p>
        </w:tc>
        <w:tc>
          <w:tcPr>
            <w:tcW w:w="5" w:type="pct"/>
            <w:shd w:val="clear" w:color="auto" w:fill="auto"/>
            <w:vAlign w:val="bottom"/>
          </w:tcPr>
          <w:p w14:paraId="540674D5" w14:textId="77777777" w:rsidR="00611BDD" w:rsidRDefault="00611BDD">
            <w:pPr>
              <w:rPr>
                <w:rFonts w:ascii="宋体"/>
              </w:rPr>
            </w:pPr>
          </w:p>
        </w:tc>
      </w:tr>
      <w:tr w:rsidR="00611BDD" w14:paraId="540674DB" w14:textId="77777777">
        <w:tc>
          <w:tcPr>
            <w:tcW w:w="0" w:type="auto"/>
            <w:gridSpan w:val="3"/>
            <w:shd w:val="clear" w:color="auto" w:fill="auto"/>
            <w:tcMar>
              <w:top w:w="40" w:type="dxa"/>
              <w:left w:w="20" w:type="dxa"/>
              <w:bottom w:w="40" w:type="dxa"/>
              <w:right w:w="20" w:type="dxa"/>
            </w:tcMar>
            <w:vAlign w:val="bottom"/>
          </w:tcPr>
          <w:p w14:paraId="540674D7" w14:textId="77777777" w:rsidR="00611BDD" w:rsidRDefault="002E18C7">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540674D8" w14:textId="77777777" w:rsidR="00611BDD" w:rsidRDefault="002E18C7">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540674D9" w14:textId="77777777" w:rsidR="00611BDD" w:rsidRDefault="00611BDD">
            <w:pPr>
              <w:rPr>
                <w:rFonts w:ascii="宋体"/>
              </w:rPr>
            </w:pPr>
          </w:p>
        </w:tc>
        <w:tc>
          <w:tcPr>
            <w:tcW w:w="0" w:type="auto"/>
            <w:gridSpan w:val="9"/>
            <w:shd w:val="clear" w:color="auto" w:fill="auto"/>
            <w:tcMar>
              <w:top w:w="40" w:type="dxa"/>
              <w:left w:w="20" w:type="dxa"/>
              <w:bottom w:w="40" w:type="dxa"/>
              <w:right w:w="20" w:type="dxa"/>
            </w:tcMar>
            <w:vAlign w:val="bottom"/>
          </w:tcPr>
          <w:p w14:paraId="540674DA" w14:textId="77777777" w:rsidR="00611BDD" w:rsidRDefault="002E18C7">
            <w:pPr>
              <w:jc w:val="center"/>
              <w:textAlignment w:val="bottom"/>
            </w:pPr>
            <w:r>
              <w:rPr>
                <w:rFonts w:ascii="sans-serif" w:eastAsia="sans-serif" w:hAnsi="sans-serif" w:cs="sans-serif"/>
                <w:b/>
                <w:bCs/>
                <w:color w:val="000000"/>
                <w:sz w:val="20"/>
                <w:szCs w:val="20"/>
              </w:rPr>
              <w:t>Six Months Ended</w:t>
            </w:r>
          </w:p>
        </w:tc>
      </w:tr>
      <w:tr w:rsidR="00611BDD" w14:paraId="540674E4" w14:textId="77777777">
        <w:tc>
          <w:tcPr>
            <w:tcW w:w="0" w:type="auto"/>
            <w:gridSpan w:val="3"/>
            <w:shd w:val="clear" w:color="auto" w:fill="auto"/>
            <w:tcMar>
              <w:top w:w="0" w:type="dxa"/>
              <w:left w:w="20" w:type="dxa"/>
              <w:bottom w:w="0" w:type="dxa"/>
              <w:right w:w="20" w:type="dxa"/>
            </w:tcMar>
            <w:vAlign w:val="bottom"/>
          </w:tcPr>
          <w:p w14:paraId="540674DC"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74DD" w14:textId="77777777" w:rsidR="00611BDD" w:rsidRDefault="002E18C7">
            <w:pPr>
              <w:jc w:val="center"/>
              <w:textAlignment w:val="bottom"/>
            </w:pPr>
            <w:r>
              <w:rPr>
                <w:rFonts w:ascii="sans-serif" w:eastAsia="sans-serif" w:hAnsi="sans-serif" w:cs="sans-serif"/>
                <w:b/>
                <w:bCs/>
                <w:color w:val="000000"/>
                <w:sz w:val="20"/>
                <w:szCs w:val="20"/>
              </w:rPr>
              <w:t>August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4DE"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74DF" w14:textId="77777777" w:rsidR="00611BDD" w:rsidRDefault="002E18C7">
            <w:pPr>
              <w:jc w:val="center"/>
              <w:textAlignment w:val="bottom"/>
            </w:pPr>
            <w:r>
              <w:rPr>
                <w:rFonts w:ascii="sans-serif" w:eastAsia="sans-serif" w:hAnsi="sans-serif" w:cs="sans-serif"/>
                <w:b/>
                <w:bCs/>
                <w:color w:val="000000"/>
                <w:sz w:val="20"/>
                <w:szCs w:val="20"/>
              </w:rPr>
              <w:t>July 26,</w:t>
            </w:r>
          </w:p>
        </w:tc>
        <w:tc>
          <w:tcPr>
            <w:tcW w:w="0" w:type="auto"/>
            <w:gridSpan w:val="3"/>
            <w:shd w:val="clear" w:color="auto" w:fill="auto"/>
            <w:tcMar>
              <w:top w:w="0" w:type="dxa"/>
              <w:left w:w="20" w:type="dxa"/>
              <w:bottom w:w="0" w:type="dxa"/>
              <w:right w:w="20" w:type="dxa"/>
            </w:tcMar>
            <w:vAlign w:val="bottom"/>
          </w:tcPr>
          <w:p w14:paraId="540674E0"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74E1" w14:textId="77777777" w:rsidR="00611BDD" w:rsidRDefault="002E18C7">
            <w:pPr>
              <w:jc w:val="center"/>
              <w:textAlignment w:val="bottom"/>
            </w:pPr>
            <w:r>
              <w:rPr>
                <w:rFonts w:ascii="sans-serif" w:eastAsia="sans-serif" w:hAnsi="sans-serif" w:cs="sans-serif"/>
                <w:b/>
                <w:bCs/>
                <w:color w:val="000000"/>
                <w:sz w:val="20"/>
                <w:szCs w:val="20"/>
              </w:rPr>
              <w:t>August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4E2"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74E3" w14:textId="77777777" w:rsidR="00611BDD" w:rsidRDefault="002E18C7">
            <w:pPr>
              <w:jc w:val="center"/>
              <w:textAlignment w:val="bottom"/>
            </w:pPr>
            <w:r>
              <w:rPr>
                <w:rFonts w:ascii="sans-serif" w:eastAsia="sans-serif" w:hAnsi="sans-serif" w:cs="sans-serif"/>
                <w:b/>
                <w:bCs/>
                <w:color w:val="000000"/>
                <w:sz w:val="20"/>
                <w:szCs w:val="20"/>
              </w:rPr>
              <w:t>July 26,</w:t>
            </w:r>
          </w:p>
        </w:tc>
      </w:tr>
      <w:tr w:rsidR="00611BDD" w14:paraId="540674ED" w14:textId="77777777">
        <w:tc>
          <w:tcPr>
            <w:tcW w:w="0" w:type="auto"/>
            <w:gridSpan w:val="3"/>
            <w:shd w:val="clear" w:color="auto" w:fill="auto"/>
            <w:tcMar>
              <w:top w:w="40" w:type="dxa"/>
              <w:left w:w="20" w:type="dxa"/>
              <w:bottom w:w="40" w:type="dxa"/>
              <w:right w:w="20" w:type="dxa"/>
            </w:tcMar>
            <w:vAlign w:val="bottom"/>
          </w:tcPr>
          <w:p w14:paraId="540674E5"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40674E6" w14:textId="77777777" w:rsidR="00611BDD" w:rsidRDefault="002E18C7">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40674E7"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4E8" w14:textId="77777777" w:rsidR="00611BDD" w:rsidRDefault="002E18C7">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vAlign w:val="bottom"/>
          </w:tcPr>
          <w:p w14:paraId="540674E9"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4EA" w14:textId="77777777" w:rsidR="00611BDD" w:rsidRDefault="002E18C7">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40674EB"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4EC" w14:textId="77777777" w:rsidR="00611BDD" w:rsidRDefault="002E18C7">
            <w:pPr>
              <w:jc w:val="center"/>
              <w:textAlignment w:val="bottom"/>
            </w:pPr>
            <w:r>
              <w:rPr>
                <w:rFonts w:ascii="sans-serif" w:eastAsia="sans-serif" w:hAnsi="sans-serif" w:cs="sans-serif"/>
                <w:b/>
                <w:bCs/>
                <w:color w:val="000000"/>
                <w:sz w:val="20"/>
                <w:szCs w:val="20"/>
              </w:rPr>
              <w:t>2020</w:t>
            </w:r>
          </w:p>
        </w:tc>
      </w:tr>
      <w:tr w:rsidR="00611BDD" w14:paraId="540674F6" w14:textId="77777777">
        <w:trPr>
          <w:trHeight w:val="60"/>
        </w:trPr>
        <w:tc>
          <w:tcPr>
            <w:tcW w:w="0" w:type="auto"/>
            <w:gridSpan w:val="3"/>
            <w:shd w:val="clear" w:color="auto" w:fill="auto"/>
            <w:tcMar>
              <w:top w:w="0" w:type="dxa"/>
              <w:left w:w="20" w:type="dxa"/>
              <w:bottom w:w="0" w:type="dxa"/>
              <w:right w:w="20" w:type="dxa"/>
            </w:tcMar>
            <w:vAlign w:val="bottom"/>
          </w:tcPr>
          <w:p w14:paraId="540674EE"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4EF"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4F0"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4F1"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4F2"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4F3"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4F4"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4F5" w14:textId="77777777" w:rsidR="00611BDD" w:rsidRDefault="00611BDD">
            <w:pPr>
              <w:rPr>
                <w:rFonts w:ascii="宋体"/>
              </w:rPr>
            </w:pPr>
          </w:p>
        </w:tc>
      </w:tr>
      <w:tr w:rsidR="00611BDD" w14:paraId="540674F9" w14:textId="77777777">
        <w:tc>
          <w:tcPr>
            <w:tcW w:w="0" w:type="auto"/>
            <w:gridSpan w:val="3"/>
            <w:shd w:val="clear" w:color="auto" w:fill="auto"/>
            <w:tcMar>
              <w:top w:w="40" w:type="dxa"/>
              <w:left w:w="20" w:type="dxa"/>
              <w:bottom w:w="40" w:type="dxa"/>
              <w:right w:w="20" w:type="dxa"/>
            </w:tcMar>
            <w:vAlign w:val="bottom"/>
          </w:tcPr>
          <w:p w14:paraId="540674F7" w14:textId="77777777" w:rsidR="00611BDD" w:rsidRDefault="002E18C7">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540674F8" w14:textId="77777777" w:rsidR="00611BDD" w:rsidRDefault="002E18C7">
            <w:pPr>
              <w:jc w:val="center"/>
              <w:textAlignment w:val="bottom"/>
            </w:pPr>
            <w:r>
              <w:rPr>
                <w:rFonts w:ascii="sans-serif" w:eastAsia="sans-serif" w:hAnsi="sans-serif" w:cs="sans-serif"/>
                <w:i/>
                <w:iCs/>
                <w:color w:val="000000"/>
                <w:sz w:val="20"/>
                <w:szCs w:val="20"/>
              </w:rPr>
              <w:t>(In millions)</w:t>
            </w:r>
          </w:p>
        </w:tc>
      </w:tr>
      <w:tr w:rsidR="00611BDD" w14:paraId="54067502" w14:textId="77777777">
        <w:tc>
          <w:tcPr>
            <w:tcW w:w="0" w:type="auto"/>
            <w:gridSpan w:val="3"/>
            <w:shd w:val="clear" w:color="auto" w:fill="auto"/>
            <w:tcMar>
              <w:top w:w="40" w:type="dxa"/>
              <w:left w:w="20" w:type="dxa"/>
              <w:bottom w:w="40" w:type="dxa"/>
              <w:right w:w="20" w:type="dxa"/>
            </w:tcMar>
            <w:vAlign w:val="bottom"/>
          </w:tcPr>
          <w:p w14:paraId="540674FA" w14:textId="77777777" w:rsidR="00611BDD" w:rsidRDefault="002E18C7">
            <w:pPr>
              <w:textAlignment w:val="bottom"/>
            </w:pPr>
            <w:r>
              <w:rPr>
                <w:rFonts w:ascii="sans-serif" w:eastAsia="sans-serif" w:hAnsi="sans-serif" w:cs="sans-serif"/>
                <w:b/>
                <w:bCs/>
                <w:color w:val="000000"/>
                <w:sz w:val="20"/>
                <w:szCs w:val="20"/>
              </w:rPr>
              <w:t>Revenue:</w:t>
            </w:r>
          </w:p>
        </w:tc>
        <w:tc>
          <w:tcPr>
            <w:tcW w:w="0" w:type="auto"/>
            <w:gridSpan w:val="3"/>
            <w:shd w:val="clear" w:color="auto" w:fill="auto"/>
            <w:tcMar>
              <w:top w:w="40" w:type="dxa"/>
              <w:left w:w="20" w:type="dxa"/>
              <w:bottom w:w="40" w:type="dxa"/>
              <w:right w:w="20" w:type="dxa"/>
            </w:tcMar>
            <w:vAlign w:val="bottom"/>
          </w:tcPr>
          <w:p w14:paraId="540674FB"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540674FC"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4FD"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540674FE"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4FF"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500"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501" w14:textId="77777777" w:rsidR="00611BDD" w:rsidRDefault="00611BDD">
            <w:pPr>
              <w:rPr>
                <w:rFonts w:ascii="宋体"/>
              </w:rPr>
            </w:pPr>
          </w:p>
        </w:tc>
      </w:tr>
      <w:tr w:rsidR="00611BDD" w14:paraId="54067513" w14:textId="77777777">
        <w:tc>
          <w:tcPr>
            <w:tcW w:w="0" w:type="auto"/>
            <w:gridSpan w:val="3"/>
            <w:shd w:val="clear" w:color="auto" w:fill="E2EFD9"/>
            <w:tcMar>
              <w:top w:w="40" w:type="dxa"/>
              <w:left w:w="260" w:type="dxa"/>
              <w:bottom w:w="40" w:type="dxa"/>
              <w:right w:w="20" w:type="dxa"/>
            </w:tcMar>
            <w:vAlign w:val="bottom"/>
          </w:tcPr>
          <w:p w14:paraId="54067503" w14:textId="77777777" w:rsidR="00611BDD" w:rsidRDefault="002E18C7">
            <w:pPr>
              <w:textAlignment w:val="bottom"/>
            </w:pPr>
            <w:r>
              <w:rPr>
                <w:rFonts w:ascii="sans-serif" w:eastAsia="sans-serif" w:hAnsi="sans-serif" w:cs="sans-serif"/>
                <w:color w:val="000000"/>
                <w:sz w:val="20"/>
                <w:szCs w:val="20"/>
              </w:rPr>
              <w:t>Taiwan</w:t>
            </w:r>
          </w:p>
        </w:tc>
        <w:tc>
          <w:tcPr>
            <w:tcW w:w="0" w:type="auto"/>
            <w:shd w:val="clear" w:color="auto" w:fill="E2EFD9"/>
            <w:tcMar>
              <w:top w:w="40" w:type="dxa"/>
              <w:left w:w="20" w:type="dxa"/>
              <w:bottom w:w="40" w:type="dxa"/>
              <w:right w:w="0" w:type="dxa"/>
            </w:tcMar>
            <w:vAlign w:val="bottom"/>
          </w:tcPr>
          <w:p w14:paraId="54067504"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505" w14:textId="77777777" w:rsidR="00611BDD" w:rsidRDefault="002E18C7">
            <w:pPr>
              <w:jc w:val="right"/>
              <w:textAlignment w:val="bottom"/>
            </w:pPr>
            <w:r>
              <w:rPr>
                <w:rFonts w:ascii="sans-serif" w:eastAsia="sans-serif" w:hAnsi="sans-serif" w:cs="sans-serif"/>
                <w:color w:val="000000"/>
                <w:sz w:val="20"/>
                <w:szCs w:val="20"/>
              </w:rPr>
              <w:t>1,961 </w:t>
            </w:r>
          </w:p>
        </w:tc>
        <w:tc>
          <w:tcPr>
            <w:tcW w:w="0" w:type="auto"/>
            <w:shd w:val="clear" w:color="auto" w:fill="E2EFD9"/>
            <w:tcMar>
              <w:top w:w="40" w:type="dxa"/>
              <w:left w:w="0" w:type="dxa"/>
              <w:bottom w:w="40" w:type="dxa"/>
              <w:right w:w="20" w:type="dxa"/>
            </w:tcMar>
            <w:vAlign w:val="bottom"/>
          </w:tcPr>
          <w:p w14:paraId="5406750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507"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508"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509" w14:textId="77777777" w:rsidR="00611BDD" w:rsidRDefault="002E18C7">
            <w:pPr>
              <w:jc w:val="right"/>
              <w:textAlignment w:val="bottom"/>
            </w:pPr>
            <w:r>
              <w:rPr>
                <w:rFonts w:ascii="sans-serif" w:eastAsia="sans-serif" w:hAnsi="sans-serif" w:cs="sans-serif"/>
                <w:color w:val="000000"/>
                <w:sz w:val="20"/>
                <w:szCs w:val="20"/>
              </w:rPr>
              <w:t>954 </w:t>
            </w:r>
          </w:p>
        </w:tc>
        <w:tc>
          <w:tcPr>
            <w:tcW w:w="0" w:type="auto"/>
            <w:shd w:val="clear" w:color="auto" w:fill="E2EFD9"/>
            <w:tcMar>
              <w:top w:w="40" w:type="dxa"/>
              <w:left w:w="0" w:type="dxa"/>
              <w:bottom w:w="40" w:type="dxa"/>
              <w:right w:w="20" w:type="dxa"/>
            </w:tcMar>
            <w:vAlign w:val="bottom"/>
          </w:tcPr>
          <w:p w14:paraId="5406750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50B"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50C"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50D" w14:textId="77777777" w:rsidR="00611BDD" w:rsidRDefault="002E18C7">
            <w:pPr>
              <w:jc w:val="right"/>
              <w:textAlignment w:val="bottom"/>
            </w:pPr>
            <w:r>
              <w:rPr>
                <w:rFonts w:ascii="sans-serif" w:eastAsia="sans-serif" w:hAnsi="sans-serif" w:cs="sans-serif"/>
                <w:color w:val="000000"/>
                <w:sz w:val="20"/>
                <w:szCs w:val="20"/>
              </w:rPr>
              <w:t>3,745 </w:t>
            </w:r>
          </w:p>
        </w:tc>
        <w:tc>
          <w:tcPr>
            <w:tcW w:w="0" w:type="auto"/>
            <w:shd w:val="clear" w:color="auto" w:fill="E2EFD9"/>
            <w:tcMar>
              <w:top w:w="40" w:type="dxa"/>
              <w:left w:w="0" w:type="dxa"/>
              <w:bottom w:w="40" w:type="dxa"/>
              <w:right w:w="20" w:type="dxa"/>
            </w:tcMar>
            <w:vAlign w:val="bottom"/>
          </w:tcPr>
          <w:p w14:paraId="5406750E"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50F"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510"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511" w14:textId="77777777" w:rsidR="00611BDD" w:rsidRDefault="002E18C7">
            <w:pPr>
              <w:jc w:val="right"/>
              <w:textAlignment w:val="bottom"/>
            </w:pPr>
            <w:r>
              <w:rPr>
                <w:rFonts w:ascii="sans-serif" w:eastAsia="sans-serif" w:hAnsi="sans-serif" w:cs="sans-serif"/>
                <w:color w:val="000000"/>
                <w:sz w:val="20"/>
                <w:szCs w:val="20"/>
              </w:rPr>
              <w:t>1,766 </w:t>
            </w:r>
          </w:p>
        </w:tc>
        <w:tc>
          <w:tcPr>
            <w:tcW w:w="0" w:type="auto"/>
            <w:shd w:val="clear" w:color="auto" w:fill="E2EFD9"/>
            <w:tcMar>
              <w:top w:w="40" w:type="dxa"/>
              <w:left w:w="0" w:type="dxa"/>
              <w:bottom w:w="40" w:type="dxa"/>
              <w:right w:w="20" w:type="dxa"/>
            </w:tcMar>
            <w:vAlign w:val="bottom"/>
          </w:tcPr>
          <w:p w14:paraId="54067512" w14:textId="77777777" w:rsidR="00611BDD" w:rsidRDefault="00611BDD">
            <w:pPr>
              <w:jc w:val="right"/>
              <w:rPr>
                <w:rFonts w:ascii="宋体"/>
              </w:rPr>
            </w:pPr>
          </w:p>
        </w:tc>
      </w:tr>
      <w:tr w:rsidR="00611BDD" w14:paraId="54067520" w14:textId="77777777">
        <w:tc>
          <w:tcPr>
            <w:tcW w:w="0" w:type="auto"/>
            <w:gridSpan w:val="3"/>
            <w:shd w:val="clear" w:color="auto" w:fill="FFFFFF"/>
            <w:tcMar>
              <w:top w:w="40" w:type="dxa"/>
              <w:left w:w="260" w:type="dxa"/>
              <w:bottom w:w="40" w:type="dxa"/>
              <w:right w:w="20" w:type="dxa"/>
            </w:tcMar>
            <w:vAlign w:val="bottom"/>
          </w:tcPr>
          <w:p w14:paraId="54067514" w14:textId="77777777" w:rsidR="00611BDD" w:rsidRDefault="002E18C7">
            <w:pPr>
              <w:textAlignment w:val="bottom"/>
            </w:pPr>
            <w:r>
              <w:rPr>
                <w:rFonts w:ascii="sans-serif" w:eastAsia="sans-serif" w:hAnsi="sans-serif" w:cs="sans-serif"/>
                <w:color w:val="000000"/>
                <w:sz w:val="20"/>
                <w:szCs w:val="20"/>
              </w:rPr>
              <w:t>China (including Hong Kong)</w:t>
            </w:r>
          </w:p>
        </w:tc>
        <w:tc>
          <w:tcPr>
            <w:tcW w:w="0" w:type="auto"/>
            <w:gridSpan w:val="2"/>
            <w:shd w:val="clear" w:color="auto" w:fill="FFFFFF"/>
            <w:tcMar>
              <w:top w:w="40" w:type="dxa"/>
              <w:left w:w="20" w:type="dxa"/>
              <w:bottom w:w="40" w:type="dxa"/>
              <w:right w:w="0" w:type="dxa"/>
            </w:tcMar>
            <w:vAlign w:val="bottom"/>
          </w:tcPr>
          <w:p w14:paraId="54067515" w14:textId="77777777" w:rsidR="00611BDD" w:rsidRDefault="002E18C7">
            <w:pPr>
              <w:jc w:val="right"/>
              <w:textAlignment w:val="bottom"/>
            </w:pPr>
            <w:r>
              <w:rPr>
                <w:rFonts w:ascii="sans-serif" w:eastAsia="sans-serif" w:hAnsi="sans-serif" w:cs="sans-serif"/>
                <w:color w:val="000000"/>
                <w:sz w:val="20"/>
                <w:szCs w:val="20"/>
              </w:rPr>
              <w:t>1,720 </w:t>
            </w:r>
          </w:p>
        </w:tc>
        <w:tc>
          <w:tcPr>
            <w:tcW w:w="0" w:type="auto"/>
            <w:shd w:val="clear" w:color="auto" w:fill="FFFFFF"/>
            <w:tcMar>
              <w:top w:w="40" w:type="dxa"/>
              <w:left w:w="0" w:type="dxa"/>
              <w:bottom w:w="40" w:type="dxa"/>
              <w:right w:w="20" w:type="dxa"/>
            </w:tcMar>
            <w:vAlign w:val="bottom"/>
          </w:tcPr>
          <w:p w14:paraId="5406751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517"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518" w14:textId="77777777" w:rsidR="00611BDD" w:rsidRDefault="002E18C7">
            <w:pPr>
              <w:jc w:val="right"/>
              <w:textAlignment w:val="bottom"/>
            </w:pPr>
            <w:r>
              <w:rPr>
                <w:rFonts w:ascii="sans-serif" w:eastAsia="sans-serif" w:hAnsi="sans-serif" w:cs="sans-serif"/>
                <w:color w:val="000000"/>
                <w:sz w:val="20"/>
                <w:szCs w:val="20"/>
              </w:rPr>
              <w:t>855 </w:t>
            </w:r>
          </w:p>
        </w:tc>
        <w:tc>
          <w:tcPr>
            <w:tcW w:w="0" w:type="auto"/>
            <w:shd w:val="clear" w:color="auto" w:fill="FFFFFF"/>
            <w:tcMar>
              <w:top w:w="40" w:type="dxa"/>
              <w:left w:w="0" w:type="dxa"/>
              <w:bottom w:w="40" w:type="dxa"/>
              <w:right w:w="20" w:type="dxa"/>
            </w:tcMar>
            <w:vAlign w:val="bottom"/>
          </w:tcPr>
          <w:p w14:paraId="5406751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51A"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51B" w14:textId="77777777" w:rsidR="00611BDD" w:rsidRDefault="002E18C7">
            <w:pPr>
              <w:jc w:val="right"/>
              <w:textAlignment w:val="bottom"/>
            </w:pPr>
            <w:r>
              <w:rPr>
                <w:rFonts w:ascii="sans-serif" w:eastAsia="sans-serif" w:hAnsi="sans-serif" w:cs="sans-serif"/>
                <w:color w:val="000000"/>
                <w:sz w:val="20"/>
                <w:szCs w:val="20"/>
              </w:rPr>
              <w:t>3,111 </w:t>
            </w:r>
          </w:p>
        </w:tc>
        <w:tc>
          <w:tcPr>
            <w:tcW w:w="0" w:type="auto"/>
            <w:shd w:val="clear" w:color="auto" w:fill="FFFFFF"/>
            <w:tcMar>
              <w:top w:w="40" w:type="dxa"/>
              <w:left w:w="0" w:type="dxa"/>
              <w:bottom w:w="40" w:type="dxa"/>
              <w:right w:w="20" w:type="dxa"/>
            </w:tcMar>
            <w:vAlign w:val="bottom"/>
          </w:tcPr>
          <w:p w14:paraId="5406751C"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51D"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51E" w14:textId="77777777" w:rsidR="00611BDD" w:rsidRDefault="002E18C7">
            <w:pPr>
              <w:jc w:val="right"/>
              <w:textAlignment w:val="bottom"/>
            </w:pPr>
            <w:r>
              <w:rPr>
                <w:rFonts w:ascii="sans-serif" w:eastAsia="sans-serif" w:hAnsi="sans-serif" w:cs="sans-serif"/>
                <w:color w:val="000000"/>
                <w:sz w:val="20"/>
                <w:szCs w:val="20"/>
              </w:rPr>
              <w:t>1,614 </w:t>
            </w:r>
          </w:p>
        </w:tc>
        <w:tc>
          <w:tcPr>
            <w:tcW w:w="0" w:type="auto"/>
            <w:shd w:val="clear" w:color="auto" w:fill="FFFFFF"/>
            <w:tcMar>
              <w:top w:w="40" w:type="dxa"/>
              <w:left w:w="0" w:type="dxa"/>
              <w:bottom w:w="40" w:type="dxa"/>
              <w:right w:w="20" w:type="dxa"/>
            </w:tcMar>
            <w:vAlign w:val="bottom"/>
          </w:tcPr>
          <w:p w14:paraId="5406751F" w14:textId="77777777" w:rsidR="00611BDD" w:rsidRDefault="00611BDD">
            <w:pPr>
              <w:jc w:val="right"/>
              <w:rPr>
                <w:rFonts w:ascii="宋体"/>
              </w:rPr>
            </w:pPr>
          </w:p>
        </w:tc>
      </w:tr>
      <w:tr w:rsidR="00611BDD" w14:paraId="5406752D" w14:textId="77777777">
        <w:tc>
          <w:tcPr>
            <w:tcW w:w="0" w:type="auto"/>
            <w:gridSpan w:val="3"/>
            <w:shd w:val="clear" w:color="auto" w:fill="E2EFD9"/>
            <w:tcMar>
              <w:top w:w="40" w:type="dxa"/>
              <w:left w:w="260" w:type="dxa"/>
              <w:bottom w:w="40" w:type="dxa"/>
              <w:right w:w="20" w:type="dxa"/>
            </w:tcMar>
            <w:vAlign w:val="bottom"/>
          </w:tcPr>
          <w:p w14:paraId="54067521" w14:textId="77777777" w:rsidR="00611BDD" w:rsidRDefault="002E18C7">
            <w:pPr>
              <w:textAlignment w:val="bottom"/>
            </w:pPr>
            <w:r>
              <w:rPr>
                <w:rFonts w:ascii="sans-serif" w:eastAsia="sans-serif" w:hAnsi="sans-serif" w:cs="sans-serif"/>
                <w:color w:val="000000"/>
                <w:sz w:val="20"/>
                <w:szCs w:val="20"/>
              </w:rPr>
              <w:t>Other Asia Pacific</w:t>
            </w:r>
          </w:p>
        </w:tc>
        <w:tc>
          <w:tcPr>
            <w:tcW w:w="0" w:type="auto"/>
            <w:gridSpan w:val="2"/>
            <w:shd w:val="clear" w:color="auto" w:fill="E2EFD9"/>
            <w:tcMar>
              <w:top w:w="40" w:type="dxa"/>
              <w:left w:w="20" w:type="dxa"/>
              <w:bottom w:w="40" w:type="dxa"/>
              <w:right w:w="0" w:type="dxa"/>
            </w:tcMar>
            <w:vAlign w:val="bottom"/>
          </w:tcPr>
          <w:p w14:paraId="54067522" w14:textId="77777777" w:rsidR="00611BDD" w:rsidRDefault="002E18C7">
            <w:pPr>
              <w:jc w:val="right"/>
              <w:textAlignment w:val="bottom"/>
            </w:pPr>
            <w:r>
              <w:rPr>
                <w:rFonts w:ascii="sans-serif" w:eastAsia="sans-serif" w:hAnsi="sans-serif" w:cs="sans-serif"/>
                <w:color w:val="000000"/>
                <w:sz w:val="20"/>
                <w:szCs w:val="20"/>
              </w:rPr>
              <w:t>1,047 </w:t>
            </w:r>
          </w:p>
        </w:tc>
        <w:tc>
          <w:tcPr>
            <w:tcW w:w="0" w:type="auto"/>
            <w:shd w:val="clear" w:color="auto" w:fill="E2EFD9"/>
            <w:tcMar>
              <w:top w:w="40" w:type="dxa"/>
              <w:left w:w="0" w:type="dxa"/>
              <w:bottom w:w="40" w:type="dxa"/>
              <w:right w:w="20" w:type="dxa"/>
            </w:tcMar>
            <w:vAlign w:val="bottom"/>
          </w:tcPr>
          <w:p w14:paraId="5406752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524"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525" w14:textId="77777777" w:rsidR="00611BDD" w:rsidRDefault="002E18C7">
            <w:pPr>
              <w:jc w:val="right"/>
              <w:textAlignment w:val="bottom"/>
            </w:pPr>
            <w:r>
              <w:rPr>
                <w:rFonts w:ascii="sans-serif" w:eastAsia="sans-serif" w:hAnsi="sans-serif" w:cs="sans-serif"/>
                <w:color w:val="000000"/>
                <w:sz w:val="20"/>
                <w:szCs w:val="20"/>
              </w:rPr>
              <w:t>698 </w:t>
            </w:r>
          </w:p>
        </w:tc>
        <w:tc>
          <w:tcPr>
            <w:tcW w:w="0" w:type="auto"/>
            <w:shd w:val="clear" w:color="auto" w:fill="E2EFD9"/>
            <w:tcMar>
              <w:top w:w="40" w:type="dxa"/>
              <w:left w:w="0" w:type="dxa"/>
              <w:bottom w:w="40" w:type="dxa"/>
              <w:right w:w="20" w:type="dxa"/>
            </w:tcMar>
            <w:vAlign w:val="bottom"/>
          </w:tcPr>
          <w:p w14:paraId="5406752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527"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528" w14:textId="77777777" w:rsidR="00611BDD" w:rsidRDefault="002E18C7">
            <w:pPr>
              <w:jc w:val="right"/>
              <w:textAlignment w:val="bottom"/>
            </w:pPr>
            <w:r>
              <w:rPr>
                <w:rFonts w:ascii="sans-serif" w:eastAsia="sans-serif" w:hAnsi="sans-serif" w:cs="sans-serif"/>
                <w:color w:val="000000"/>
                <w:sz w:val="20"/>
                <w:szCs w:val="20"/>
              </w:rPr>
              <w:t>2,048 </w:t>
            </w:r>
          </w:p>
        </w:tc>
        <w:tc>
          <w:tcPr>
            <w:tcW w:w="0" w:type="auto"/>
            <w:shd w:val="clear" w:color="auto" w:fill="E2EFD9"/>
            <w:tcMar>
              <w:top w:w="40" w:type="dxa"/>
              <w:left w:w="0" w:type="dxa"/>
              <w:bottom w:w="40" w:type="dxa"/>
              <w:right w:w="20" w:type="dxa"/>
            </w:tcMar>
            <w:vAlign w:val="bottom"/>
          </w:tcPr>
          <w:p w14:paraId="5406752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52A"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52B" w14:textId="77777777" w:rsidR="00611BDD" w:rsidRDefault="002E18C7">
            <w:pPr>
              <w:jc w:val="right"/>
              <w:textAlignment w:val="bottom"/>
            </w:pPr>
            <w:r>
              <w:rPr>
                <w:rFonts w:ascii="sans-serif" w:eastAsia="sans-serif" w:hAnsi="sans-serif" w:cs="sans-serif"/>
                <w:color w:val="000000"/>
                <w:sz w:val="20"/>
                <w:szCs w:val="20"/>
              </w:rPr>
              <w:t>1,305 </w:t>
            </w:r>
          </w:p>
        </w:tc>
        <w:tc>
          <w:tcPr>
            <w:tcW w:w="0" w:type="auto"/>
            <w:shd w:val="clear" w:color="auto" w:fill="E2EFD9"/>
            <w:tcMar>
              <w:top w:w="40" w:type="dxa"/>
              <w:left w:w="0" w:type="dxa"/>
              <w:bottom w:w="40" w:type="dxa"/>
              <w:right w:w="20" w:type="dxa"/>
            </w:tcMar>
            <w:vAlign w:val="bottom"/>
          </w:tcPr>
          <w:p w14:paraId="5406752C" w14:textId="77777777" w:rsidR="00611BDD" w:rsidRDefault="00611BDD">
            <w:pPr>
              <w:jc w:val="right"/>
              <w:rPr>
                <w:rFonts w:ascii="宋体"/>
              </w:rPr>
            </w:pPr>
          </w:p>
        </w:tc>
      </w:tr>
      <w:tr w:rsidR="00611BDD" w14:paraId="5406753A" w14:textId="77777777">
        <w:tc>
          <w:tcPr>
            <w:tcW w:w="0" w:type="auto"/>
            <w:gridSpan w:val="3"/>
            <w:shd w:val="clear" w:color="auto" w:fill="FFFFFF"/>
            <w:tcMar>
              <w:top w:w="40" w:type="dxa"/>
              <w:left w:w="260" w:type="dxa"/>
              <w:bottom w:w="40" w:type="dxa"/>
              <w:right w:w="20" w:type="dxa"/>
            </w:tcMar>
            <w:vAlign w:val="bottom"/>
          </w:tcPr>
          <w:p w14:paraId="5406752E" w14:textId="77777777" w:rsidR="00611BDD" w:rsidRDefault="002E18C7">
            <w:pPr>
              <w:textAlignment w:val="bottom"/>
            </w:pPr>
            <w:r>
              <w:rPr>
                <w:rFonts w:ascii="sans-serif" w:eastAsia="sans-serif" w:hAnsi="sans-serif" w:cs="sans-serif"/>
                <w:color w:val="000000"/>
                <w:sz w:val="20"/>
                <w:szCs w:val="20"/>
              </w:rPr>
              <w:t>United States</w:t>
            </w:r>
          </w:p>
        </w:tc>
        <w:tc>
          <w:tcPr>
            <w:tcW w:w="0" w:type="auto"/>
            <w:gridSpan w:val="2"/>
            <w:shd w:val="clear" w:color="auto" w:fill="FFFFFF"/>
            <w:tcMar>
              <w:top w:w="40" w:type="dxa"/>
              <w:left w:w="20" w:type="dxa"/>
              <w:bottom w:w="40" w:type="dxa"/>
              <w:right w:w="0" w:type="dxa"/>
            </w:tcMar>
            <w:vAlign w:val="bottom"/>
          </w:tcPr>
          <w:p w14:paraId="5406752F" w14:textId="77777777" w:rsidR="00611BDD" w:rsidRDefault="002E18C7">
            <w:pPr>
              <w:jc w:val="right"/>
              <w:textAlignment w:val="bottom"/>
            </w:pPr>
            <w:r>
              <w:rPr>
                <w:rFonts w:ascii="sans-serif" w:eastAsia="sans-serif" w:hAnsi="sans-serif" w:cs="sans-serif"/>
                <w:color w:val="000000"/>
                <w:sz w:val="20"/>
                <w:szCs w:val="20"/>
              </w:rPr>
              <w:t>996 </w:t>
            </w:r>
          </w:p>
        </w:tc>
        <w:tc>
          <w:tcPr>
            <w:tcW w:w="0" w:type="auto"/>
            <w:shd w:val="clear" w:color="auto" w:fill="FFFFFF"/>
            <w:tcMar>
              <w:top w:w="40" w:type="dxa"/>
              <w:left w:w="0" w:type="dxa"/>
              <w:bottom w:w="40" w:type="dxa"/>
              <w:right w:w="20" w:type="dxa"/>
            </w:tcMar>
            <w:vAlign w:val="bottom"/>
          </w:tcPr>
          <w:p w14:paraId="54067530"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531"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532" w14:textId="77777777" w:rsidR="00611BDD" w:rsidRDefault="002E18C7">
            <w:pPr>
              <w:jc w:val="right"/>
              <w:textAlignment w:val="bottom"/>
            </w:pPr>
            <w:r>
              <w:rPr>
                <w:rFonts w:ascii="sans-serif" w:eastAsia="sans-serif" w:hAnsi="sans-serif" w:cs="sans-serif"/>
                <w:color w:val="000000"/>
                <w:sz w:val="20"/>
                <w:szCs w:val="20"/>
              </w:rPr>
              <w:t>944 </w:t>
            </w:r>
          </w:p>
        </w:tc>
        <w:tc>
          <w:tcPr>
            <w:tcW w:w="0" w:type="auto"/>
            <w:shd w:val="clear" w:color="auto" w:fill="FFFFFF"/>
            <w:tcMar>
              <w:top w:w="40" w:type="dxa"/>
              <w:left w:w="0" w:type="dxa"/>
              <w:bottom w:w="40" w:type="dxa"/>
              <w:right w:w="20" w:type="dxa"/>
            </w:tcMar>
            <w:vAlign w:val="bottom"/>
          </w:tcPr>
          <w:p w14:paraId="5406753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534"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535" w14:textId="77777777" w:rsidR="00611BDD" w:rsidRDefault="002E18C7">
            <w:pPr>
              <w:jc w:val="right"/>
              <w:textAlignment w:val="bottom"/>
            </w:pPr>
            <w:r>
              <w:rPr>
                <w:rFonts w:ascii="sans-serif" w:eastAsia="sans-serif" w:hAnsi="sans-serif" w:cs="sans-serif"/>
                <w:color w:val="000000"/>
                <w:sz w:val="20"/>
                <w:szCs w:val="20"/>
              </w:rPr>
              <w:t>1,764 </w:t>
            </w:r>
          </w:p>
        </w:tc>
        <w:tc>
          <w:tcPr>
            <w:tcW w:w="0" w:type="auto"/>
            <w:shd w:val="clear" w:color="auto" w:fill="FFFFFF"/>
            <w:tcMar>
              <w:top w:w="40" w:type="dxa"/>
              <w:left w:w="0" w:type="dxa"/>
              <w:bottom w:w="40" w:type="dxa"/>
              <w:right w:w="20" w:type="dxa"/>
            </w:tcMar>
            <w:vAlign w:val="bottom"/>
          </w:tcPr>
          <w:p w14:paraId="5406753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537"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538" w14:textId="77777777" w:rsidR="00611BDD" w:rsidRDefault="002E18C7">
            <w:pPr>
              <w:jc w:val="right"/>
              <w:textAlignment w:val="bottom"/>
            </w:pPr>
            <w:r>
              <w:rPr>
                <w:rFonts w:ascii="sans-serif" w:eastAsia="sans-serif" w:hAnsi="sans-serif" w:cs="sans-serif"/>
                <w:color w:val="000000"/>
                <w:sz w:val="20"/>
                <w:szCs w:val="20"/>
              </w:rPr>
              <w:t>1,441 </w:t>
            </w:r>
          </w:p>
        </w:tc>
        <w:tc>
          <w:tcPr>
            <w:tcW w:w="0" w:type="auto"/>
            <w:shd w:val="clear" w:color="auto" w:fill="FFFFFF"/>
            <w:tcMar>
              <w:top w:w="40" w:type="dxa"/>
              <w:left w:w="0" w:type="dxa"/>
              <w:bottom w:w="40" w:type="dxa"/>
              <w:right w:w="20" w:type="dxa"/>
            </w:tcMar>
            <w:vAlign w:val="bottom"/>
          </w:tcPr>
          <w:p w14:paraId="54067539" w14:textId="77777777" w:rsidR="00611BDD" w:rsidRDefault="00611BDD">
            <w:pPr>
              <w:jc w:val="right"/>
              <w:rPr>
                <w:rFonts w:ascii="宋体"/>
              </w:rPr>
            </w:pPr>
          </w:p>
        </w:tc>
      </w:tr>
      <w:tr w:rsidR="00611BDD" w14:paraId="54067547" w14:textId="77777777">
        <w:tc>
          <w:tcPr>
            <w:tcW w:w="0" w:type="auto"/>
            <w:gridSpan w:val="3"/>
            <w:shd w:val="clear" w:color="auto" w:fill="E2EFD9"/>
            <w:tcMar>
              <w:top w:w="40" w:type="dxa"/>
              <w:left w:w="260" w:type="dxa"/>
              <w:bottom w:w="40" w:type="dxa"/>
              <w:right w:w="20" w:type="dxa"/>
            </w:tcMar>
            <w:vAlign w:val="bottom"/>
          </w:tcPr>
          <w:p w14:paraId="5406753B" w14:textId="77777777" w:rsidR="00611BDD" w:rsidRDefault="002E18C7">
            <w:pPr>
              <w:textAlignment w:val="bottom"/>
            </w:pPr>
            <w:r>
              <w:rPr>
                <w:rFonts w:ascii="sans-serif" w:eastAsia="sans-serif" w:hAnsi="sans-serif" w:cs="sans-serif"/>
                <w:color w:val="000000"/>
                <w:sz w:val="20"/>
                <w:szCs w:val="20"/>
              </w:rPr>
              <w:t>Europe</w:t>
            </w:r>
          </w:p>
        </w:tc>
        <w:tc>
          <w:tcPr>
            <w:tcW w:w="0" w:type="auto"/>
            <w:gridSpan w:val="2"/>
            <w:shd w:val="clear" w:color="auto" w:fill="E2EFD9"/>
            <w:tcMar>
              <w:top w:w="40" w:type="dxa"/>
              <w:left w:w="20" w:type="dxa"/>
              <w:bottom w:w="40" w:type="dxa"/>
              <w:right w:w="0" w:type="dxa"/>
            </w:tcMar>
            <w:vAlign w:val="bottom"/>
          </w:tcPr>
          <w:p w14:paraId="5406753C" w14:textId="77777777" w:rsidR="00611BDD" w:rsidRDefault="002E18C7">
            <w:pPr>
              <w:jc w:val="right"/>
              <w:textAlignment w:val="bottom"/>
            </w:pPr>
            <w:r>
              <w:rPr>
                <w:rFonts w:ascii="sans-serif" w:eastAsia="sans-serif" w:hAnsi="sans-serif" w:cs="sans-serif"/>
                <w:color w:val="000000"/>
                <w:sz w:val="20"/>
                <w:szCs w:val="20"/>
              </w:rPr>
              <w:t>429 </w:t>
            </w:r>
          </w:p>
        </w:tc>
        <w:tc>
          <w:tcPr>
            <w:tcW w:w="0" w:type="auto"/>
            <w:shd w:val="clear" w:color="auto" w:fill="E2EFD9"/>
            <w:tcMar>
              <w:top w:w="40" w:type="dxa"/>
              <w:left w:w="0" w:type="dxa"/>
              <w:bottom w:w="40" w:type="dxa"/>
              <w:right w:w="20" w:type="dxa"/>
            </w:tcMar>
            <w:vAlign w:val="bottom"/>
          </w:tcPr>
          <w:p w14:paraId="5406753D"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53E"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53F" w14:textId="77777777" w:rsidR="00611BDD" w:rsidRDefault="002E18C7">
            <w:pPr>
              <w:jc w:val="right"/>
              <w:textAlignment w:val="bottom"/>
            </w:pPr>
            <w:r>
              <w:rPr>
                <w:rFonts w:ascii="sans-serif" w:eastAsia="sans-serif" w:hAnsi="sans-serif" w:cs="sans-serif"/>
                <w:color w:val="000000"/>
                <w:sz w:val="20"/>
                <w:szCs w:val="20"/>
              </w:rPr>
              <w:t>240 </w:t>
            </w:r>
          </w:p>
        </w:tc>
        <w:tc>
          <w:tcPr>
            <w:tcW w:w="0" w:type="auto"/>
            <w:shd w:val="clear" w:color="auto" w:fill="E2EFD9"/>
            <w:tcMar>
              <w:top w:w="40" w:type="dxa"/>
              <w:left w:w="0" w:type="dxa"/>
              <w:bottom w:w="40" w:type="dxa"/>
              <w:right w:w="20" w:type="dxa"/>
            </w:tcMar>
            <w:vAlign w:val="bottom"/>
          </w:tcPr>
          <w:p w14:paraId="54067540"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541"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542" w14:textId="77777777" w:rsidR="00611BDD" w:rsidRDefault="002E18C7">
            <w:pPr>
              <w:jc w:val="right"/>
              <w:textAlignment w:val="bottom"/>
            </w:pPr>
            <w:r>
              <w:rPr>
                <w:rFonts w:ascii="sans-serif" w:eastAsia="sans-serif" w:hAnsi="sans-serif" w:cs="sans-serif"/>
                <w:color w:val="000000"/>
                <w:sz w:val="20"/>
                <w:szCs w:val="20"/>
              </w:rPr>
              <w:t>810 </w:t>
            </w:r>
          </w:p>
        </w:tc>
        <w:tc>
          <w:tcPr>
            <w:tcW w:w="0" w:type="auto"/>
            <w:shd w:val="clear" w:color="auto" w:fill="E2EFD9"/>
            <w:tcMar>
              <w:top w:w="40" w:type="dxa"/>
              <w:left w:w="0" w:type="dxa"/>
              <w:bottom w:w="40" w:type="dxa"/>
              <w:right w:w="20" w:type="dxa"/>
            </w:tcMar>
            <w:vAlign w:val="bottom"/>
          </w:tcPr>
          <w:p w14:paraId="5406754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544"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545" w14:textId="77777777" w:rsidR="00611BDD" w:rsidRDefault="002E18C7">
            <w:pPr>
              <w:jc w:val="right"/>
              <w:textAlignment w:val="bottom"/>
            </w:pPr>
            <w:r>
              <w:rPr>
                <w:rFonts w:ascii="sans-serif" w:eastAsia="sans-serif" w:hAnsi="sans-serif" w:cs="sans-serif"/>
                <w:color w:val="000000"/>
                <w:sz w:val="20"/>
                <w:szCs w:val="20"/>
              </w:rPr>
              <w:t>494 </w:t>
            </w:r>
          </w:p>
        </w:tc>
        <w:tc>
          <w:tcPr>
            <w:tcW w:w="0" w:type="auto"/>
            <w:shd w:val="clear" w:color="auto" w:fill="E2EFD9"/>
            <w:tcMar>
              <w:top w:w="40" w:type="dxa"/>
              <w:left w:w="0" w:type="dxa"/>
              <w:bottom w:w="40" w:type="dxa"/>
              <w:right w:w="20" w:type="dxa"/>
            </w:tcMar>
            <w:vAlign w:val="bottom"/>
          </w:tcPr>
          <w:p w14:paraId="54067546" w14:textId="77777777" w:rsidR="00611BDD" w:rsidRDefault="00611BDD">
            <w:pPr>
              <w:jc w:val="right"/>
              <w:rPr>
                <w:rFonts w:ascii="宋体"/>
              </w:rPr>
            </w:pPr>
          </w:p>
        </w:tc>
      </w:tr>
      <w:tr w:rsidR="00611BDD" w14:paraId="54067554" w14:textId="77777777">
        <w:tc>
          <w:tcPr>
            <w:tcW w:w="0" w:type="auto"/>
            <w:gridSpan w:val="3"/>
            <w:shd w:val="clear" w:color="auto" w:fill="FFFFFF"/>
            <w:tcMar>
              <w:top w:w="40" w:type="dxa"/>
              <w:left w:w="260" w:type="dxa"/>
              <w:bottom w:w="40" w:type="dxa"/>
              <w:right w:w="20" w:type="dxa"/>
            </w:tcMar>
            <w:vAlign w:val="bottom"/>
          </w:tcPr>
          <w:p w14:paraId="54067548" w14:textId="77777777" w:rsidR="00611BDD" w:rsidRDefault="002E18C7">
            <w:pPr>
              <w:textAlignment w:val="bottom"/>
            </w:pPr>
            <w:r>
              <w:rPr>
                <w:rFonts w:ascii="sans-serif" w:eastAsia="sans-serif" w:hAnsi="sans-serif" w:cs="sans-serif"/>
                <w:color w:val="000000"/>
                <w:sz w:val="20"/>
                <w:szCs w:val="20"/>
              </w:rPr>
              <w:t>Other countries</w:t>
            </w:r>
          </w:p>
        </w:tc>
        <w:tc>
          <w:tcPr>
            <w:tcW w:w="0" w:type="auto"/>
            <w:gridSpan w:val="2"/>
            <w:shd w:val="clear" w:color="auto" w:fill="FFFFFF"/>
            <w:tcMar>
              <w:top w:w="40" w:type="dxa"/>
              <w:left w:w="20" w:type="dxa"/>
              <w:bottom w:w="40" w:type="dxa"/>
              <w:right w:w="0" w:type="dxa"/>
            </w:tcMar>
            <w:vAlign w:val="bottom"/>
          </w:tcPr>
          <w:p w14:paraId="54067549" w14:textId="77777777" w:rsidR="00611BDD" w:rsidRDefault="002E18C7">
            <w:pPr>
              <w:jc w:val="right"/>
              <w:textAlignment w:val="bottom"/>
            </w:pPr>
            <w:r>
              <w:rPr>
                <w:rFonts w:ascii="sans-serif" w:eastAsia="sans-serif" w:hAnsi="sans-serif" w:cs="sans-serif"/>
                <w:color w:val="000000"/>
                <w:sz w:val="20"/>
                <w:szCs w:val="20"/>
              </w:rPr>
              <w:t>354 </w:t>
            </w:r>
          </w:p>
        </w:tc>
        <w:tc>
          <w:tcPr>
            <w:tcW w:w="0" w:type="auto"/>
            <w:shd w:val="clear" w:color="auto" w:fill="FFFFFF"/>
            <w:tcMar>
              <w:top w:w="40" w:type="dxa"/>
              <w:left w:w="0" w:type="dxa"/>
              <w:bottom w:w="40" w:type="dxa"/>
              <w:right w:w="20" w:type="dxa"/>
            </w:tcMar>
            <w:vAlign w:val="bottom"/>
          </w:tcPr>
          <w:p w14:paraId="5406754A"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54B"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54C" w14:textId="77777777" w:rsidR="00611BDD" w:rsidRDefault="002E18C7">
            <w:pPr>
              <w:jc w:val="right"/>
              <w:textAlignment w:val="bottom"/>
            </w:pPr>
            <w:r>
              <w:rPr>
                <w:rFonts w:ascii="sans-serif" w:eastAsia="sans-serif" w:hAnsi="sans-serif" w:cs="sans-serif"/>
                <w:color w:val="000000"/>
                <w:sz w:val="20"/>
                <w:szCs w:val="20"/>
              </w:rPr>
              <w:t>175 </w:t>
            </w:r>
          </w:p>
        </w:tc>
        <w:tc>
          <w:tcPr>
            <w:tcW w:w="0" w:type="auto"/>
            <w:shd w:val="clear" w:color="auto" w:fill="FFFFFF"/>
            <w:tcMar>
              <w:top w:w="40" w:type="dxa"/>
              <w:left w:w="0" w:type="dxa"/>
              <w:bottom w:w="40" w:type="dxa"/>
              <w:right w:w="20" w:type="dxa"/>
            </w:tcMar>
            <w:vAlign w:val="bottom"/>
          </w:tcPr>
          <w:p w14:paraId="5406754D"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54E"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54F" w14:textId="77777777" w:rsidR="00611BDD" w:rsidRDefault="002E18C7">
            <w:pPr>
              <w:jc w:val="right"/>
              <w:textAlignment w:val="bottom"/>
            </w:pPr>
            <w:r>
              <w:rPr>
                <w:rFonts w:ascii="sans-serif" w:eastAsia="sans-serif" w:hAnsi="sans-serif" w:cs="sans-serif"/>
                <w:color w:val="000000"/>
                <w:sz w:val="20"/>
                <w:szCs w:val="20"/>
              </w:rPr>
              <w:t>690 </w:t>
            </w:r>
          </w:p>
        </w:tc>
        <w:tc>
          <w:tcPr>
            <w:tcW w:w="0" w:type="auto"/>
            <w:shd w:val="clear" w:color="auto" w:fill="FFFFFF"/>
            <w:tcMar>
              <w:top w:w="40" w:type="dxa"/>
              <w:left w:w="0" w:type="dxa"/>
              <w:bottom w:w="40" w:type="dxa"/>
              <w:right w:w="20" w:type="dxa"/>
            </w:tcMar>
            <w:vAlign w:val="bottom"/>
          </w:tcPr>
          <w:p w14:paraId="54067550"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551"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552" w14:textId="77777777" w:rsidR="00611BDD" w:rsidRDefault="002E18C7">
            <w:pPr>
              <w:jc w:val="right"/>
              <w:textAlignment w:val="bottom"/>
            </w:pPr>
            <w:r>
              <w:rPr>
                <w:rFonts w:ascii="sans-serif" w:eastAsia="sans-serif" w:hAnsi="sans-serif" w:cs="sans-serif"/>
                <w:color w:val="000000"/>
                <w:sz w:val="20"/>
                <w:szCs w:val="20"/>
              </w:rPr>
              <w:t>326 </w:t>
            </w:r>
          </w:p>
        </w:tc>
        <w:tc>
          <w:tcPr>
            <w:tcW w:w="0" w:type="auto"/>
            <w:shd w:val="clear" w:color="auto" w:fill="FFFFFF"/>
            <w:tcMar>
              <w:top w:w="40" w:type="dxa"/>
              <w:left w:w="0" w:type="dxa"/>
              <w:bottom w:w="40" w:type="dxa"/>
              <w:right w:w="20" w:type="dxa"/>
            </w:tcMar>
            <w:vAlign w:val="bottom"/>
          </w:tcPr>
          <w:p w14:paraId="54067553" w14:textId="77777777" w:rsidR="00611BDD" w:rsidRDefault="00611BDD">
            <w:pPr>
              <w:jc w:val="right"/>
              <w:rPr>
                <w:rFonts w:ascii="宋体"/>
              </w:rPr>
            </w:pPr>
          </w:p>
        </w:tc>
      </w:tr>
      <w:tr w:rsidR="00611BDD" w14:paraId="54067565" w14:textId="77777777">
        <w:tc>
          <w:tcPr>
            <w:tcW w:w="0" w:type="auto"/>
            <w:gridSpan w:val="3"/>
            <w:shd w:val="clear" w:color="auto" w:fill="E2EFD9"/>
            <w:tcMar>
              <w:top w:w="40" w:type="dxa"/>
              <w:left w:w="20" w:type="dxa"/>
              <w:bottom w:w="40" w:type="dxa"/>
              <w:right w:w="20" w:type="dxa"/>
            </w:tcMar>
            <w:vAlign w:val="bottom"/>
          </w:tcPr>
          <w:p w14:paraId="54067555" w14:textId="77777777" w:rsidR="00611BDD" w:rsidRDefault="002E18C7">
            <w:pPr>
              <w:textAlignment w:val="bottom"/>
            </w:pPr>
            <w:r>
              <w:rPr>
                <w:rFonts w:ascii="sans-serif" w:eastAsia="sans-serif" w:hAnsi="sans-serif" w:cs="sans-serif"/>
                <w:color w:val="000000"/>
                <w:sz w:val="20"/>
                <w:szCs w:val="20"/>
              </w:rPr>
              <w:t>Total revenue</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556"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557" w14:textId="77777777" w:rsidR="00611BDD" w:rsidRDefault="002E18C7">
            <w:pPr>
              <w:jc w:val="right"/>
              <w:textAlignment w:val="bottom"/>
            </w:pPr>
            <w:r>
              <w:rPr>
                <w:rFonts w:ascii="sans-serif" w:eastAsia="sans-serif" w:hAnsi="sans-serif" w:cs="sans-serif"/>
                <w:color w:val="000000"/>
                <w:sz w:val="20"/>
                <w:szCs w:val="20"/>
              </w:rPr>
              <w:t>6,507 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558"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559"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55A"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55B" w14:textId="77777777" w:rsidR="00611BDD" w:rsidRDefault="002E18C7">
            <w:pPr>
              <w:jc w:val="right"/>
              <w:textAlignment w:val="bottom"/>
            </w:pPr>
            <w:r>
              <w:rPr>
                <w:rFonts w:ascii="sans-serif" w:eastAsia="sans-serif" w:hAnsi="sans-serif" w:cs="sans-serif"/>
                <w:color w:val="000000"/>
                <w:sz w:val="20"/>
                <w:szCs w:val="20"/>
              </w:rPr>
              <w:t>3,866 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55C"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55D"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55E"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55F" w14:textId="77777777" w:rsidR="00611BDD" w:rsidRDefault="002E18C7">
            <w:pPr>
              <w:jc w:val="right"/>
              <w:textAlignment w:val="bottom"/>
            </w:pPr>
            <w:r>
              <w:rPr>
                <w:rFonts w:ascii="sans-serif" w:eastAsia="sans-serif" w:hAnsi="sans-serif" w:cs="sans-serif"/>
                <w:color w:val="000000"/>
                <w:sz w:val="20"/>
                <w:szCs w:val="20"/>
              </w:rPr>
              <w:t>12,168 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560"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561"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562"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563" w14:textId="77777777" w:rsidR="00611BDD" w:rsidRDefault="002E18C7">
            <w:pPr>
              <w:jc w:val="right"/>
              <w:textAlignment w:val="bottom"/>
            </w:pPr>
            <w:r>
              <w:rPr>
                <w:rFonts w:ascii="sans-serif" w:eastAsia="sans-serif" w:hAnsi="sans-serif" w:cs="sans-serif"/>
                <w:color w:val="000000"/>
                <w:sz w:val="20"/>
                <w:szCs w:val="20"/>
              </w:rPr>
              <w:t>6,946 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564" w14:textId="77777777" w:rsidR="00611BDD" w:rsidRDefault="00611BDD">
            <w:pPr>
              <w:jc w:val="right"/>
              <w:rPr>
                <w:rFonts w:ascii="宋体"/>
              </w:rPr>
            </w:pPr>
          </w:p>
        </w:tc>
      </w:tr>
    </w:tbl>
    <w:p w14:paraId="54067566" w14:textId="77777777" w:rsidR="00611BDD" w:rsidRDefault="002E18C7">
      <w:pPr>
        <w:spacing w:after="180"/>
        <w:jc w:val="both"/>
      </w:pPr>
      <w:r>
        <w:rPr>
          <w:rFonts w:ascii="sans-serif" w:eastAsia="sans-serif" w:hAnsi="sans-serif" w:cs="sans-serif"/>
          <w:color w:val="000000"/>
          <w:sz w:val="20"/>
          <w:szCs w:val="20"/>
        </w:rPr>
        <w:t>The following table summarizes information pertaining to our revenue by each of the specialized markets we serv</w:t>
      </w:r>
      <w:r>
        <w:rPr>
          <w:rFonts w:ascii="sans-serif" w:eastAsia="sans-serif" w:hAnsi="sans-serif" w:cs="sans-serif"/>
          <w:color w:val="000000"/>
          <w:sz w:val="20"/>
          <w:szCs w:val="20"/>
        </w:rPr>
        <w:t>e:</w:t>
      </w:r>
    </w:p>
    <w:tbl>
      <w:tblPr>
        <w:tblW w:w="5000" w:type="pct"/>
        <w:tblCellMar>
          <w:top w:w="15" w:type="dxa"/>
          <w:left w:w="15" w:type="dxa"/>
          <w:bottom w:w="15" w:type="dxa"/>
          <w:right w:w="15" w:type="dxa"/>
        </w:tblCellMar>
        <w:tblLook w:val="04A0" w:firstRow="1" w:lastRow="0" w:firstColumn="1" w:lastColumn="0" w:noHBand="0" w:noVBand="1"/>
      </w:tblPr>
      <w:tblGrid>
        <w:gridCol w:w="39"/>
        <w:gridCol w:w="3568"/>
        <w:gridCol w:w="36"/>
        <w:gridCol w:w="122"/>
        <w:gridCol w:w="966"/>
        <w:gridCol w:w="36"/>
        <w:gridCol w:w="36"/>
        <w:gridCol w:w="36"/>
        <w:gridCol w:w="36"/>
        <w:gridCol w:w="122"/>
        <w:gridCol w:w="923"/>
        <w:gridCol w:w="36"/>
        <w:gridCol w:w="36"/>
        <w:gridCol w:w="36"/>
        <w:gridCol w:w="36"/>
        <w:gridCol w:w="122"/>
        <w:gridCol w:w="924"/>
        <w:gridCol w:w="36"/>
        <w:gridCol w:w="36"/>
        <w:gridCol w:w="36"/>
        <w:gridCol w:w="36"/>
        <w:gridCol w:w="122"/>
        <w:gridCol w:w="924"/>
        <w:gridCol w:w="36"/>
      </w:tblGrid>
      <w:tr w:rsidR="00611BDD" w14:paraId="5406757F" w14:textId="77777777">
        <w:tc>
          <w:tcPr>
            <w:tcW w:w="50" w:type="pct"/>
            <w:shd w:val="clear" w:color="auto" w:fill="auto"/>
            <w:vAlign w:val="bottom"/>
          </w:tcPr>
          <w:p w14:paraId="54067567" w14:textId="77777777" w:rsidR="00611BDD" w:rsidRDefault="00611BDD">
            <w:pPr>
              <w:rPr>
                <w:rFonts w:ascii="宋体"/>
              </w:rPr>
            </w:pPr>
          </w:p>
        </w:tc>
        <w:tc>
          <w:tcPr>
            <w:tcW w:w="2174" w:type="pct"/>
            <w:shd w:val="clear" w:color="auto" w:fill="auto"/>
            <w:vAlign w:val="bottom"/>
          </w:tcPr>
          <w:p w14:paraId="54067568" w14:textId="77777777" w:rsidR="00611BDD" w:rsidRDefault="00611BDD">
            <w:pPr>
              <w:rPr>
                <w:rFonts w:ascii="宋体"/>
              </w:rPr>
            </w:pPr>
          </w:p>
        </w:tc>
        <w:tc>
          <w:tcPr>
            <w:tcW w:w="5" w:type="pct"/>
            <w:shd w:val="clear" w:color="auto" w:fill="auto"/>
            <w:vAlign w:val="bottom"/>
          </w:tcPr>
          <w:p w14:paraId="54067569" w14:textId="77777777" w:rsidR="00611BDD" w:rsidRDefault="00611BDD">
            <w:pPr>
              <w:rPr>
                <w:rFonts w:ascii="宋体"/>
              </w:rPr>
            </w:pPr>
          </w:p>
        </w:tc>
        <w:tc>
          <w:tcPr>
            <w:tcW w:w="50" w:type="pct"/>
            <w:shd w:val="clear" w:color="auto" w:fill="auto"/>
            <w:vAlign w:val="bottom"/>
          </w:tcPr>
          <w:p w14:paraId="5406756A" w14:textId="77777777" w:rsidR="00611BDD" w:rsidRDefault="00611BDD">
            <w:pPr>
              <w:rPr>
                <w:rFonts w:ascii="宋体"/>
              </w:rPr>
            </w:pPr>
          </w:p>
        </w:tc>
        <w:tc>
          <w:tcPr>
            <w:tcW w:w="610" w:type="pct"/>
            <w:shd w:val="clear" w:color="auto" w:fill="auto"/>
            <w:vAlign w:val="bottom"/>
          </w:tcPr>
          <w:p w14:paraId="5406756B" w14:textId="77777777" w:rsidR="00611BDD" w:rsidRDefault="00611BDD">
            <w:pPr>
              <w:rPr>
                <w:rFonts w:ascii="宋体"/>
              </w:rPr>
            </w:pPr>
          </w:p>
        </w:tc>
        <w:tc>
          <w:tcPr>
            <w:tcW w:w="5" w:type="pct"/>
            <w:shd w:val="clear" w:color="auto" w:fill="auto"/>
            <w:vAlign w:val="bottom"/>
          </w:tcPr>
          <w:p w14:paraId="5406756C" w14:textId="77777777" w:rsidR="00611BDD" w:rsidRDefault="00611BDD">
            <w:pPr>
              <w:rPr>
                <w:rFonts w:ascii="宋体"/>
              </w:rPr>
            </w:pPr>
          </w:p>
        </w:tc>
        <w:tc>
          <w:tcPr>
            <w:tcW w:w="5" w:type="pct"/>
            <w:shd w:val="clear" w:color="auto" w:fill="auto"/>
            <w:vAlign w:val="bottom"/>
          </w:tcPr>
          <w:p w14:paraId="5406756D" w14:textId="77777777" w:rsidR="00611BDD" w:rsidRDefault="00611BDD">
            <w:pPr>
              <w:rPr>
                <w:rFonts w:ascii="宋体"/>
              </w:rPr>
            </w:pPr>
          </w:p>
        </w:tc>
        <w:tc>
          <w:tcPr>
            <w:tcW w:w="26" w:type="pct"/>
            <w:shd w:val="clear" w:color="auto" w:fill="auto"/>
            <w:vAlign w:val="bottom"/>
          </w:tcPr>
          <w:p w14:paraId="5406756E" w14:textId="77777777" w:rsidR="00611BDD" w:rsidRDefault="00611BDD">
            <w:pPr>
              <w:rPr>
                <w:rFonts w:ascii="宋体"/>
              </w:rPr>
            </w:pPr>
          </w:p>
        </w:tc>
        <w:tc>
          <w:tcPr>
            <w:tcW w:w="5" w:type="pct"/>
            <w:shd w:val="clear" w:color="auto" w:fill="auto"/>
            <w:vAlign w:val="bottom"/>
          </w:tcPr>
          <w:p w14:paraId="5406756F" w14:textId="77777777" w:rsidR="00611BDD" w:rsidRDefault="00611BDD">
            <w:pPr>
              <w:rPr>
                <w:rFonts w:ascii="宋体"/>
              </w:rPr>
            </w:pPr>
          </w:p>
        </w:tc>
        <w:tc>
          <w:tcPr>
            <w:tcW w:w="50" w:type="pct"/>
            <w:shd w:val="clear" w:color="auto" w:fill="auto"/>
            <w:vAlign w:val="bottom"/>
          </w:tcPr>
          <w:p w14:paraId="54067570" w14:textId="77777777" w:rsidR="00611BDD" w:rsidRDefault="00611BDD">
            <w:pPr>
              <w:rPr>
                <w:rFonts w:ascii="宋体"/>
              </w:rPr>
            </w:pPr>
          </w:p>
        </w:tc>
        <w:tc>
          <w:tcPr>
            <w:tcW w:w="610" w:type="pct"/>
            <w:shd w:val="clear" w:color="auto" w:fill="auto"/>
            <w:vAlign w:val="bottom"/>
          </w:tcPr>
          <w:p w14:paraId="54067571" w14:textId="77777777" w:rsidR="00611BDD" w:rsidRDefault="00611BDD">
            <w:pPr>
              <w:rPr>
                <w:rFonts w:ascii="宋体"/>
              </w:rPr>
            </w:pPr>
          </w:p>
        </w:tc>
        <w:tc>
          <w:tcPr>
            <w:tcW w:w="5" w:type="pct"/>
            <w:shd w:val="clear" w:color="auto" w:fill="auto"/>
            <w:vAlign w:val="bottom"/>
          </w:tcPr>
          <w:p w14:paraId="54067572" w14:textId="77777777" w:rsidR="00611BDD" w:rsidRDefault="00611BDD">
            <w:pPr>
              <w:rPr>
                <w:rFonts w:ascii="宋体"/>
              </w:rPr>
            </w:pPr>
          </w:p>
        </w:tc>
        <w:tc>
          <w:tcPr>
            <w:tcW w:w="5" w:type="pct"/>
            <w:shd w:val="clear" w:color="auto" w:fill="auto"/>
            <w:vAlign w:val="bottom"/>
          </w:tcPr>
          <w:p w14:paraId="54067573" w14:textId="77777777" w:rsidR="00611BDD" w:rsidRDefault="00611BDD">
            <w:pPr>
              <w:rPr>
                <w:rFonts w:ascii="宋体"/>
              </w:rPr>
            </w:pPr>
          </w:p>
        </w:tc>
        <w:tc>
          <w:tcPr>
            <w:tcW w:w="26" w:type="pct"/>
            <w:shd w:val="clear" w:color="auto" w:fill="auto"/>
            <w:vAlign w:val="bottom"/>
          </w:tcPr>
          <w:p w14:paraId="54067574" w14:textId="77777777" w:rsidR="00611BDD" w:rsidRDefault="00611BDD">
            <w:pPr>
              <w:rPr>
                <w:rFonts w:ascii="宋体"/>
              </w:rPr>
            </w:pPr>
          </w:p>
        </w:tc>
        <w:tc>
          <w:tcPr>
            <w:tcW w:w="5" w:type="pct"/>
            <w:shd w:val="clear" w:color="auto" w:fill="auto"/>
            <w:vAlign w:val="bottom"/>
          </w:tcPr>
          <w:p w14:paraId="54067575" w14:textId="77777777" w:rsidR="00611BDD" w:rsidRDefault="00611BDD">
            <w:pPr>
              <w:rPr>
                <w:rFonts w:ascii="宋体"/>
              </w:rPr>
            </w:pPr>
          </w:p>
        </w:tc>
        <w:tc>
          <w:tcPr>
            <w:tcW w:w="50" w:type="pct"/>
            <w:shd w:val="clear" w:color="auto" w:fill="auto"/>
            <w:vAlign w:val="bottom"/>
          </w:tcPr>
          <w:p w14:paraId="54067576" w14:textId="77777777" w:rsidR="00611BDD" w:rsidRDefault="00611BDD">
            <w:pPr>
              <w:rPr>
                <w:rFonts w:ascii="宋体"/>
              </w:rPr>
            </w:pPr>
          </w:p>
        </w:tc>
        <w:tc>
          <w:tcPr>
            <w:tcW w:w="610" w:type="pct"/>
            <w:shd w:val="clear" w:color="auto" w:fill="auto"/>
            <w:vAlign w:val="bottom"/>
          </w:tcPr>
          <w:p w14:paraId="54067577" w14:textId="77777777" w:rsidR="00611BDD" w:rsidRDefault="00611BDD">
            <w:pPr>
              <w:rPr>
                <w:rFonts w:ascii="宋体"/>
              </w:rPr>
            </w:pPr>
          </w:p>
        </w:tc>
        <w:tc>
          <w:tcPr>
            <w:tcW w:w="5" w:type="pct"/>
            <w:shd w:val="clear" w:color="auto" w:fill="auto"/>
            <w:vAlign w:val="bottom"/>
          </w:tcPr>
          <w:p w14:paraId="54067578" w14:textId="77777777" w:rsidR="00611BDD" w:rsidRDefault="00611BDD">
            <w:pPr>
              <w:rPr>
                <w:rFonts w:ascii="宋体"/>
              </w:rPr>
            </w:pPr>
          </w:p>
        </w:tc>
        <w:tc>
          <w:tcPr>
            <w:tcW w:w="5" w:type="pct"/>
            <w:shd w:val="clear" w:color="auto" w:fill="auto"/>
            <w:vAlign w:val="bottom"/>
          </w:tcPr>
          <w:p w14:paraId="54067579" w14:textId="77777777" w:rsidR="00611BDD" w:rsidRDefault="00611BDD">
            <w:pPr>
              <w:rPr>
                <w:rFonts w:ascii="宋体"/>
              </w:rPr>
            </w:pPr>
          </w:p>
        </w:tc>
        <w:tc>
          <w:tcPr>
            <w:tcW w:w="26" w:type="pct"/>
            <w:shd w:val="clear" w:color="auto" w:fill="auto"/>
            <w:vAlign w:val="bottom"/>
          </w:tcPr>
          <w:p w14:paraId="5406757A" w14:textId="77777777" w:rsidR="00611BDD" w:rsidRDefault="00611BDD">
            <w:pPr>
              <w:rPr>
                <w:rFonts w:ascii="宋体"/>
              </w:rPr>
            </w:pPr>
          </w:p>
        </w:tc>
        <w:tc>
          <w:tcPr>
            <w:tcW w:w="5" w:type="pct"/>
            <w:shd w:val="clear" w:color="auto" w:fill="auto"/>
            <w:vAlign w:val="bottom"/>
          </w:tcPr>
          <w:p w14:paraId="5406757B" w14:textId="77777777" w:rsidR="00611BDD" w:rsidRDefault="00611BDD">
            <w:pPr>
              <w:rPr>
                <w:rFonts w:ascii="宋体"/>
              </w:rPr>
            </w:pPr>
          </w:p>
        </w:tc>
        <w:tc>
          <w:tcPr>
            <w:tcW w:w="50" w:type="pct"/>
            <w:shd w:val="clear" w:color="auto" w:fill="auto"/>
            <w:vAlign w:val="bottom"/>
          </w:tcPr>
          <w:p w14:paraId="5406757C" w14:textId="77777777" w:rsidR="00611BDD" w:rsidRDefault="00611BDD">
            <w:pPr>
              <w:rPr>
                <w:rFonts w:ascii="宋体"/>
              </w:rPr>
            </w:pPr>
          </w:p>
        </w:tc>
        <w:tc>
          <w:tcPr>
            <w:tcW w:w="610" w:type="pct"/>
            <w:shd w:val="clear" w:color="auto" w:fill="auto"/>
            <w:vAlign w:val="bottom"/>
          </w:tcPr>
          <w:p w14:paraId="5406757D" w14:textId="77777777" w:rsidR="00611BDD" w:rsidRDefault="00611BDD">
            <w:pPr>
              <w:rPr>
                <w:rFonts w:ascii="宋体"/>
              </w:rPr>
            </w:pPr>
          </w:p>
        </w:tc>
        <w:tc>
          <w:tcPr>
            <w:tcW w:w="5" w:type="pct"/>
            <w:shd w:val="clear" w:color="auto" w:fill="auto"/>
            <w:vAlign w:val="bottom"/>
          </w:tcPr>
          <w:p w14:paraId="5406757E" w14:textId="77777777" w:rsidR="00611BDD" w:rsidRDefault="00611BDD">
            <w:pPr>
              <w:rPr>
                <w:rFonts w:ascii="宋体"/>
              </w:rPr>
            </w:pPr>
          </w:p>
        </w:tc>
      </w:tr>
      <w:tr w:rsidR="00611BDD" w14:paraId="54067584" w14:textId="77777777">
        <w:tc>
          <w:tcPr>
            <w:tcW w:w="0" w:type="auto"/>
            <w:gridSpan w:val="3"/>
            <w:shd w:val="clear" w:color="auto" w:fill="auto"/>
            <w:tcMar>
              <w:top w:w="40" w:type="dxa"/>
              <w:left w:w="20" w:type="dxa"/>
              <w:bottom w:w="40" w:type="dxa"/>
              <w:right w:w="20" w:type="dxa"/>
            </w:tcMar>
            <w:vAlign w:val="bottom"/>
          </w:tcPr>
          <w:p w14:paraId="54067580" w14:textId="77777777" w:rsidR="00611BDD" w:rsidRDefault="002E18C7">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54067581" w14:textId="77777777" w:rsidR="00611BDD" w:rsidRDefault="002E18C7">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54067582" w14:textId="77777777" w:rsidR="00611BDD" w:rsidRDefault="00611BDD">
            <w:pPr>
              <w:rPr>
                <w:rFonts w:ascii="宋体"/>
              </w:rPr>
            </w:pPr>
          </w:p>
        </w:tc>
        <w:tc>
          <w:tcPr>
            <w:tcW w:w="0" w:type="auto"/>
            <w:gridSpan w:val="9"/>
            <w:shd w:val="clear" w:color="auto" w:fill="auto"/>
            <w:tcMar>
              <w:top w:w="40" w:type="dxa"/>
              <w:left w:w="20" w:type="dxa"/>
              <w:bottom w:w="40" w:type="dxa"/>
              <w:right w:w="20" w:type="dxa"/>
            </w:tcMar>
            <w:vAlign w:val="bottom"/>
          </w:tcPr>
          <w:p w14:paraId="54067583" w14:textId="77777777" w:rsidR="00611BDD" w:rsidRDefault="002E18C7">
            <w:pPr>
              <w:jc w:val="center"/>
              <w:textAlignment w:val="bottom"/>
            </w:pPr>
            <w:r>
              <w:rPr>
                <w:rFonts w:ascii="sans-serif" w:eastAsia="sans-serif" w:hAnsi="sans-serif" w:cs="sans-serif"/>
                <w:b/>
                <w:bCs/>
                <w:color w:val="000000"/>
                <w:sz w:val="20"/>
                <w:szCs w:val="20"/>
              </w:rPr>
              <w:t>Six Months Ended</w:t>
            </w:r>
          </w:p>
        </w:tc>
      </w:tr>
      <w:tr w:rsidR="00611BDD" w14:paraId="5406758D" w14:textId="77777777">
        <w:tc>
          <w:tcPr>
            <w:tcW w:w="0" w:type="auto"/>
            <w:gridSpan w:val="3"/>
            <w:shd w:val="clear" w:color="auto" w:fill="auto"/>
            <w:tcMar>
              <w:top w:w="0" w:type="dxa"/>
              <w:left w:w="20" w:type="dxa"/>
              <w:bottom w:w="0" w:type="dxa"/>
              <w:right w:w="20" w:type="dxa"/>
            </w:tcMar>
            <w:vAlign w:val="bottom"/>
          </w:tcPr>
          <w:p w14:paraId="54067585"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7586" w14:textId="77777777" w:rsidR="00611BDD" w:rsidRDefault="002E18C7">
            <w:pPr>
              <w:jc w:val="center"/>
              <w:textAlignment w:val="bottom"/>
            </w:pPr>
            <w:r>
              <w:rPr>
                <w:rFonts w:ascii="sans-serif" w:eastAsia="sans-serif" w:hAnsi="sans-serif" w:cs="sans-serif"/>
                <w:b/>
                <w:bCs/>
                <w:color w:val="000000"/>
                <w:sz w:val="20"/>
                <w:szCs w:val="20"/>
              </w:rPr>
              <w:t>August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587"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7588" w14:textId="77777777" w:rsidR="00611BDD" w:rsidRDefault="002E18C7">
            <w:pPr>
              <w:jc w:val="center"/>
              <w:textAlignment w:val="bottom"/>
            </w:pPr>
            <w:r>
              <w:rPr>
                <w:rFonts w:ascii="sans-serif" w:eastAsia="sans-serif" w:hAnsi="sans-serif" w:cs="sans-serif"/>
                <w:b/>
                <w:bCs/>
                <w:color w:val="000000"/>
                <w:sz w:val="20"/>
                <w:szCs w:val="20"/>
              </w:rPr>
              <w:t>July 26,</w:t>
            </w:r>
          </w:p>
        </w:tc>
        <w:tc>
          <w:tcPr>
            <w:tcW w:w="0" w:type="auto"/>
            <w:gridSpan w:val="3"/>
            <w:shd w:val="clear" w:color="auto" w:fill="auto"/>
            <w:tcMar>
              <w:top w:w="0" w:type="dxa"/>
              <w:left w:w="20" w:type="dxa"/>
              <w:bottom w:w="0" w:type="dxa"/>
              <w:right w:w="20" w:type="dxa"/>
            </w:tcMar>
            <w:vAlign w:val="bottom"/>
          </w:tcPr>
          <w:p w14:paraId="54067589"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758A" w14:textId="77777777" w:rsidR="00611BDD" w:rsidRDefault="002E18C7">
            <w:pPr>
              <w:jc w:val="center"/>
              <w:textAlignment w:val="bottom"/>
            </w:pPr>
            <w:r>
              <w:rPr>
                <w:rFonts w:ascii="sans-serif" w:eastAsia="sans-serif" w:hAnsi="sans-serif" w:cs="sans-serif"/>
                <w:b/>
                <w:bCs/>
                <w:color w:val="000000"/>
                <w:sz w:val="20"/>
                <w:szCs w:val="20"/>
              </w:rPr>
              <w:t>August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58B"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758C" w14:textId="77777777" w:rsidR="00611BDD" w:rsidRDefault="002E18C7">
            <w:pPr>
              <w:jc w:val="center"/>
              <w:textAlignment w:val="bottom"/>
            </w:pPr>
            <w:r>
              <w:rPr>
                <w:rFonts w:ascii="sans-serif" w:eastAsia="sans-serif" w:hAnsi="sans-serif" w:cs="sans-serif"/>
                <w:b/>
                <w:bCs/>
                <w:color w:val="000000"/>
                <w:sz w:val="20"/>
                <w:szCs w:val="20"/>
              </w:rPr>
              <w:t>July 26,</w:t>
            </w:r>
          </w:p>
        </w:tc>
      </w:tr>
      <w:tr w:rsidR="00611BDD" w14:paraId="54067596" w14:textId="77777777">
        <w:tc>
          <w:tcPr>
            <w:tcW w:w="0" w:type="auto"/>
            <w:gridSpan w:val="3"/>
            <w:shd w:val="clear" w:color="auto" w:fill="auto"/>
            <w:tcMar>
              <w:top w:w="40" w:type="dxa"/>
              <w:left w:w="20" w:type="dxa"/>
              <w:bottom w:w="40" w:type="dxa"/>
              <w:right w:w="20" w:type="dxa"/>
            </w:tcMar>
            <w:vAlign w:val="bottom"/>
          </w:tcPr>
          <w:p w14:paraId="5406758E"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5406758F" w14:textId="77777777" w:rsidR="00611BDD" w:rsidRDefault="002E18C7">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4067590"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591" w14:textId="77777777" w:rsidR="00611BDD" w:rsidRDefault="002E18C7">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vAlign w:val="bottom"/>
          </w:tcPr>
          <w:p w14:paraId="54067592"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593" w14:textId="77777777" w:rsidR="00611BDD" w:rsidRDefault="002E18C7">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54067594"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595" w14:textId="77777777" w:rsidR="00611BDD" w:rsidRDefault="002E18C7">
            <w:pPr>
              <w:jc w:val="center"/>
              <w:textAlignment w:val="bottom"/>
            </w:pPr>
            <w:r>
              <w:rPr>
                <w:rFonts w:ascii="sans-serif" w:eastAsia="sans-serif" w:hAnsi="sans-serif" w:cs="sans-serif"/>
                <w:b/>
                <w:bCs/>
                <w:color w:val="000000"/>
                <w:sz w:val="20"/>
                <w:szCs w:val="20"/>
              </w:rPr>
              <w:t>2020</w:t>
            </w:r>
          </w:p>
        </w:tc>
      </w:tr>
      <w:tr w:rsidR="00611BDD" w14:paraId="5406759F" w14:textId="77777777">
        <w:trPr>
          <w:trHeight w:val="60"/>
        </w:trPr>
        <w:tc>
          <w:tcPr>
            <w:tcW w:w="0" w:type="auto"/>
            <w:gridSpan w:val="3"/>
            <w:shd w:val="clear" w:color="auto" w:fill="auto"/>
            <w:tcMar>
              <w:top w:w="0" w:type="dxa"/>
              <w:left w:w="20" w:type="dxa"/>
              <w:bottom w:w="0" w:type="dxa"/>
              <w:right w:w="20" w:type="dxa"/>
            </w:tcMar>
            <w:vAlign w:val="bottom"/>
          </w:tcPr>
          <w:p w14:paraId="54067597"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598"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599"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59A"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59B"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59C"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59D"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59E" w14:textId="77777777" w:rsidR="00611BDD" w:rsidRDefault="00611BDD">
            <w:pPr>
              <w:rPr>
                <w:rFonts w:ascii="宋体"/>
              </w:rPr>
            </w:pPr>
          </w:p>
        </w:tc>
      </w:tr>
      <w:tr w:rsidR="00611BDD" w14:paraId="540675A2" w14:textId="77777777">
        <w:tc>
          <w:tcPr>
            <w:tcW w:w="0" w:type="auto"/>
            <w:gridSpan w:val="3"/>
            <w:shd w:val="clear" w:color="auto" w:fill="auto"/>
            <w:tcMar>
              <w:top w:w="40" w:type="dxa"/>
              <w:left w:w="20" w:type="dxa"/>
              <w:bottom w:w="40" w:type="dxa"/>
              <w:right w:w="20" w:type="dxa"/>
            </w:tcMar>
            <w:vAlign w:val="bottom"/>
          </w:tcPr>
          <w:p w14:paraId="540675A0" w14:textId="77777777" w:rsidR="00611BDD" w:rsidRDefault="002E18C7">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540675A1" w14:textId="77777777" w:rsidR="00611BDD" w:rsidRDefault="002E18C7">
            <w:pPr>
              <w:jc w:val="center"/>
              <w:textAlignment w:val="bottom"/>
            </w:pPr>
            <w:r>
              <w:rPr>
                <w:rFonts w:ascii="sans-serif" w:eastAsia="sans-serif" w:hAnsi="sans-serif" w:cs="sans-serif"/>
                <w:i/>
                <w:iCs/>
                <w:color w:val="000000"/>
                <w:sz w:val="20"/>
                <w:szCs w:val="20"/>
              </w:rPr>
              <w:t>(In millions)</w:t>
            </w:r>
          </w:p>
        </w:tc>
      </w:tr>
      <w:tr w:rsidR="00611BDD" w14:paraId="540675AB" w14:textId="77777777">
        <w:tc>
          <w:tcPr>
            <w:tcW w:w="0" w:type="auto"/>
            <w:gridSpan w:val="3"/>
            <w:shd w:val="clear" w:color="auto" w:fill="auto"/>
            <w:tcMar>
              <w:top w:w="40" w:type="dxa"/>
              <w:left w:w="20" w:type="dxa"/>
              <w:bottom w:w="40" w:type="dxa"/>
              <w:right w:w="20" w:type="dxa"/>
            </w:tcMar>
            <w:vAlign w:val="bottom"/>
          </w:tcPr>
          <w:p w14:paraId="540675A3" w14:textId="77777777" w:rsidR="00611BDD" w:rsidRDefault="002E18C7">
            <w:pPr>
              <w:textAlignment w:val="bottom"/>
            </w:pPr>
            <w:r>
              <w:rPr>
                <w:rFonts w:ascii="sans-serif" w:eastAsia="sans-serif" w:hAnsi="sans-serif" w:cs="sans-serif"/>
                <w:b/>
                <w:bCs/>
                <w:color w:val="000000"/>
                <w:sz w:val="20"/>
                <w:szCs w:val="20"/>
              </w:rPr>
              <w:t>Revenue:</w:t>
            </w:r>
          </w:p>
        </w:tc>
        <w:tc>
          <w:tcPr>
            <w:tcW w:w="0" w:type="auto"/>
            <w:gridSpan w:val="3"/>
            <w:shd w:val="clear" w:color="auto" w:fill="auto"/>
            <w:tcMar>
              <w:top w:w="40" w:type="dxa"/>
              <w:left w:w="20" w:type="dxa"/>
              <w:bottom w:w="40" w:type="dxa"/>
              <w:right w:w="20" w:type="dxa"/>
            </w:tcMar>
            <w:vAlign w:val="bottom"/>
          </w:tcPr>
          <w:p w14:paraId="540675A4"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540675A5"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5A6"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540675A7"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5A8"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5A9"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5AA" w14:textId="77777777" w:rsidR="00611BDD" w:rsidRDefault="00611BDD">
            <w:pPr>
              <w:rPr>
                <w:rFonts w:ascii="宋体"/>
              </w:rPr>
            </w:pPr>
          </w:p>
        </w:tc>
      </w:tr>
      <w:tr w:rsidR="00611BDD" w14:paraId="540675BC" w14:textId="77777777">
        <w:tc>
          <w:tcPr>
            <w:tcW w:w="0" w:type="auto"/>
            <w:gridSpan w:val="3"/>
            <w:shd w:val="clear" w:color="auto" w:fill="E2EFD9"/>
            <w:tcMar>
              <w:top w:w="40" w:type="dxa"/>
              <w:left w:w="245" w:type="dxa"/>
              <w:bottom w:w="40" w:type="dxa"/>
              <w:right w:w="20" w:type="dxa"/>
            </w:tcMar>
            <w:vAlign w:val="bottom"/>
          </w:tcPr>
          <w:p w14:paraId="540675AC" w14:textId="77777777" w:rsidR="00611BDD" w:rsidRDefault="002E18C7">
            <w:pPr>
              <w:textAlignment w:val="bottom"/>
            </w:pPr>
            <w:r>
              <w:rPr>
                <w:rFonts w:ascii="sans-serif" w:eastAsia="sans-serif" w:hAnsi="sans-serif" w:cs="sans-serif"/>
                <w:color w:val="000000"/>
                <w:sz w:val="20"/>
                <w:szCs w:val="20"/>
              </w:rPr>
              <w:t>Gaming</w:t>
            </w:r>
          </w:p>
        </w:tc>
        <w:tc>
          <w:tcPr>
            <w:tcW w:w="0" w:type="auto"/>
            <w:shd w:val="clear" w:color="auto" w:fill="E2EFD9"/>
            <w:tcMar>
              <w:top w:w="40" w:type="dxa"/>
              <w:left w:w="20" w:type="dxa"/>
              <w:bottom w:w="40" w:type="dxa"/>
              <w:right w:w="0" w:type="dxa"/>
            </w:tcMar>
            <w:vAlign w:val="bottom"/>
          </w:tcPr>
          <w:p w14:paraId="540675AD"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5AE" w14:textId="77777777" w:rsidR="00611BDD" w:rsidRDefault="002E18C7">
            <w:pPr>
              <w:jc w:val="right"/>
              <w:textAlignment w:val="bottom"/>
            </w:pPr>
            <w:r>
              <w:rPr>
                <w:rFonts w:ascii="sans-serif" w:eastAsia="sans-serif" w:hAnsi="sans-serif" w:cs="sans-serif"/>
                <w:color w:val="000000"/>
                <w:sz w:val="20"/>
                <w:szCs w:val="20"/>
              </w:rPr>
              <w:t>3,061 </w:t>
            </w:r>
          </w:p>
        </w:tc>
        <w:tc>
          <w:tcPr>
            <w:tcW w:w="0" w:type="auto"/>
            <w:shd w:val="clear" w:color="auto" w:fill="E2EFD9"/>
            <w:tcMar>
              <w:top w:w="40" w:type="dxa"/>
              <w:left w:w="0" w:type="dxa"/>
              <w:bottom w:w="40" w:type="dxa"/>
              <w:right w:w="20" w:type="dxa"/>
            </w:tcMar>
            <w:vAlign w:val="bottom"/>
          </w:tcPr>
          <w:p w14:paraId="540675AF"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5B0"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5B1"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5B2" w14:textId="77777777" w:rsidR="00611BDD" w:rsidRDefault="002E18C7">
            <w:pPr>
              <w:jc w:val="right"/>
              <w:textAlignment w:val="bottom"/>
            </w:pPr>
            <w:r>
              <w:rPr>
                <w:rFonts w:ascii="sans-serif" w:eastAsia="sans-serif" w:hAnsi="sans-serif" w:cs="sans-serif"/>
                <w:color w:val="000000"/>
                <w:sz w:val="20"/>
                <w:szCs w:val="20"/>
              </w:rPr>
              <w:t>1,654 </w:t>
            </w:r>
          </w:p>
        </w:tc>
        <w:tc>
          <w:tcPr>
            <w:tcW w:w="0" w:type="auto"/>
            <w:shd w:val="clear" w:color="auto" w:fill="E2EFD9"/>
            <w:tcMar>
              <w:top w:w="40" w:type="dxa"/>
              <w:left w:w="0" w:type="dxa"/>
              <w:bottom w:w="40" w:type="dxa"/>
              <w:right w:w="20" w:type="dxa"/>
            </w:tcMar>
            <w:vAlign w:val="bottom"/>
          </w:tcPr>
          <w:p w14:paraId="540675B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5B4"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5B5"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5B6" w14:textId="77777777" w:rsidR="00611BDD" w:rsidRDefault="002E18C7">
            <w:pPr>
              <w:jc w:val="right"/>
              <w:textAlignment w:val="bottom"/>
            </w:pPr>
            <w:r>
              <w:rPr>
                <w:rFonts w:ascii="sans-serif" w:eastAsia="sans-serif" w:hAnsi="sans-serif" w:cs="sans-serif"/>
                <w:color w:val="000000"/>
                <w:sz w:val="20"/>
                <w:szCs w:val="20"/>
              </w:rPr>
              <w:t>5,821 </w:t>
            </w:r>
          </w:p>
        </w:tc>
        <w:tc>
          <w:tcPr>
            <w:tcW w:w="0" w:type="auto"/>
            <w:shd w:val="clear" w:color="auto" w:fill="E2EFD9"/>
            <w:tcMar>
              <w:top w:w="40" w:type="dxa"/>
              <w:left w:w="0" w:type="dxa"/>
              <w:bottom w:w="40" w:type="dxa"/>
              <w:right w:w="20" w:type="dxa"/>
            </w:tcMar>
            <w:vAlign w:val="bottom"/>
          </w:tcPr>
          <w:p w14:paraId="540675B7"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5B8"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5B9"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5BA" w14:textId="77777777" w:rsidR="00611BDD" w:rsidRDefault="002E18C7">
            <w:pPr>
              <w:jc w:val="right"/>
              <w:textAlignment w:val="bottom"/>
            </w:pPr>
            <w:r>
              <w:rPr>
                <w:rFonts w:ascii="sans-serif" w:eastAsia="sans-serif" w:hAnsi="sans-serif" w:cs="sans-serif"/>
                <w:color w:val="000000"/>
                <w:sz w:val="20"/>
                <w:szCs w:val="20"/>
              </w:rPr>
              <w:t>2,993 </w:t>
            </w:r>
          </w:p>
        </w:tc>
        <w:tc>
          <w:tcPr>
            <w:tcW w:w="0" w:type="auto"/>
            <w:shd w:val="clear" w:color="auto" w:fill="E2EFD9"/>
            <w:tcMar>
              <w:top w:w="40" w:type="dxa"/>
              <w:left w:w="0" w:type="dxa"/>
              <w:bottom w:w="40" w:type="dxa"/>
              <w:right w:w="20" w:type="dxa"/>
            </w:tcMar>
            <w:vAlign w:val="bottom"/>
          </w:tcPr>
          <w:p w14:paraId="540675BB" w14:textId="77777777" w:rsidR="00611BDD" w:rsidRDefault="00611BDD">
            <w:pPr>
              <w:jc w:val="right"/>
              <w:rPr>
                <w:rFonts w:ascii="宋体"/>
              </w:rPr>
            </w:pPr>
          </w:p>
        </w:tc>
      </w:tr>
      <w:tr w:rsidR="00611BDD" w14:paraId="540675C9" w14:textId="77777777">
        <w:tc>
          <w:tcPr>
            <w:tcW w:w="0" w:type="auto"/>
            <w:gridSpan w:val="3"/>
            <w:shd w:val="clear" w:color="auto" w:fill="FFFFFF"/>
            <w:tcMar>
              <w:top w:w="40" w:type="dxa"/>
              <w:left w:w="245" w:type="dxa"/>
              <w:bottom w:w="40" w:type="dxa"/>
              <w:right w:w="20" w:type="dxa"/>
            </w:tcMar>
            <w:vAlign w:val="bottom"/>
          </w:tcPr>
          <w:p w14:paraId="540675BD" w14:textId="77777777" w:rsidR="00611BDD" w:rsidRDefault="002E18C7">
            <w:pPr>
              <w:textAlignment w:val="bottom"/>
            </w:pPr>
            <w:r>
              <w:rPr>
                <w:rFonts w:ascii="sans-serif" w:eastAsia="sans-serif" w:hAnsi="sans-serif" w:cs="sans-serif"/>
                <w:color w:val="000000"/>
                <w:sz w:val="20"/>
                <w:szCs w:val="20"/>
              </w:rPr>
              <w:t>Data Center</w:t>
            </w:r>
          </w:p>
        </w:tc>
        <w:tc>
          <w:tcPr>
            <w:tcW w:w="0" w:type="auto"/>
            <w:gridSpan w:val="2"/>
            <w:shd w:val="clear" w:color="auto" w:fill="FFFFFF"/>
            <w:tcMar>
              <w:top w:w="40" w:type="dxa"/>
              <w:left w:w="20" w:type="dxa"/>
              <w:bottom w:w="40" w:type="dxa"/>
              <w:right w:w="0" w:type="dxa"/>
            </w:tcMar>
            <w:vAlign w:val="bottom"/>
          </w:tcPr>
          <w:p w14:paraId="540675BE" w14:textId="77777777" w:rsidR="00611BDD" w:rsidRDefault="002E18C7">
            <w:pPr>
              <w:jc w:val="right"/>
              <w:textAlignment w:val="bottom"/>
            </w:pPr>
            <w:r>
              <w:rPr>
                <w:rFonts w:ascii="sans-serif" w:eastAsia="sans-serif" w:hAnsi="sans-serif" w:cs="sans-serif"/>
                <w:color w:val="000000"/>
                <w:sz w:val="20"/>
                <w:szCs w:val="20"/>
              </w:rPr>
              <w:t>2,366 </w:t>
            </w:r>
          </w:p>
        </w:tc>
        <w:tc>
          <w:tcPr>
            <w:tcW w:w="0" w:type="auto"/>
            <w:shd w:val="clear" w:color="auto" w:fill="FFFFFF"/>
            <w:tcMar>
              <w:top w:w="40" w:type="dxa"/>
              <w:left w:w="0" w:type="dxa"/>
              <w:bottom w:w="40" w:type="dxa"/>
              <w:right w:w="20" w:type="dxa"/>
            </w:tcMar>
            <w:vAlign w:val="bottom"/>
          </w:tcPr>
          <w:p w14:paraId="540675BF"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5C0"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5C1" w14:textId="77777777" w:rsidR="00611BDD" w:rsidRDefault="002E18C7">
            <w:pPr>
              <w:jc w:val="right"/>
              <w:textAlignment w:val="bottom"/>
            </w:pPr>
            <w:r>
              <w:rPr>
                <w:rFonts w:ascii="sans-serif" w:eastAsia="sans-serif" w:hAnsi="sans-serif" w:cs="sans-serif"/>
                <w:color w:val="000000"/>
                <w:sz w:val="20"/>
                <w:szCs w:val="20"/>
              </w:rPr>
              <w:t>1,752 </w:t>
            </w:r>
          </w:p>
        </w:tc>
        <w:tc>
          <w:tcPr>
            <w:tcW w:w="0" w:type="auto"/>
            <w:shd w:val="clear" w:color="auto" w:fill="FFFFFF"/>
            <w:tcMar>
              <w:top w:w="40" w:type="dxa"/>
              <w:left w:w="0" w:type="dxa"/>
              <w:bottom w:w="40" w:type="dxa"/>
              <w:right w:w="20" w:type="dxa"/>
            </w:tcMar>
            <w:vAlign w:val="bottom"/>
          </w:tcPr>
          <w:p w14:paraId="540675C2"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5C3"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5C4" w14:textId="77777777" w:rsidR="00611BDD" w:rsidRDefault="002E18C7">
            <w:pPr>
              <w:jc w:val="right"/>
              <w:textAlignment w:val="bottom"/>
            </w:pPr>
            <w:r>
              <w:rPr>
                <w:rFonts w:ascii="sans-serif" w:eastAsia="sans-serif" w:hAnsi="sans-serif" w:cs="sans-serif"/>
                <w:color w:val="000000"/>
                <w:sz w:val="20"/>
                <w:szCs w:val="20"/>
              </w:rPr>
              <w:t>4,414 </w:t>
            </w:r>
          </w:p>
        </w:tc>
        <w:tc>
          <w:tcPr>
            <w:tcW w:w="0" w:type="auto"/>
            <w:shd w:val="clear" w:color="auto" w:fill="FFFFFF"/>
            <w:tcMar>
              <w:top w:w="40" w:type="dxa"/>
              <w:left w:w="0" w:type="dxa"/>
              <w:bottom w:w="40" w:type="dxa"/>
              <w:right w:w="20" w:type="dxa"/>
            </w:tcMar>
            <w:vAlign w:val="bottom"/>
          </w:tcPr>
          <w:p w14:paraId="540675C5"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5C6"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5C7" w14:textId="77777777" w:rsidR="00611BDD" w:rsidRDefault="002E18C7">
            <w:pPr>
              <w:jc w:val="right"/>
              <w:textAlignment w:val="bottom"/>
            </w:pPr>
            <w:r>
              <w:rPr>
                <w:rFonts w:ascii="sans-serif" w:eastAsia="sans-serif" w:hAnsi="sans-serif" w:cs="sans-serif"/>
                <w:color w:val="000000"/>
                <w:sz w:val="20"/>
                <w:szCs w:val="20"/>
              </w:rPr>
              <w:t>2,893 </w:t>
            </w:r>
          </w:p>
        </w:tc>
        <w:tc>
          <w:tcPr>
            <w:tcW w:w="0" w:type="auto"/>
            <w:shd w:val="clear" w:color="auto" w:fill="FFFFFF"/>
            <w:tcMar>
              <w:top w:w="40" w:type="dxa"/>
              <w:left w:w="0" w:type="dxa"/>
              <w:bottom w:w="40" w:type="dxa"/>
              <w:right w:w="20" w:type="dxa"/>
            </w:tcMar>
            <w:vAlign w:val="bottom"/>
          </w:tcPr>
          <w:p w14:paraId="540675C8" w14:textId="77777777" w:rsidR="00611BDD" w:rsidRDefault="00611BDD">
            <w:pPr>
              <w:jc w:val="right"/>
              <w:rPr>
                <w:rFonts w:ascii="宋体"/>
              </w:rPr>
            </w:pPr>
          </w:p>
        </w:tc>
      </w:tr>
      <w:tr w:rsidR="00611BDD" w14:paraId="540675D6" w14:textId="77777777">
        <w:tc>
          <w:tcPr>
            <w:tcW w:w="0" w:type="auto"/>
            <w:gridSpan w:val="3"/>
            <w:shd w:val="clear" w:color="auto" w:fill="E2EFD9"/>
            <w:tcMar>
              <w:top w:w="40" w:type="dxa"/>
              <w:left w:w="245" w:type="dxa"/>
              <w:bottom w:w="40" w:type="dxa"/>
              <w:right w:w="20" w:type="dxa"/>
            </w:tcMar>
            <w:vAlign w:val="bottom"/>
          </w:tcPr>
          <w:p w14:paraId="540675CA" w14:textId="77777777" w:rsidR="00611BDD" w:rsidRDefault="002E18C7">
            <w:pPr>
              <w:textAlignment w:val="bottom"/>
            </w:pPr>
            <w:r>
              <w:rPr>
                <w:rFonts w:ascii="sans-serif" w:eastAsia="sans-serif" w:hAnsi="sans-serif" w:cs="sans-serif"/>
                <w:color w:val="000000"/>
                <w:sz w:val="20"/>
                <w:szCs w:val="20"/>
              </w:rPr>
              <w:t>Professional Visualization</w:t>
            </w:r>
          </w:p>
        </w:tc>
        <w:tc>
          <w:tcPr>
            <w:tcW w:w="0" w:type="auto"/>
            <w:gridSpan w:val="2"/>
            <w:shd w:val="clear" w:color="auto" w:fill="E2EFD9"/>
            <w:tcMar>
              <w:top w:w="40" w:type="dxa"/>
              <w:left w:w="20" w:type="dxa"/>
              <w:bottom w:w="40" w:type="dxa"/>
              <w:right w:w="0" w:type="dxa"/>
            </w:tcMar>
            <w:vAlign w:val="bottom"/>
          </w:tcPr>
          <w:p w14:paraId="540675CB" w14:textId="77777777" w:rsidR="00611BDD" w:rsidRDefault="002E18C7">
            <w:pPr>
              <w:jc w:val="right"/>
              <w:textAlignment w:val="bottom"/>
            </w:pPr>
            <w:r>
              <w:rPr>
                <w:rFonts w:ascii="sans-serif" w:eastAsia="sans-serif" w:hAnsi="sans-serif" w:cs="sans-serif"/>
                <w:color w:val="000000"/>
                <w:sz w:val="20"/>
                <w:szCs w:val="20"/>
              </w:rPr>
              <w:t>519 </w:t>
            </w:r>
          </w:p>
        </w:tc>
        <w:tc>
          <w:tcPr>
            <w:tcW w:w="0" w:type="auto"/>
            <w:shd w:val="clear" w:color="auto" w:fill="E2EFD9"/>
            <w:tcMar>
              <w:top w:w="40" w:type="dxa"/>
              <w:left w:w="0" w:type="dxa"/>
              <w:bottom w:w="40" w:type="dxa"/>
              <w:right w:w="20" w:type="dxa"/>
            </w:tcMar>
            <w:vAlign w:val="bottom"/>
          </w:tcPr>
          <w:p w14:paraId="540675CC"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5CD"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5CE" w14:textId="77777777" w:rsidR="00611BDD" w:rsidRDefault="002E18C7">
            <w:pPr>
              <w:jc w:val="right"/>
              <w:textAlignment w:val="bottom"/>
            </w:pPr>
            <w:r>
              <w:rPr>
                <w:rFonts w:ascii="sans-serif" w:eastAsia="sans-serif" w:hAnsi="sans-serif" w:cs="sans-serif"/>
                <w:color w:val="000000"/>
                <w:sz w:val="20"/>
                <w:szCs w:val="20"/>
              </w:rPr>
              <w:t>203 </w:t>
            </w:r>
          </w:p>
        </w:tc>
        <w:tc>
          <w:tcPr>
            <w:tcW w:w="0" w:type="auto"/>
            <w:shd w:val="clear" w:color="auto" w:fill="E2EFD9"/>
            <w:tcMar>
              <w:top w:w="40" w:type="dxa"/>
              <w:left w:w="0" w:type="dxa"/>
              <w:bottom w:w="40" w:type="dxa"/>
              <w:right w:w="20" w:type="dxa"/>
            </w:tcMar>
            <w:vAlign w:val="bottom"/>
          </w:tcPr>
          <w:p w14:paraId="540675CF"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5D0"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5D1" w14:textId="77777777" w:rsidR="00611BDD" w:rsidRDefault="002E18C7">
            <w:pPr>
              <w:jc w:val="right"/>
              <w:textAlignment w:val="bottom"/>
            </w:pPr>
            <w:r>
              <w:rPr>
                <w:rFonts w:ascii="sans-serif" w:eastAsia="sans-serif" w:hAnsi="sans-serif" w:cs="sans-serif"/>
                <w:color w:val="000000"/>
                <w:sz w:val="20"/>
                <w:szCs w:val="20"/>
              </w:rPr>
              <w:t>891 </w:t>
            </w:r>
          </w:p>
        </w:tc>
        <w:tc>
          <w:tcPr>
            <w:tcW w:w="0" w:type="auto"/>
            <w:shd w:val="clear" w:color="auto" w:fill="E2EFD9"/>
            <w:tcMar>
              <w:top w:w="40" w:type="dxa"/>
              <w:left w:w="0" w:type="dxa"/>
              <w:bottom w:w="40" w:type="dxa"/>
              <w:right w:w="20" w:type="dxa"/>
            </w:tcMar>
            <w:vAlign w:val="bottom"/>
          </w:tcPr>
          <w:p w14:paraId="540675D2"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5D3"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5D4" w14:textId="77777777" w:rsidR="00611BDD" w:rsidRDefault="002E18C7">
            <w:pPr>
              <w:jc w:val="right"/>
              <w:textAlignment w:val="bottom"/>
            </w:pPr>
            <w:r>
              <w:rPr>
                <w:rFonts w:ascii="sans-serif" w:eastAsia="sans-serif" w:hAnsi="sans-serif" w:cs="sans-serif"/>
                <w:color w:val="000000"/>
                <w:sz w:val="20"/>
                <w:szCs w:val="20"/>
              </w:rPr>
              <w:t>510 </w:t>
            </w:r>
          </w:p>
        </w:tc>
        <w:tc>
          <w:tcPr>
            <w:tcW w:w="0" w:type="auto"/>
            <w:shd w:val="clear" w:color="auto" w:fill="E2EFD9"/>
            <w:tcMar>
              <w:top w:w="40" w:type="dxa"/>
              <w:left w:w="0" w:type="dxa"/>
              <w:bottom w:w="40" w:type="dxa"/>
              <w:right w:w="20" w:type="dxa"/>
            </w:tcMar>
            <w:vAlign w:val="bottom"/>
          </w:tcPr>
          <w:p w14:paraId="540675D5" w14:textId="77777777" w:rsidR="00611BDD" w:rsidRDefault="00611BDD">
            <w:pPr>
              <w:jc w:val="right"/>
              <w:rPr>
                <w:rFonts w:ascii="宋体"/>
              </w:rPr>
            </w:pPr>
          </w:p>
        </w:tc>
      </w:tr>
      <w:tr w:rsidR="00611BDD" w14:paraId="540675E3" w14:textId="77777777">
        <w:tc>
          <w:tcPr>
            <w:tcW w:w="0" w:type="auto"/>
            <w:gridSpan w:val="3"/>
            <w:shd w:val="clear" w:color="auto" w:fill="FFFFFF"/>
            <w:tcMar>
              <w:top w:w="40" w:type="dxa"/>
              <w:left w:w="245" w:type="dxa"/>
              <w:bottom w:w="40" w:type="dxa"/>
              <w:right w:w="20" w:type="dxa"/>
            </w:tcMar>
            <w:vAlign w:val="bottom"/>
          </w:tcPr>
          <w:p w14:paraId="540675D7" w14:textId="77777777" w:rsidR="00611BDD" w:rsidRDefault="002E18C7">
            <w:pPr>
              <w:textAlignment w:val="bottom"/>
            </w:pPr>
            <w:r>
              <w:rPr>
                <w:rFonts w:ascii="sans-serif" w:eastAsia="sans-serif" w:hAnsi="sans-serif" w:cs="sans-serif"/>
                <w:color w:val="000000"/>
                <w:sz w:val="20"/>
                <w:szCs w:val="20"/>
              </w:rPr>
              <w:t>Automotive</w:t>
            </w:r>
          </w:p>
        </w:tc>
        <w:tc>
          <w:tcPr>
            <w:tcW w:w="0" w:type="auto"/>
            <w:gridSpan w:val="2"/>
            <w:shd w:val="clear" w:color="auto" w:fill="FFFFFF"/>
            <w:tcMar>
              <w:top w:w="40" w:type="dxa"/>
              <w:left w:w="20" w:type="dxa"/>
              <w:bottom w:w="40" w:type="dxa"/>
              <w:right w:w="0" w:type="dxa"/>
            </w:tcMar>
            <w:vAlign w:val="bottom"/>
          </w:tcPr>
          <w:p w14:paraId="540675D8" w14:textId="77777777" w:rsidR="00611BDD" w:rsidRDefault="002E18C7">
            <w:pPr>
              <w:jc w:val="right"/>
              <w:textAlignment w:val="bottom"/>
            </w:pPr>
            <w:r>
              <w:rPr>
                <w:rFonts w:ascii="sans-serif" w:eastAsia="sans-serif" w:hAnsi="sans-serif" w:cs="sans-serif"/>
                <w:color w:val="000000"/>
                <w:sz w:val="20"/>
                <w:szCs w:val="20"/>
              </w:rPr>
              <w:t>152 </w:t>
            </w:r>
          </w:p>
        </w:tc>
        <w:tc>
          <w:tcPr>
            <w:tcW w:w="0" w:type="auto"/>
            <w:shd w:val="clear" w:color="auto" w:fill="FFFFFF"/>
            <w:tcMar>
              <w:top w:w="40" w:type="dxa"/>
              <w:left w:w="0" w:type="dxa"/>
              <w:bottom w:w="40" w:type="dxa"/>
              <w:right w:w="20" w:type="dxa"/>
            </w:tcMar>
            <w:vAlign w:val="bottom"/>
          </w:tcPr>
          <w:p w14:paraId="540675D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5DA"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5DB" w14:textId="77777777" w:rsidR="00611BDD" w:rsidRDefault="002E18C7">
            <w:pPr>
              <w:jc w:val="right"/>
              <w:textAlignment w:val="bottom"/>
            </w:pPr>
            <w:r>
              <w:rPr>
                <w:rFonts w:ascii="sans-serif" w:eastAsia="sans-serif" w:hAnsi="sans-serif" w:cs="sans-serif"/>
                <w:color w:val="000000"/>
                <w:sz w:val="20"/>
                <w:szCs w:val="20"/>
              </w:rPr>
              <w:t>111 </w:t>
            </w:r>
          </w:p>
        </w:tc>
        <w:tc>
          <w:tcPr>
            <w:tcW w:w="0" w:type="auto"/>
            <w:shd w:val="clear" w:color="auto" w:fill="FFFFFF"/>
            <w:tcMar>
              <w:top w:w="40" w:type="dxa"/>
              <w:left w:w="0" w:type="dxa"/>
              <w:bottom w:w="40" w:type="dxa"/>
              <w:right w:w="20" w:type="dxa"/>
            </w:tcMar>
            <w:vAlign w:val="bottom"/>
          </w:tcPr>
          <w:p w14:paraId="540675DC"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5DD"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5DE" w14:textId="77777777" w:rsidR="00611BDD" w:rsidRDefault="002E18C7">
            <w:pPr>
              <w:jc w:val="right"/>
              <w:textAlignment w:val="bottom"/>
            </w:pPr>
            <w:r>
              <w:rPr>
                <w:rFonts w:ascii="sans-serif" w:eastAsia="sans-serif" w:hAnsi="sans-serif" w:cs="sans-serif"/>
                <w:color w:val="000000"/>
                <w:sz w:val="20"/>
                <w:szCs w:val="20"/>
              </w:rPr>
              <w:t>306 </w:t>
            </w:r>
          </w:p>
        </w:tc>
        <w:tc>
          <w:tcPr>
            <w:tcW w:w="0" w:type="auto"/>
            <w:shd w:val="clear" w:color="auto" w:fill="FFFFFF"/>
            <w:tcMar>
              <w:top w:w="40" w:type="dxa"/>
              <w:left w:w="0" w:type="dxa"/>
              <w:bottom w:w="40" w:type="dxa"/>
              <w:right w:w="20" w:type="dxa"/>
            </w:tcMar>
            <w:vAlign w:val="bottom"/>
          </w:tcPr>
          <w:p w14:paraId="540675DF"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5E0"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5E1" w14:textId="77777777" w:rsidR="00611BDD" w:rsidRDefault="002E18C7">
            <w:pPr>
              <w:jc w:val="right"/>
              <w:textAlignment w:val="bottom"/>
            </w:pPr>
            <w:r>
              <w:rPr>
                <w:rFonts w:ascii="sans-serif" w:eastAsia="sans-serif" w:hAnsi="sans-serif" w:cs="sans-serif"/>
                <w:color w:val="000000"/>
                <w:sz w:val="20"/>
                <w:szCs w:val="20"/>
              </w:rPr>
              <w:t>266 </w:t>
            </w:r>
          </w:p>
        </w:tc>
        <w:tc>
          <w:tcPr>
            <w:tcW w:w="0" w:type="auto"/>
            <w:shd w:val="clear" w:color="auto" w:fill="FFFFFF"/>
            <w:tcMar>
              <w:top w:w="40" w:type="dxa"/>
              <w:left w:w="0" w:type="dxa"/>
              <w:bottom w:w="40" w:type="dxa"/>
              <w:right w:w="20" w:type="dxa"/>
            </w:tcMar>
            <w:vAlign w:val="bottom"/>
          </w:tcPr>
          <w:p w14:paraId="540675E2" w14:textId="77777777" w:rsidR="00611BDD" w:rsidRDefault="00611BDD">
            <w:pPr>
              <w:jc w:val="right"/>
              <w:rPr>
                <w:rFonts w:ascii="宋体"/>
              </w:rPr>
            </w:pPr>
          </w:p>
        </w:tc>
      </w:tr>
      <w:tr w:rsidR="00611BDD" w14:paraId="540675F0" w14:textId="77777777">
        <w:tc>
          <w:tcPr>
            <w:tcW w:w="0" w:type="auto"/>
            <w:gridSpan w:val="3"/>
            <w:shd w:val="clear" w:color="auto" w:fill="E2EFD9"/>
            <w:tcMar>
              <w:top w:w="40" w:type="dxa"/>
              <w:left w:w="245" w:type="dxa"/>
              <w:bottom w:w="40" w:type="dxa"/>
              <w:right w:w="20" w:type="dxa"/>
            </w:tcMar>
            <w:vAlign w:val="bottom"/>
          </w:tcPr>
          <w:p w14:paraId="540675E4" w14:textId="77777777" w:rsidR="00611BDD" w:rsidRDefault="002E18C7">
            <w:pPr>
              <w:textAlignment w:val="bottom"/>
            </w:pPr>
            <w:r>
              <w:rPr>
                <w:rFonts w:ascii="sans-serif" w:eastAsia="sans-serif" w:hAnsi="sans-serif" w:cs="sans-serif"/>
                <w:color w:val="000000"/>
                <w:sz w:val="20"/>
                <w:szCs w:val="20"/>
              </w:rPr>
              <w:t>OEM and Other</w:t>
            </w:r>
          </w:p>
        </w:tc>
        <w:tc>
          <w:tcPr>
            <w:tcW w:w="0" w:type="auto"/>
            <w:gridSpan w:val="2"/>
            <w:shd w:val="clear" w:color="auto" w:fill="E2EFD9"/>
            <w:tcMar>
              <w:top w:w="40" w:type="dxa"/>
              <w:left w:w="20" w:type="dxa"/>
              <w:bottom w:w="40" w:type="dxa"/>
              <w:right w:w="0" w:type="dxa"/>
            </w:tcMar>
            <w:vAlign w:val="bottom"/>
          </w:tcPr>
          <w:p w14:paraId="540675E5" w14:textId="77777777" w:rsidR="00611BDD" w:rsidRDefault="002E18C7">
            <w:pPr>
              <w:jc w:val="right"/>
              <w:textAlignment w:val="bottom"/>
            </w:pPr>
            <w:r>
              <w:rPr>
                <w:rFonts w:ascii="sans-serif" w:eastAsia="sans-serif" w:hAnsi="sans-serif" w:cs="sans-serif"/>
                <w:color w:val="000000"/>
                <w:sz w:val="20"/>
                <w:szCs w:val="20"/>
              </w:rPr>
              <w:t>409 </w:t>
            </w:r>
          </w:p>
        </w:tc>
        <w:tc>
          <w:tcPr>
            <w:tcW w:w="0" w:type="auto"/>
            <w:shd w:val="clear" w:color="auto" w:fill="E2EFD9"/>
            <w:tcMar>
              <w:top w:w="40" w:type="dxa"/>
              <w:left w:w="0" w:type="dxa"/>
              <w:bottom w:w="40" w:type="dxa"/>
              <w:right w:w="20" w:type="dxa"/>
            </w:tcMar>
            <w:vAlign w:val="bottom"/>
          </w:tcPr>
          <w:p w14:paraId="540675E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5E7"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5E8" w14:textId="77777777" w:rsidR="00611BDD" w:rsidRDefault="002E18C7">
            <w:pPr>
              <w:jc w:val="right"/>
              <w:textAlignment w:val="bottom"/>
            </w:pPr>
            <w:r>
              <w:rPr>
                <w:rFonts w:ascii="sans-serif" w:eastAsia="sans-serif" w:hAnsi="sans-serif" w:cs="sans-serif"/>
                <w:color w:val="000000"/>
                <w:sz w:val="20"/>
                <w:szCs w:val="20"/>
              </w:rPr>
              <w:t>146 </w:t>
            </w:r>
          </w:p>
        </w:tc>
        <w:tc>
          <w:tcPr>
            <w:tcW w:w="0" w:type="auto"/>
            <w:shd w:val="clear" w:color="auto" w:fill="E2EFD9"/>
            <w:tcMar>
              <w:top w:w="40" w:type="dxa"/>
              <w:left w:w="0" w:type="dxa"/>
              <w:bottom w:w="40" w:type="dxa"/>
              <w:right w:w="20" w:type="dxa"/>
            </w:tcMar>
            <w:vAlign w:val="bottom"/>
          </w:tcPr>
          <w:p w14:paraId="540675E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5EA"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5EB" w14:textId="77777777" w:rsidR="00611BDD" w:rsidRDefault="002E18C7">
            <w:pPr>
              <w:jc w:val="right"/>
              <w:textAlignment w:val="bottom"/>
            </w:pPr>
            <w:r>
              <w:rPr>
                <w:rFonts w:ascii="sans-serif" w:eastAsia="sans-serif" w:hAnsi="sans-serif" w:cs="sans-serif"/>
                <w:color w:val="000000"/>
                <w:sz w:val="20"/>
                <w:szCs w:val="20"/>
              </w:rPr>
              <w:t>736 </w:t>
            </w:r>
          </w:p>
        </w:tc>
        <w:tc>
          <w:tcPr>
            <w:tcW w:w="0" w:type="auto"/>
            <w:shd w:val="clear" w:color="auto" w:fill="E2EFD9"/>
            <w:tcMar>
              <w:top w:w="40" w:type="dxa"/>
              <w:left w:w="0" w:type="dxa"/>
              <w:bottom w:w="40" w:type="dxa"/>
              <w:right w:w="20" w:type="dxa"/>
            </w:tcMar>
            <w:vAlign w:val="bottom"/>
          </w:tcPr>
          <w:p w14:paraId="540675EC"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5ED"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5EE" w14:textId="77777777" w:rsidR="00611BDD" w:rsidRDefault="002E18C7">
            <w:pPr>
              <w:jc w:val="right"/>
              <w:textAlignment w:val="bottom"/>
            </w:pPr>
            <w:r>
              <w:rPr>
                <w:rFonts w:ascii="sans-serif" w:eastAsia="sans-serif" w:hAnsi="sans-serif" w:cs="sans-serif"/>
                <w:color w:val="000000"/>
                <w:sz w:val="20"/>
                <w:szCs w:val="20"/>
              </w:rPr>
              <w:t>284 </w:t>
            </w:r>
          </w:p>
        </w:tc>
        <w:tc>
          <w:tcPr>
            <w:tcW w:w="0" w:type="auto"/>
            <w:shd w:val="clear" w:color="auto" w:fill="E2EFD9"/>
            <w:tcMar>
              <w:top w:w="40" w:type="dxa"/>
              <w:left w:w="0" w:type="dxa"/>
              <w:bottom w:w="40" w:type="dxa"/>
              <w:right w:w="20" w:type="dxa"/>
            </w:tcMar>
            <w:vAlign w:val="bottom"/>
          </w:tcPr>
          <w:p w14:paraId="540675EF" w14:textId="77777777" w:rsidR="00611BDD" w:rsidRDefault="00611BDD">
            <w:pPr>
              <w:jc w:val="right"/>
              <w:rPr>
                <w:rFonts w:ascii="宋体"/>
              </w:rPr>
            </w:pPr>
          </w:p>
        </w:tc>
      </w:tr>
      <w:tr w:rsidR="00611BDD" w14:paraId="54067601" w14:textId="77777777">
        <w:tc>
          <w:tcPr>
            <w:tcW w:w="0" w:type="auto"/>
            <w:gridSpan w:val="3"/>
            <w:shd w:val="clear" w:color="auto" w:fill="FFFFFF"/>
            <w:tcMar>
              <w:top w:w="40" w:type="dxa"/>
              <w:left w:w="20" w:type="dxa"/>
              <w:bottom w:w="40" w:type="dxa"/>
              <w:right w:w="20" w:type="dxa"/>
            </w:tcMar>
            <w:vAlign w:val="bottom"/>
          </w:tcPr>
          <w:p w14:paraId="540675F1" w14:textId="77777777" w:rsidR="00611BDD" w:rsidRDefault="002E18C7">
            <w:pPr>
              <w:textAlignment w:val="bottom"/>
            </w:pPr>
            <w:r>
              <w:rPr>
                <w:rFonts w:ascii="sans-serif" w:eastAsia="sans-serif" w:hAnsi="sans-serif" w:cs="sans-serif"/>
                <w:color w:val="000000"/>
                <w:sz w:val="20"/>
                <w:szCs w:val="20"/>
              </w:rPr>
              <w:t>Total revenue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40675F2"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40675F3" w14:textId="77777777" w:rsidR="00611BDD" w:rsidRDefault="002E18C7">
            <w:pPr>
              <w:jc w:val="right"/>
              <w:textAlignment w:val="bottom"/>
            </w:pPr>
            <w:r>
              <w:rPr>
                <w:rFonts w:ascii="sans-serif" w:eastAsia="sans-serif" w:hAnsi="sans-serif" w:cs="sans-serif"/>
                <w:color w:val="000000"/>
                <w:sz w:val="20"/>
                <w:szCs w:val="20"/>
              </w:rPr>
              <w:t>6,507 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40675F4"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5F5" w14:textId="77777777" w:rsidR="00611BDD" w:rsidRDefault="00611BD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40675F6"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40675F7" w14:textId="77777777" w:rsidR="00611BDD" w:rsidRDefault="002E18C7">
            <w:pPr>
              <w:jc w:val="right"/>
              <w:textAlignment w:val="bottom"/>
            </w:pPr>
            <w:r>
              <w:rPr>
                <w:rFonts w:ascii="sans-serif" w:eastAsia="sans-serif" w:hAnsi="sans-serif" w:cs="sans-serif"/>
                <w:color w:val="000000"/>
                <w:sz w:val="20"/>
                <w:szCs w:val="20"/>
              </w:rPr>
              <w:t>3,866 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40675F8"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5F9" w14:textId="77777777" w:rsidR="00611BDD" w:rsidRDefault="00611BD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40675FA"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40675FB" w14:textId="77777777" w:rsidR="00611BDD" w:rsidRDefault="002E18C7">
            <w:pPr>
              <w:jc w:val="right"/>
              <w:textAlignment w:val="bottom"/>
            </w:pPr>
            <w:r>
              <w:rPr>
                <w:rFonts w:ascii="sans-serif" w:eastAsia="sans-serif" w:hAnsi="sans-serif" w:cs="sans-serif"/>
                <w:color w:val="000000"/>
                <w:sz w:val="20"/>
                <w:szCs w:val="20"/>
              </w:rPr>
              <w:t>12,168 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40675FC"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5FD" w14:textId="77777777" w:rsidR="00611BDD" w:rsidRDefault="00611BD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40675FE"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40675FF" w14:textId="77777777" w:rsidR="00611BDD" w:rsidRDefault="002E18C7">
            <w:pPr>
              <w:jc w:val="right"/>
              <w:textAlignment w:val="bottom"/>
            </w:pPr>
            <w:r>
              <w:rPr>
                <w:rFonts w:ascii="sans-serif" w:eastAsia="sans-serif" w:hAnsi="sans-serif" w:cs="sans-serif"/>
                <w:color w:val="000000"/>
                <w:sz w:val="20"/>
                <w:szCs w:val="20"/>
              </w:rPr>
              <w:t>6,946 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4067600" w14:textId="77777777" w:rsidR="00611BDD" w:rsidRDefault="00611BDD">
            <w:pPr>
              <w:jc w:val="right"/>
              <w:rPr>
                <w:rFonts w:ascii="宋体"/>
              </w:rPr>
            </w:pPr>
          </w:p>
        </w:tc>
      </w:tr>
    </w:tbl>
    <w:p w14:paraId="54067602" w14:textId="77777777" w:rsidR="00611BDD" w:rsidRDefault="002E18C7">
      <w:pPr>
        <w:spacing w:before="180" w:after="180"/>
        <w:jc w:val="both"/>
      </w:pPr>
      <w:r>
        <w:rPr>
          <w:rFonts w:ascii="sans-serif" w:eastAsia="sans-serif" w:hAnsi="sans-serif" w:cs="sans-serif"/>
          <w:color w:val="000000"/>
          <w:sz w:val="20"/>
          <w:szCs w:val="20"/>
        </w:rPr>
        <w:t>No customer represented 10% or more of total revenue for the second quarter and first half of fiscal years 2022</w:t>
      </w:r>
      <w:r>
        <w:rPr>
          <w:rFonts w:ascii="sans-serif" w:eastAsia="sans-serif" w:hAnsi="sans-serif" w:cs="sans-serif"/>
          <w:color w:val="000000"/>
          <w:sz w:val="20"/>
          <w:szCs w:val="20"/>
        </w:rPr>
        <w:t xml:space="preserve"> or 2021.</w:t>
      </w:r>
    </w:p>
    <w:p w14:paraId="54067603" w14:textId="77777777" w:rsidR="00611BDD" w:rsidRDefault="002E18C7">
      <w:pPr>
        <w:spacing w:after="180"/>
        <w:jc w:val="both"/>
      </w:pPr>
      <w:r>
        <w:rPr>
          <w:rFonts w:ascii="sans-serif" w:eastAsia="sans-serif" w:hAnsi="sans-serif" w:cs="sans-serif"/>
          <w:color w:val="000000"/>
          <w:sz w:val="20"/>
          <w:szCs w:val="20"/>
        </w:rPr>
        <w:t>One customer represented 13% and 16% of our accounts receivable balance as of August 1, 2021 and January 31, 2021, respectively.</w:t>
      </w:r>
    </w:p>
    <w:p w14:paraId="54067604" w14:textId="77777777" w:rsidR="00611BDD" w:rsidRDefault="002E18C7">
      <w:pPr>
        <w:spacing w:after="180"/>
        <w:jc w:val="center"/>
      </w:pPr>
      <w:r>
        <w:rPr>
          <w:rFonts w:ascii="sans-serif" w:eastAsia="sans-serif" w:hAnsi="sans-serif" w:cs="sans-serif"/>
          <w:color w:val="000000"/>
          <w:sz w:val="20"/>
          <w:szCs w:val="20"/>
        </w:rPr>
        <w:t>23</w:t>
      </w:r>
    </w:p>
    <w:p w14:paraId="54067605" w14:textId="77777777" w:rsidR="00611BDD" w:rsidRDefault="002E18C7">
      <w:r>
        <w:pict w14:anchorId="54067C3B">
          <v:rect id="_x0000_i1047" style="width:415.3pt;height:1.5pt" o:hralign="center" o:hrstd="t" o:hr="t" fillcolor="#a0a0a0" stroked="f"/>
        </w:pict>
      </w:r>
    </w:p>
    <w:p w14:paraId="54067606" w14:textId="77777777" w:rsidR="00611BDD" w:rsidRDefault="00611BDD">
      <w:pPr>
        <w:spacing w:after="180"/>
        <w:jc w:val="both"/>
      </w:pPr>
    </w:p>
    <w:p w14:paraId="54067607" w14:textId="77777777" w:rsidR="00611BDD" w:rsidRDefault="00611BDD">
      <w:pPr>
        <w:spacing w:after="180"/>
        <w:jc w:val="both"/>
      </w:pPr>
    </w:p>
    <w:p w14:paraId="54067608" w14:textId="77777777" w:rsidR="00611BDD" w:rsidRDefault="00611BDD">
      <w:pPr>
        <w:spacing w:after="180"/>
        <w:jc w:val="both"/>
      </w:pPr>
    </w:p>
    <w:p w14:paraId="54067609" w14:textId="77777777" w:rsidR="00611BDD" w:rsidRDefault="002E18C7">
      <w:pPr>
        <w:spacing w:before="240" w:after="120"/>
        <w:jc w:val="both"/>
      </w:pPr>
      <w:r>
        <w:rPr>
          <w:rFonts w:ascii="sans-serif" w:eastAsia="sans-serif" w:hAnsi="sans-serif" w:cs="sans-serif"/>
          <w:b/>
          <w:bCs/>
          <w:color w:val="76B900"/>
          <w:sz w:val="22"/>
          <w:szCs w:val="22"/>
        </w:rPr>
        <w:t>ITEM 2. MANAGEMENT’S DISCUSSION AND ANALYSIS OF FINANCIAL CONDITION AND RESULTS OF OPERATIONS</w:t>
      </w:r>
    </w:p>
    <w:p w14:paraId="5406760A" w14:textId="77777777" w:rsidR="00611BDD" w:rsidRDefault="002E18C7">
      <w:pPr>
        <w:spacing w:before="120" w:after="60"/>
        <w:jc w:val="both"/>
      </w:pPr>
      <w:r>
        <w:rPr>
          <w:rFonts w:ascii="sans-serif" w:eastAsia="sans-serif" w:hAnsi="sans-serif" w:cs="sans-serif"/>
          <w:b/>
          <w:bCs/>
          <w:color w:val="76B900"/>
          <w:sz w:val="20"/>
          <w:szCs w:val="20"/>
        </w:rPr>
        <w:t>Forward-Looking Statements</w:t>
      </w:r>
      <w:r>
        <w:rPr>
          <w:rFonts w:ascii="sans-serif" w:eastAsia="sans-serif" w:hAnsi="sans-serif" w:cs="sans-serif"/>
          <w:i/>
          <w:iCs/>
          <w:color w:val="000000"/>
          <w:sz w:val="20"/>
          <w:szCs w:val="20"/>
        </w:rPr>
        <w:t> </w:t>
      </w:r>
    </w:p>
    <w:p w14:paraId="5406760B" w14:textId="77777777" w:rsidR="00611BDD" w:rsidRDefault="002E18C7">
      <w:pPr>
        <w:spacing w:after="180"/>
        <w:jc w:val="both"/>
      </w:pPr>
      <w:r>
        <w:rPr>
          <w:rFonts w:ascii="sans-serif" w:eastAsia="sans-serif" w:hAnsi="sans-serif" w:cs="sans-serif"/>
          <w:i/>
          <w:iCs/>
          <w:color w:val="000000"/>
          <w:sz w:val="20"/>
          <w:szCs w:val="20"/>
        </w:rPr>
        <w:t>This Quarterly Report on Form 10-Q contains forward-looking statements within the meaning of Section 27A of the Securities Act of 1933, as amended, and Section 21E of the Securities Exchange Act of 1934, as amended, which are su</w:t>
      </w:r>
      <w:r>
        <w:rPr>
          <w:rFonts w:ascii="sans-serif" w:eastAsia="sans-serif" w:hAnsi="sans-serif" w:cs="sans-serif"/>
          <w:i/>
          <w:iCs/>
          <w:color w:val="000000"/>
          <w:sz w:val="20"/>
          <w:szCs w:val="20"/>
        </w:rPr>
        <w:t>bject to the “safe harbor” created by those sections. Forward-looking statements are based on our management’s beliefs and assumptions and on information currently available to our management. In some cases, you can identify forward-looking statements by t</w:t>
      </w:r>
      <w:r>
        <w:rPr>
          <w:rFonts w:ascii="sans-serif" w:eastAsia="sans-serif" w:hAnsi="sans-serif" w:cs="sans-serif"/>
          <w:i/>
          <w:iCs/>
          <w:color w:val="000000"/>
          <w:sz w:val="20"/>
          <w:szCs w:val="20"/>
        </w:rPr>
        <w:t>erms such as “may,” “will,” “should,” “could,” “goal,” “would,” “expect,” “plan,” “anticipate,” “believe,” “estimate,” “project,” “predict,” “potential” and similar expressions intended to identify forward-looking statements. Other statements in this Quart</w:t>
      </w:r>
      <w:r>
        <w:rPr>
          <w:rFonts w:ascii="sans-serif" w:eastAsia="sans-serif" w:hAnsi="sans-serif" w:cs="sans-serif"/>
          <w:i/>
          <w:iCs/>
          <w:color w:val="000000"/>
          <w:sz w:val="20"/>
          <w:szCs w:val="20"/>
        </w:rPr>
        <w:t>erly Report on Form 10-Q regarding the potential future impact of the COVID-19 pandemic on the Company’s business and results of operations are forward-looking statements. These statements involve known and unknown risks, uncertainties and other factors, w</w:t>
      </w:r>
      <w:r>
        <w:rPr>
          <w:rFonts w:ascii="sans-serif" w:eastAsia="sans-serif" w:hAnsi="sans-serif" w:cs="sans-serif"/>
          <w:i/>
          <w:iCs/>
          <w:color w:val="000000"/>
          <w:sz w:val="20"/>
          <w:szCs w:val="20"/>
        </w:rPr>
        <w:t>hich may cause our actual results, performance, time frames or achievements to be materially different from any future results, performance, time frames or achievements expressed or implied by the forward-looking statements. We discuss many of these risks,</w:t>
      </w:r>
      <w:r>
        <w:rPr>
          <w:rFonts w:ascii="sans-serif" w:eastAsia="sans-serif" w:hAnsi="sans-serif" w:cs="sans-serif"/>
          <w:i/>
          <w:iCs/>
          <w:color w:val="000000"/>
          <w:sz w:val="20"/>
          <w:szCs w:val="20"/>
        </w:rPr>
        <w:t xml:space="preserve"> uncertainties and other factors in this Quarterly Report on Form 10-Q and in our Annual Report on Form 10-K for the fiscal year ended January 31, 2021 in greater detail under the heading “Risk Factors” of such reports. Given these risks, uncertainties and</w:t>
      </w:r>
      <w:r>
        <w:rPr>
          <w:rFonts w:ascii="sans-serif" w:eastAsia="sans-serif" w:hAnsi="sans-serif" w:cs="sans-serif"/>
          <w:i/>
          <w:iCs/>
          <w:color w:val="000000"/>
          <w:sz w:val="20"/>
          <w:szCs w:val="20"/>
        </w:rPr>
        <w:t xml:space="preserve"> other factors, you should not place undue reliance on these forward-looking statements. Also, these forward-looking statements represent our estimates and assumptions only as of the date of this filing. You should read this Quarterly Report on Form 10-Q c</w:t>
      </w:r>
      <w:r>
        <w:rPr>
          <w:rFonts w:ascii="sans-serif" w:eastAsia="sans-serif" w:hAnsi="sans-serif" w:cs="sans-serif"/>
          <w:i/>
          <w:iCs/>
          <w:color w:val="000000"/>
          <w:sz w:val="20"/>
          <w:szCs w:val="20"/>
        </w:rPr>
        <w:t>ompletely and with the understanding that our actual future results may be materially different from what we expect. We hereby qualify our forward-looking statements by these cautionary statements. Except as required by law, we assume no obligation to upda</w:t>
      </w:r>
      <w:r>
        <w:rPr>
          <w:rFonts w:ascii="sans-serif" w:eastAsia="sans-serif" w:hAnsi="sans-serif" w:cs="sans-serif"/>
          <w:i/>
          <w:iCs/>
          <w:color w:val="000000"/>
          <w:sz w:val="20"/>
          <w:szCs w:val="20"/>
        </w:rPr>
        <w:t>te these forward-looking statements publicly, or to update the reasons actual results could differ materially from those anticipated in these forward-looking statements, even if new information becomes available in the future.</w:t>
      </w:r>
    </w:p>
    <w:p w14:paraId="5406760C" w14:textId="77777777" w:rsidR="00611BDD" w:rsidRDefault="002E18C7">
      <w:pPr>
        <w:spacing w:after="180"/>
        <w:jc w:val="both"/>
      </w:pPr>
      <w:r>
        <w:rPr>
          <w:rFonts w:ascii="sans-serif" w:eastAsia="sans-serif" w:hAnsi="sans-serif" w:cs="sans-serif"/>
          <w:color w:val="000000"/>
          <w:sz w:val="20"/>
          <w:szCs w:val="20"/>
        </w:rPr>
        <w:t>All references to “NVIDIA,” “</w:t>
      </w:r>
      <w:r>
        <w:rPr>
          <w:rFonts w:ascii="sans-serif" w:eastAsia="sans-serif" w:hAnsi="sans-serif" w:cs="sans-serif"/>
          <w:color w:val="000000"/>
          <w:sz w:val="20"/>
          <w:szCs w:val="20"/>
        </w:rPr>
        <w:t>we,” “us,” “our” or the “Company” mean NVIDIA Corporation and its subsidiaries.</w:t>
      </w:r>
    </w:p>
    <w:p w14:paraId="5406760D" w14:textId="77777777" w:rsidR="00611BDD" w:rsidRDefault="002E18C7">
      <w:pPr>
        <w:spacing w:after="180"/>
        <w:jc w:val="both"/>
      </w:pPr>
      <w:r>
        <w:rPr>
          <w:rFonts w:ascii="sans-serif" w:eastAsia="sans-serif" w:hAnsi="sans-serif" w:cs="sans-serif"/>
          <w:color w:val="000000"/>
          <w:sz w:val="20"/>
          <w:szCs w:val="20"/>
        </w:rPr>
        <w:t xml:space="preserve">NVIDIA, the NVIDIA logo, GeForce, GeForce NOW, GeForce RTX, Mellanox, NVIDIA Base Command, NVIDIA DRIVE, NVIDIA Fleet Command, NVIDIA Omniverse, NVIDIA RTX, Quadro, Quadro RTX </w:t>
      </w:r>
      <w:r>
        <w:rPr>
          <w:rFonts w:ascii="sans-serif" w:eastAsia="sans-serif" w:hAnsi="sans-serif" w:cs="sans-serif"/>
          <w:color w:val="000000"/>
          <w:sz w:val="20"/>
          <w:szCs w:val="20"/>
        </w:rPr>
        <w:t>and Tensor RT are trademarks and/or registered trademarks of NVIDIA Corporation in the United States and/or other countries. Other company and product names may be trademarks of the respective companies with which they are associated. Features, pricing, av</w:t>
      </w:r>
      <w:r>
        <w:rPr>
          <w:rFonts w:ascii="sans-serif" w:eastAsia="sans-serif" w:hAnsi="sans-serif" w:cs="sans-serif"/>
          <w:color w:val="000000"/>
          <w:sz w:val="20"/>
          <w:szCs w:val="20"/>
        </w:rPr>
        <w:t>ailability, and specifications are subject to change without notice.</w:t>
      </w:r>
    </w:p>
    <w:p w14:paraId="5406760E" w14:textId="77777777" w:rsidR="00611BDD" w:rsidRDefault="002E18C7">
      <w:pPr>
        <w:spacing w:after="180"/>
        <w:jc w:val="both"/>
      </w:pPr>
      <w:r>
        <w:rPr>
          <w:rFonts w:ascii="sans-serif" w:eastAsia="sans-serif" w:hAnsi="sans-serif" w:cs="sans-serif"/>
          <w:color w:val="000000"/>
          <w:sz w:val="20"/>
          <w:szCs w:val="20"/>
        </w:rPr>
        <w:t xml:space="preserve">The following discussion and analysis of our financial condition and results of operations should be read in conjunction with the risk factors set forth in Item 1A. “Risk Factors” of our </w:t>
      </w:r>
      <w:r>
        <w:rPr>
          <w:rFonts w:ascii="sans-serif" w:eastAsia="sans-serif" w:hAnsi="sans-serif" w:cs="sans-serif"/>
          <w:color w:val="000000"/>
          <w:sz w:val="20"/>
          <w:szCs w:val="20"/>
        </w:rPr>
        <w:t>Annual Report on Form 10-K for the fiscal year ended January 31, 2021 and Part II, Item 1A. “Risk Factors” of this Quarterly Report on Form 10-Q and our Condensed Consolidated Financial Statements and related Notes thereto, as well as other cautionary stat</w:t>
      </w:r>
      <w:r>
        <w:rPr>
          <w:rFonts w:ascii="sans-serif" w:eastAsia="sans-serif" w:hAnsi="sans-serif" w:cs="sans-serif"/>
          <w:color w:val="000000"/>
          <w:sz w:val="20"/>
          <w:szCs w:val="20"/>
        </w:rPr>
        <w:t>ements and risks described elsewhere in this Quarterly Report on Form 10-Q, before deciding to purchase or sell shares of our common stock.</w:t>
      </w:r>
    </w:p>
    <w:p w14:paraId="5406760F" w14:textId="77777777" w:rsidR="00611BDD" w:rsidRDefault="002E18C7">
      <w:pPr>
        <w:spacing w:before="60" w:after="60"/>
        <w:jc w:val="both"/>
      </w:pPr>
      <w:r>
        <w:rPr>
          <w:rFonts w:ascii="sans-serif" w:eastAsia="sans-serif" w:hAnsi="sans-serif" w:cs="sans-serif"/>
          <w:b/>
          <w:bCs/>
          <w:color w:val="76B900"/>
          <w:sz w:val="20"/>
          <w:szCs w:val="20"/>
        </w:rPr>
        <w:t>Overview</w:t>
      </w:r>
    </w:p>
    <w:p w14:paraId="54067610" w14:textId="77777777" w:rsidR="00611BDD" w:rsidRDefault="002E18C7">
      <w:pPr>
        <w:spacing w:before="120" w:after="120"/>
        <w:jc w:val="both"/>
      </w:pPr>
      <w:r>
        <w:rPr>
          <w:rFonts w:ascii="sans-serif" w:eastAsia="sans-serif" w:hAnsi="sans-serif" w:cs="sans-serif"/>
          <w:b/>
          <w:bCs/>
          <w:color w:val="000000"/>
          <w:sz w:val="20"/>
          <w:szCs w:val="20"/>
        </w:rPr>
        <w:t>Our Company and Our Businesses</w:t>
      </w:r>
    </w:p>
    <w:p w14:paraId="54067611" w14:textId="77777777" w:rsidR="00611BDD" w:rsidRDefault="002E18C7">
      <w:pPr>
        <w:spacing w:after="180"/>
        <w:jc w:val="both"/>
      </w:pPr>
      <w:r>
        <w:rPr>
          <w:rFonts w:ascii="sans-serif" w:eastAsia="sans-serif" w:hAnsi="sans-serif" w:cs="sans-serif"/>
          <w:color w:val="000000"/>
          <w:sz w:val="20"/>
          <w:szCs w:val="20"/>
        </w:rPr>
        <w:t>NVIDIA pioneered accelerated computing to help solve the most challenging co</w:t>
      </w:r>
      <w:r>
        <w:rPr>
          <w:rFonts w:ascii="sans-serif" w:eastAsia="sans-serif" w:hAnsi="sans-serif" w:cs="sans-serif"/>
          <w:color w:val="000000"/>
          <w:sz w:val="20"/>
          <w:szCs w:val="20"/>
        </w:rPr>
        <w:t>mputational problems. Since our original focus on PC graphics, we have expanded to several other large and important computationally intensive fields. Fueled by the sustained demand for exceptional 3D graphics and the scale of the gaming market, NVIDIA has</w:t>
      </w:r>
      <w:r>
        <w:rPr>
          <w:rFonts w:ascii="sans-serif" w:eastAsia="sans-serif" w:hAnsi="sans-serif" w:cs="sans-serif"/>
          <w:color w:val="000000"/>
          <w:sz w:val="20"/>
          <w:szCs w:val="20"/>
        </w:rPr>
        <w:t xml:space="preserve"> leveraged its GPU architecture to create platforms for scientific computing, AI, data science, autonomous vehicles, or AV, robotics, and augmented and virtual reality, or AR and VR.</w:t>
      </w:r>
    </w:p>
    <w:p w14:paraId="54067612" w14:textId="77777777" w:rsidR="00611BDD" w:rsidRDefault="002E18C7">
      <w:pPr>
        <w:spacing w:after="180"/>
        <w:jc w:val="both"/>
      </w:pPr>
      <w:r>
        <w:rPr>
          <w:rFonts w:ascii="sans-serif" w:eastAsia="sans-serif" w:hAnsi="sans-serif" w:cs="sans-serif"/>
          <w:color w:val="000000"/>
          <w:sz w:val="20"/>
          <w:szCs w:val="20"/>
        </w:rPr>
        <w:t xml:space="preserve">Our two operating segments are "Graphics" and "Compute &amp; Networking," as </w:t>
      </w:r>
      <w:r>
        <w:rPr>
          <w:rFonts w:ascii="sans-serif" w:eastAsia="sans-serif" w:hAnsi="sans-serif" w:cs="sans-serif"/>
          <w:color w:val="000000"/>
          <w:sz w:val="20"/>
          <w:szCs w:val="20"/>
        </w:rPr>
        <w:t xml:space="preserve">described in Note 15 of the Notes to Condensed Consolidated Financial Statements. </w:t>
      </w:r>
    </w:p>
    <w:p w14:paraId="54067613" w14:textId="77777777" w:rsidR="00611BDD" w:rsidRDefault="002E18C7">
      <w:pPr>
        <w:spacing w:after="180"/>
        <w:jc w:val="both"/>
      </w:pPr>
      <w:r>
        <w:rPr>
          <w:rFonts w:ascii="sans-serif" w:eastAsia="sans-serif" w:hAnsi="sans-serif" w:cs="sans-serif"/>
          <w:color w:val="000000"/>
          <w:sz w:val="20"/>
          <w:szCs w:val="20"/>
        </w:rPr>
        <w:t>Headquartered in Santa Clara, California, NVIDIA was incorporated in California in April 1993 and reincorporated in Delaware in April 1998.</w:t>
      </w:r>
    </w:p>
    <w:p w14:paraId="54067614" w14:textId="77777777" w:rsidR="00611BDD" w:rsidRDefault="002E18C7">
      <w:pPr>
        <w:spacing w:before="240" w:after="120"/>
        <w:jc w:val="both"/>
      </w:pPr>
      <w:r>
        <w:rPr>
          <w:rFonts w:ascii="sans-serif" w:eastAsia="sans-serif" w:hAnsi="sans-serif" w:cs="sans-serif"/>
          <w:b/>
          <w:bCs/>
          <w:color w:val="76B900"/>
          <w:sz w:val="22"/>
          <w:szCs w:val="22"/>
        </w:rPr>
        <w:t>Recent Developments, Future Objec</w:t>
      </w:r>
      <w:r>
        <w:rPr>
          <w:rFonts w:ascii="sans-serif" w:eastAsia="sans-serif" w:hAnsi="sans-serif" w:cs="sans-serif"/>
          <w:b/>
          <w:bCs/>
          <w:color w:val="76B900"/>
          <w:sz w:val="22"/>
          <w:szCs w:val="22"/>
        </w:rPr>
        <w:t>tives and Challenges</w:t>
      </w:r>
    </w:p>
    <w:p w14:paraId="54067615" w14:textId="77777777" w:rsidR="00611BDD" w:rsidRDefault="002E18C7">
      <w:pPr>
        <w:spacing w:before="120" w:after="120"/>
        <w:jc w:val="both"/>
      </w:pPr>
      <w:r>
        <w:rPr>
          <w:rFonts w:ascii="sans-serif" w:eastAsia="sans-serif" w:hAnsi="sans-serif" w:cs="sans-serif"/>
          <w:b/>
          <w:bCs/>
          <w:color w:val="000000"/>
          <w:sz w:val="20"/>
          <w:szCs w:val="20"/>
        </w:rPr>
        <w:t>Pending Acquisition of Arm Limited</w:t>
      </w:r>
    </w:p>
    <w:p w14:paraId="54067616" w14:textId="77777777" w:rsidR="00611BDD" w:rsidRDefault="002E18C7">
      <w:pPr>
        <w:spacing w:after="180"/>
        <w:jc w:val="both"/>
      </w:pPr>
      <w:r>
        <w:rPr>
          <w:rFonts w:ascii="sans-serif" w:eastAsia="sans-serif" w:hAnsi="sans-serif" w:cs="sans-serif"/>
          <w:color w:val="000000"/>
          <w:sz w:val="20"/>
          <w:szCs w:val="20"/>
        </w:rPr>
        <w:t>On September 13, 2020, we entered into a Purchase Agreement with Arm and SoftBank for us to acquire, from SoftBank, all allotted and issued ordinary shares of Arm in a transaction valued at $40 billio</w:t>
      </w:r>
      <w:r>
        <w:rPr>
          <w:rFonts w:ascii="sans-serif" w:eastAsia="sans-serif" w:hAnsi="sans-serif" w:cs="sans-serif"/>
          <w:color w:val="000000"/>
          <w:sz w:val="20"/>
          <w:szCs w:val="20"/>
        </w:rPr>
        <w:t xml:space="preserve">n. We paid the Signing Consideration and will pay upon closing of the acquisition $10 billion in cash and issue to SoftBank 177.5 million shares of our </w:t>
      </w:r>
    </w:p>
    <w:p w14:paraId="54067617" w14:textId="77777777" w:rsidR="00611BDD" w:rsidRDefault="002E18C7">
      <w:pPr>
        <w:spacing w:after="180"/>
        <w:jc w:val="center"/>
      </w:pPr>
      <w:r>
        <w:rPr>
          <w:rFonts w:ascii="sans-serif" w:eastAsia="sans-serif" w:hAnsi="sans-serif" w:cs="sans-serif"/>
          <w:color w:val="000000"/>
          <w:sz w:val="20"/>
          <w:szCs w:val="20"/>
        </w:rPr>
        <w:t>24</w:t>
      </w:r>
    </w:p>
    <w:p w14:paraId="54067618" w14:textId="77777777" w:rsidR="00611BDD" w:rsidRDefault="002E18C7">
      <w:r>
        <w:pict w14:anchorId="54067C3C">
          <v:rect id="_x0000_i1048" style="width:415.3pt;height:1.5pt" o:hralign="center" o:hrstd="t" o:hr="t" fillcolor="#a0a0a0" stroked="f"/>
        </w:pict>
      </w:r>
    </w:p>
    <w:p w14:paraId="54067619" w14:textId="77777777" w:rsidR="00611BDD" w:rsidRDefault="00611BDD">
      <w:pPr>
        <w:spacing w:after="180"/>
        <w:jc w:val="both"/>
      </w:pPr>
    </w:p>
    <w:p w14:paraId="5406761A" w14:textId="77777777" w:rsidR="00611BDD" w:rsidRDefault="00611BDD">
      <w:pPr>
        <w:spacing w:after="180"/>
        <w:jc w:val="both"/>
      </w:pPr>
    </w:p>
    <w:p w14:paraId="5406761B" w14:textId="77777777" w:rsidR="00611BDD" w:rsidRDefault="00611BDD">
      <w:pPr>
        <w:spacing w:after="180"/>
        <w:jc w:val="both"/>
      </w:pPr>
    </w:p>
    <w:p w14:paraId="5406761C" w14:textId="77777777" w:rsidR="00611BDD" w:rsidRDefault="002E18C7">
      <w:pPr>
        <w:spacing w:after="180"/>
        <w:jc w:val="both"/>
      </w:pPr>
      <w:r>
        <w:rPr>
          <w:rFonts w:ascii="sans-serif" w:eastAsia="sans-serif" w:hAnsi="sans-serif" w:cs="sans-serif"/>
          <w:color w:val="000000"/>
          <w:sz w:val="20"/>
          <w:szCs w:val="20"/>
        </w:rPr>
        <w:t>common stock, which had an aggregate value of $21.5 billion as of the date of the Purchase Agre</w:t>
      </w:r>
      <w:r>
        <w:rPr>
          <w:rFonts w:ascii="sans-serif" w:eastAsia="sans-serif" w:hAnsi="sans-serif" w:cs="sans-serif"/>
          <w:color w:val="000000"/>
          <w:sz w:val="20"/>
          <w:szCs w:val="20"/>
        </w:rPr>
        <w:t>ement. The transaction includes a potential earn out, which is contingent on the achievement of certain financial performance targets by Arm during the fiscal year ending March 31, 2022. If the financial performance targets are achieved, Softbank can elect</w:t>
      </w:r>
      <w:r>
        <w:rPr>
          <w:rFonts w:ascii="sans-serif" w:eastAsia="sans-serif" w:hAnsi="sans-serif" w:cs="sans-serif"/>
          <w:color w:val="000000"/>
          <w:sz w:val="20"/>
          <w:szCs w:val="20"/>
        </w:rPr>
        <w:t xml:space="preserve"> to receive either up to an additional $5 billion in cash or up to an additional 41.3 million shares of our common stock. We will issue up to $1.5 billion in restricted stock units to Arm employees after closing. The $2 billion paid upon signing was alloca</w:t>
      </w:r>
      <w:r>
        <w:rPr>
          <w:rFonts w:ascii="sans-serif" w:eastAsia="sans-serif" w:hAnsi="sans-serif" w:cs="sans-serif"/>
          <w:color w:val="000000"/>
          <w:sz w:val="20"/>
          <w:szCs w:val="20"/>
        </w:rPr>
        <w:t>ted between advanced consideration for the acquisition of $1.36 billion and the prepayment of intellectual property licenses from Arm of $0.17 billion and royalties of $0.47 billion, both with a 20-year term. The closing of the acquisition is subject to cu</w:t>
      </w:r>
      <w:r>
        <w:rPr>
          <w:rFonts w:ascii="sans-serif" w:eastAsia="sans-serif" w:hAnsi="sans-serif" w:cs="sans-serif"/>
          <w:color w:val="000000"/>
          <w:sz w:val="20"/>
          <w:szCs w:val="20"/>
        </w:rPr>
        <w:t xml:space="preserve">stomary closing conditions, including receipt of specified governmental and regulatory consents and approvals and the expiration of any related mandatory waiting period, and Arm's implementation of the reorganization and distribution of Arm’s IoT Services </w:t>
      </w:r>
      <w:r>
        <w:rPr>
          <w:rFonts w:ascii="sans-serif" w:eastAsia="sans-serif" w:hAnsi="sans-serif" w:cs="sans-serif"/>
          <w:color w:val="000000"/>
          <w:sz w:val="20"/>
          <w:szCs w:val="20"/>
        </w:rPr>
        <w:t>Group and certain other assets and liabilities. We are working through the regulatory process in the United States, the United Kingdom, the European Union, China and other jurisdictions. Although some Arm licensees have expressed concerns or objected to th</w:t>
      </w:r>
      <w:r>
        <w:rPr>
          <w:rFonts w:ascii="sans-serif" w:eastAsia="sans-serif" w:hAnsi="sans-serif" w:cs="sans-serif"/>
          <w:color w:val="000000"/>
          <w:sz w:val="20"/>
          <w:szCs w:val="20"/>
        </w:rPr>
        <w:t>e transaction, and discussions with regulators are taking longer than initially thought, we are confident in the deal rationale and that regulators should recognize the benefits of the acquisition to Arm, its licensees, and the industry. If the Purchase Ag</w:t>
      </w:r>
      <w:r>
        <w:rPr>
          <w:rFonts w:ascii="sans-serif" w:eastAsia="sans-serif" w:hAnsi="sans-serif" w:cs="sans-serif"/>
          <w:color w:val="000000"/>
          <w:sz w:val="20"/>
          <w:szCs w:val="20"/>
        </w:rPr>
        <w:t>reement is terminated under certain circumstances, we will be refunded $1.25 billion of the Signing Consideration. The Signing Consideration was allocated on a fair value basis and any refund of the Signing Consideration will use stated values in the Purch</w:t>
      </w:r>
      <w:r>
        <w:rPr>
          <w:rFonts w:ascii="sans-serif" w:eastAsia="sans-serif" w:hAnsi="sans-serif" w:cs="sans-serif"/>
          <w:color w:val="000000"/>
          <w:sz w:val="20"/>
          <w:szCs w:val="20"/>
        </w:rPr>
        <w:t>ase Agreement.</w:t>
      </w:r>
    </w:p>
    <w:p w14:paraId="5406761D" w14:textId="77777777" w:rsidR="00611BDD" w:rsidRDefault="002E18C7">
      <w:pPr>
        <w:spacing w:before="120" w:after="120"/>
        <w:jc w:val="both"/>
      </w:pPr>
      <w:r>
        <w:rPr>
          <w:rFonts w:ascii="sans-serif" w:eastAsia="sans-serif" w:hAnsi="sans-serif" w:cs="sans-serif"/>
          <w:b/>
          <w:bCs/>
          <w:color w:val="000000"/>
          <w:sz w:val="20"/>
          <w:szCs w:val="20"/>
        </w:rPr>
        <w:t>Demand</w:t>
      </w:r>
    </w:p>
    <w:p w14:paraId="5406761E" w14:textId="77777777" w:rsidR="00611BDD" w:rsidRDefault="002E18C7">
      <w:pPr>
        <w:spacing w:after="180"/>
        <w:jc w:val="both"/>
      </w:pPr>
      <w:r>
        <w:rPr>
          <w:rFonts w:ascii="sans-serif" w:eastAsia="sans-serif" w:hAnsi="sans-serif" w:cs="sans-serif"/>
          <w:color w:val="000000"/>
          <w:sz w:val="20"/>
          <w:szCs w:val="20"/>
        </w:rPr>
        <w:t xml:space="preserve">Demand for our products is based on many factors, including our product introductions and transitions, competitor announcements, and competing technologies, all of which can impact the timing and amount of our revenue. For example, our GPUs for gaming are </w:t>
      </w:r>
      <w:r>
        <w:rPr>
          <w:rFonts w:ascii="sans-serif" w:eastAsia="sans-serif" w:hAnsi="sans-serif" w:cs="sans-serif"/>
          <w:color w:val="000000"/>
          <w:sz w:val="20"/>
          <w:szCs w:val="20"/>
        </w:rPr>
        <w:t>capable of digital currency mining. Demand and use of GPUs for cryptocurrency has fluctuated in the past and is likely to continue to change quickly. Volatility in the cryptocurrency market, including changes in the prices of cryptocurrencies, can impact d</w:t>
      </w:r>
      <w:r>
        <w:rPr>
          <w:rFonts w:ascii="sans-serif" w:eastAsia="sans-serif" w:hAnsi="sans-serif" w:cs="sans-serif"/>
          <w:color w:val="000000"/>
          <w:sz w:val="20"/>
          <w:szCs w:val="20"/>
        </w:rPr>
        <w:t>emand for our products and our ability to estimate demand for our products. Changes to cryptocurrency standards and processes including, but not limited to, the pending Ethereum 2.0 standard may also create increased aftermarket resales of our GPUs, impact</w:t>
      </w:r>
      <w:r>
        <w:rPr>
          <w:rFonts w:ascii="sans-serif" w:eastAsia="sans-serif" w:hAnsi="sans-serif" w:cs="sans-serif"/>
          <w:color w:val="000000"/>
          <w:sz w:val="20"/>
          <w:szCs w:val="20"/>
        </w:rPr>
        <w:t xml:space="preserve"> retail prices for our GPUs, increase returns of our products in the distribution channel, and may reduce demand for our new GPUs. Government cryptocurrency policies and regulations may also impact the demand for our products. We have introduced Low Hash R</w:t>
      </w:r>
      <w:r>
        <w:rPr>
          <w:rFonts w:ascii="sans-serif" w:eastAsia="sans-serif" w:hAnsi="sans-serif" w:cs="sans-serif"/>
          <w:color w:val="000000"/>
          <w:sz w:val="20"/>
          <w:szCs w:val="20"/>
        </w:rPr>
        <w:t>ate, or LHR, GeForce GPUs with limited Ethereum mining capability and increased the supply of CMP in an effort to direct GeForce to gamers and CMP to miners. During the second quarter of fiscal year 2022, over 80% of our Ampere architecture-based GeForce G</w:t>
      </w:r>
      <w:r>
        <w:rPr>
          <w:rFonts w:ascii="sans-serif" w:eastAsia="sans-serif" w:hAnsi="sans-serif" w:cs="sans-serif"/>
          <w:color w:val="000000"/>
          <w:sz w:val="20"/>
          <w:szCs w:val="20"/>
        </w:rPr>
        <w:t xml:space="preserve">PU shipments in the quarter were LHR GPUs. Additionally, consumer behavior during the COVID-19 pandemic has made it more difficult for us to estimate future demand, and these challenges may be more pronounced or volatile in the future on both a global and </w:t>
      </w:r>
      <w:r>
        <w:rPr>
          <w:rFonts w:ascii="sans-serif" w:eastAsia="sans-serif" w:hAnsi="sans-serif" w:cs="sans-serif"/>
          <w:color w:val="000000"/>
          <w:sz w:val="20"/>
          <w:szCs w:val="20"/>
        </w:rPr>
        <w:t xml:space="preserve">regional basis if and when the effects of the pandemic subside. In estimating demand and evaluating trends, we make multiple assumptions, any of which may prove to be incorrect. </w:t>
      </w:r>
    </w:p>
    <w:p w14:paraId="5406761F" w14:textId="77777777" w:rsidR="00611BDD" w:rsidRDefault="002E18C7">
      <w:pPr>
        <w:spacing w:before="120" w:after="120"/>
        <w:jc w:val="both"/>
      </w:pPr>
      <w:r>
        <w:rPr>
          <w:rFonts w:ascii="sans-serif" w:eastAsia="sans-serif" w:hAnsi="sans-serif" w:cs="sans-serif"/>
          <w:b/>
          <w:bCs/>
          <w:color w:val="000000"/>
          <w:sz w:val="20"/>
          <w:szCs w:val="20"/>
        </w:rPr>
        <w:t xml:space="preserve">Supply </w:t>
      </w:r>
    </w:p>
    <w:p w14:paraId="54067620" w14:textId="77777777" w:rsidR="00611BDD" w:rsidRDefault="002E18C7">
      <w:pPr>
        <w:spacing w:after="180"/>
        <w:jc w:val="both"/>
      </w:pPr>
      <w:r>
        <w:rPr>
          <w:rFonts w:ascii="sans-serif" w:eastAsia="sans-serif" w:hAnsi="sans-serif" w:cs="sans-serif"/>
          <w:color w:val="000000"/>
          <w:sz w:val="20"/>
          <w:szCs w:val="20"/>
        </w:rPr>
        <w:t>Our products are manufactured based on estimates of customers’ future</w:t>
      </w:r>
      <w:r>
        <w:rPr>
          <w:rFonts w:ascii="sans-serif" w:eastAsia="sans-serif" w:hAnsi="sans-serif" w:cs="sans-serif"/>
          <w:color w:val="000000"/>
          <w:sz w:val="20"/>
          <w:szCs w:val="20"/>
        </w:rPr>
        <w:t xml:space="preserve"> demand and our manufacturing lead times are very long. We sell many of our products through a channel model, and our channel customers sell to retailers, distributors, and/or end customers. As a result, the decisions made by our channel partners, retailer</w:t>
      </w:r>
      <w:r>
        <w:rPr>
          <w:rFonts w:ascii="sans-serif" w:eastAsia="sans-serif" w:hAnsi="sans-serif" w:cs="sans-serif"/>
          <w:color w:val="000000"/>
          <w:sz w:val="20"/>
          <w:szCs w:val="20"/>
        </w:rPr>
        <w:t>s, and distributors in response to changing market conditions and the changing demand for our products could impact our financial results. To have shorter shipment lead times and quicker delivery schedules for our customers, we may build inventory for anti</w:t>
      </w:r>
      <w:r>
        <w:rPr>
          <w:rFonts w:ascii="sans-serif" w:eastAsia="sans-serif" w:hAnsi="sans-serif" w:cs="sans-serif"/>
          <w:color w:val="000000"/>
          <w:sz w:val="20"/>
          <w:szCs w:val="20"/>
        </w:rPr>
        <w:t>cipated periods of growth which do not occur, may build inventory anticipating demand that does not materialize, or may build inventory to serve what we believe is pent-up demand. We may remain supply-constrained beyond the end of the second half of fiscal</w:t>
      </w:r>
      <w:r>
        <w:rPr>
          <w:rFonts w:ascii="sans-serif" w:eastAsia="sans-serif" w:hAnsi="sans-serif" w:cs="sans-serif"/>
          <w:color w:val="000000"/>
          <w:sz w:val="20"/>
          <w:szCs w:val="20"/>
        </w:rPr>
        <w:t xml:space="preserve"> year 2022. We have placed non-cancellable inventory orders for certain products in advance of our normal lead times, paid premiums and provided deposits to secure normal and incremental future supply and capacity and may need to continue to do so in the f</w:t>
      </w:r>
      <w:r>
        <w:rPr>
          <w:rFonts w:ascii="sans-serif" w:eastAsia="sans-serif" w:hAnsi="sans-serif" w:cs="sans-serif"/>
          <w:color w:val="000000"/>
          <w:sz w:val="20"/>
          <w:szCs w:val="20"/>
        </w:rPr>
        <w:t xml:space="preserve">uture. </w:t>
      </w:r>
    </w:p>
    <w:p w14:paraId="54067621" w14:textId="77777777" w:rsidR="00611BDD" w:rsidRDefault="002E18C7">
      <w:pPr>
        <w:spacing w:before="120" w:after="120"/>
        <w:jc w:val="both"/>
      </w:pPr>
      <w:r>
        <w:rPr>
          <w:rFonts w:ascii="sans-serif" w:eastAsia="sans-serif" w:hAnsi="sans-serif" w:cs="sans-serif"/>
          <w:b/>
          <w:bCs/>
          <w:color w:val="000000"/>
          <w:sz w:val="20"/>
          <w:szCs w:val="20"/>
        </w:rPr>
        <w:t>COVID-19</w:t>
      </w:r>
    </w:p>
    <w:p w14:paraId="54067622" w14:textId="77777777" w:rsidR="00611BDD" w:rsidRDefault="002E18C7">
      <w:pPr>
        <w:spacing w:after="180"/>
        <w:jc w:val="both"/>
      </w:pPr>
      <w:r>
        <w:rPr>
          <w:rFonts w:ascii="sans-serif" w:eastAsia="sans-serif" w:hAnsi="sans-serif" w:cs="sans-serif"/>
          <w:color w:val="000000"/>
          <w:sz w:val="20"/>
          <w:szCs w:val="20"/>
        </w:rPr>
        <w:t>The worldwide COVID-19 pandemic has caused governments and businesses to take unprecedented measures including restrictions on travel, temporary business closures, quarantines and shelter-in-place orders. It has significantly impacted glob</w:t>
      </w:r>
      <w:r>
        <w:rPr>
          <w:rFonts w:ascii="sans-serif" w:eastAsia="sans-serif" w:hAnsi="sans-serif" w:cs="sans-serif"/>
          <w:color w:val="000000"/>
          <w:sz w:val="20"/>
          <w:szCs w:val="20"/>
        </w:rPr>
        <w:t>al economic activity and caused volatility and disruption in global financial markets. Some regions are easing COVID-19 related restrictions; however, most of our employees continue to work remotely and we continue to temporarily prohibit most business tra</w:t>
      </w:r>
      <w:r>
        <w:rPr>
          <w:rFonts w:ascii="sans-serif" w:eastAsia="sans-serif" w:hAnsi="sans-serif" w:cs="sans-serif"/>
          <w:color w:val="000000"/>
          <w:sz w:val="20"/>
          <w:szCs w:val="20"/>
        </w:rPr>
        <w:t>vel.</w:t>
      </w:r>
    </w:p>
    <w:p w14:paraId="54067623" w14:textId="77777777" w:rsidR="00611BDD" w:rsidRDefault="002E18C7">
      <w:pPr>
        <w:spacing w:after="180"/>
        <w:jc w:val="both"/>
      </w:pPr>
      <w:r>
        <w:rPr>
          <w:rFonts w:ascii="sans-serif" w:eastAsia="sans-serif" w:hAnsi="sans-serif" w:cs="sans-serif"/>
          <w:color w:val="000000"/>
          <w:sz w:val="20"/>
          <w:szCs w:val="20"/>
        </w:rPr>
        <w:t>The COVID-19 pandemic continues to evolve and affect our business and financial results. During the second quarter of fiscal 2022, our Gaming and Data Center market platforms have benefited from stronger demand as people continue to work, learn, and p</w:t>
      </w:r>
      <w:r>
        <w:rPr>
          <w:rFonts w:ascii="sans-serif" w:eastAsia="sans-serif" w:hAnsi="sans-serif" w:cs="sans-serif"/>
          <w:color w:val="000000"/>
          <w:sz w:val="20"/>
          <w:szCs w:val="20"/>
        </w:rPr>
        <w:t xml:space="preserve">lay from home. As our own offices begin to reopen, we expect to incur incremental expenses as we resume onsite services and related in-office costs. </w:t>
      </w:r>
    </w:p>
    <w:p w14:paraId="54067624" w14:textId="77777777" w:rsidR="00611BDD" w:rsidRDefault="002E18C7">
      <w:pPr>
        <w:spacing w:after="180"/>
        <w:jc w:val="center"/>
      </w:pPr>
      <w:r>
        <w:rPr>
          <w:rFonts w:ascii="sans-serif" w:eastAsia="sans-serif" w:hAnsi="sans-serif" w:cs="sans-serif"/>
          <w:color w:val="000000"/>
          <w:sz w:val="20"/>
          <w:szCs w:val="20"/>
        </w:rPr>
        <w:t>25</w:t>
      </w:r>
    </w:p>
    <w:p w14:paraId="54067625" w14:textId="77777777" w:rsidR="00611BDD" w:rsidRDefault="002E18C7">
      <w:r>
        <w:pict w14:anchorId="54067C3D">
          <v:rect id="_x0000_i1049" style="width:415.3pt;height:1.5pt" o:hralign="center" o:hrstd="t" o:hr="t" fillcolor="#a0a0a0" stroked="f"/>
        </w:pict>
      </w:r>
    </w:p>
    <w:p w14:paraId="54067626" w14:textId="77777777" w:rsidR="00611BDD" w:rsidRDefault="00611BDD">
      <w:pPr>
        <w:spacing w:after="180"/>
        <w:jc w:val="both"/>
      </w:pPr>
    </w:p>
    <w:p w14:paraId="54067627" w14:textId="77777777" w:rsidR="00611BDD" w:rsidRDefault="00611BDD">
      <w:pPr>
        <w:spacing w:after="180"/>
        <w:jc w:val="both"/>
      </w:pPr>
    </w:p>
    <w:p w14:paraId="54067628" w14:textId="77777777" w:rsidR="00611BDD" w:rsidRDefault="00611BDD">
      <w:pPr>
        <w:spacing w:after="180"/>
        <w:jc w:val="both"/>
      </w:pPr>
    </w:p>
    <w:p w14:paraId="54067629" w14:textId="77777777" w:rsidR="00611BDD" w:rsidRDefault="002E18C7">
      <w:pPr>
        <w:spacing w:after="180"/>
        <w:jc w:val="both"/>
      </w:pPr>
      <w:r>
        <w:rPr>
          <w:rFonts w:ascii="sans-serif" w:eastAsia="sans-serif" w:hAnsi="sans-serif" w:cs="sans-serif"/>
          <w:color w:val="000000"/>
          <w:sz w:val="20"/>
          <w:szCs w:val="20"/>
        </w:rPr>
        <w:t xml:space="preserve">As the COVID-19 pandemic continues, the timing and overall demand from customers and the </w:t>
      </w:r>
      <w:r>
        <w:rPr>
          <w:rFonts w:ascii="sans-serif" w:eastAsia="sans-serif" w:hAnsi="sans-serif" w:cs="sans-serif"/>
          <w:color w:val="000000"/>
          <w:sz w:val="20"/>
          <w:szCs w:val="20"/>
        </w:rPr>
        <w:t>availability of supply chain, logistical services and component supply may have a material net negative impact on our business and financial results. Refer to Part II, Item 1A of this Quarterly Report on Form 10-Q for additional information under the headi</w:t>
      </w:r>
      <w:r>
        <w:rPr>
          <w:rFonts w:ascii="sans-serif" w:eastAsia="sans-serif" w:hAnsi="sans-serif" w:cs="sans-serif"/>
          <w:color w:val="000000"/>
          <w:sz w:val="20"/>
          <w:szCs w:val="20"/>
        </w:rPr>
        <w:t>ng “Risk Factors.”</w:t>
      </w:r>
    </w:p>
    <w:p w14:paraId="5406762A" w14:textId="77777777" w:rsidR="00611BDD" w:rsidRDefault="002E18C7">
      <w:pPr>
        <w:spacing w:after="180"/>
        <w:jc w:val="both"/>
      </w:pPr>
      <w:r>
        <w:rPr>
          <w:rFonts w:ascii="sans-serif" w:eastAsia="sans-serif" w:hAnsi="sans-serif" w:cs="sans-serif"/>
          <w:color w:val="000000"/>
          <w:sz w:val="20"/>
          <w:szCs w:val="20"/>
        </w:rPr>
        <w:t>We believe our existing balances of cash, cash equivalents and marketable securities, along with commercial paper and other short-term liquidity arrangements, will be sufficient to satisfy our working capital needs, capital asset purchas</w:t>
      </w:r>
      <w:r>
        <w:rPr>
          <w:rFonts w:ascii="sans-serif" w:eastAsia="sans-serif" w:hAnsi="sans-serif" w:cs="sans-serif"/>
          <w:color w:val="000000"/>
          <w:sz w:val="20"/>
          <w:szCs w:val="20"/>
        </w:rPr>
        <w:t>es, dividends, debt repayments and other liquidity requirements associated with our existing operations.</w:t>
      </w:r>
    </w:p>
    <w:p w14:paraId="5406762B" w14:textId="77777777" w:rsidR="00611BDD" w:rsidRDefault="002E18C7">
      <w:pPr>
        <w:spacing w:before="120" w:after="120"/>
        <w:jc w:val="both"/>
      </w:pPr>
      <w:r>
        <w:rPr>
          <w:rFonts w:ascii="sans-serif" w:eastAsia="sans-serif" w:hAnsi="sans-serif" w:cs="sans-serif"/>
          <w:b/>
          <w:bCs/>
          <w:color w:val="000000"/>
          <w:sz w:val="20"/>
          <w:szCs w:val="20"/>
        </w:rPr>
        <w:t>Second Quarter of Fiscal Year 2022 Summary</w:t>
      </w:r>
    </w:p>
    <w:tbl>
      <w:tblPr>
        <w:tblW w:w="4985" w:type="pct"/>
        <w:tblCellMar>
          <w:top w:w="15" w:type="dxa"/>
          <w:left w:w="15" w:type="dxa"/>
          <w:bottom w:w="15" w:type="dxa"/>
          <w:right w:w="15" w:type="dxa"/>
        </w:tblCellMar>
        <w:tblLook w:val="04A0" w:firstRow="1" w:lastRow="0" w:firstColumn="1" w:lastColumn="0" w:noHBand="0" w:noVBand="1"/>
      </w:tblPr>
      <w:tblGrid>
        <w:gridCol w:w="39"/>
        <w:gridCol w:w="2004"/>
        <w:gridCol w:w="38"/>
        <w:gridCol w:w="122"/>
        <w:gridCol w:w="501"/>
        <w:gridCol w:w="163"/>
        <w:gridCol w:w="36"/>
        <w:gridCol w:w="36"/>
        <w:gridCol w:w="36"/>
        <w:gridCol w:w="122"/>
        <w:gridCol w:w="501"/>
        <w:gridCol w:w="163"/>
        <w:gridCol w:w="36"/>
        <w:gridCol w:w="36"/>
        <w:gridCol w:w="36"/>
        <w:gridCol w:w="122"/>
        <w:gridCol w:w="501"/>
        <w:gridCol w:w="163"/>
        <w:gridCol w:w="36"/>
        <w:gridCol w:w="36"/>
        <w:gridCol w:w="36"/>
        <w:gridCol w:w="123"/>
        <w:gridCol w:w="1713"/>
        <w:gridCol w:w="163"/>
        <w:gridCol w:w="36"/>
        <w:gridCol w:w="36"/>
        <w:gridCol w:w="36"/>
        <w:gridCol w:w="86"/>
        <w:gridCol w:w="1192"/>
        <w:gridCol w:w="163"/>
      </w:tblGrid>
      <w:tr w:rsidR="00611BDD" w14:paraId="5406764A" w14:textId="77777777">
        <w:tc>
          <w:tcPr>
            <w:tcW w:w="50" w:type="pct"/>
            <w:shd w:val="clear" w:color="auto" w:fill="auto"/>
            <w:vAlign w:val="bottom"/>
          </w:tcPr>
          <w:p w14:paraId="5406762C" w14:textId="77777777" w:rsidR="00611BDD" w:rsidRDefault="00611BDD">
            <w:pPr>
              <w:rPr>
                <w:rFonts w:ascii="宋体"/>
              </w:rPr>
            </w:pPr>
          </w:p>
        </w:tc>
        <w:tc>
          <w:tcPr>
            <w:tcW w:w="1609" w:type="pct"/>
            <w:shd w:val="clear" w:color="auto" w:fill="auto"/>
            <w:vAlign w:val="bottom"/>
          </w:tcPr>
          <w:p w14:paraId="5406762D" w14:textId="77777777" w:rsidR="00611BDD" w:rsidRDefault="00611BDD">
            <w:pPr>
              <w:rPr>
                <w:rFonts w:ascii="宋体"/>
              </w:rPr>
            </w:pPr>
          </w:p>
        </w:tc>
        <w:tc>
          <w:tcPr>
            <w:tcW w:w="5" w:type="pct"/>
            <w:shd w:val="clear" w:color="auto" w:fill="auto"/>
            <w:vAlign w:val="bottom"/>
          </w:tcPr>
          <w:p w14:paraId="5406762E" w14:textId="77777777" w:rsidR="00611BDD" w:rsidRDefault="00611BDD">
            <w:pPr>
              <w:rPr>
                <w:rFonts w:ascii="宋体"/>
              </w:rPr>
            </w:pPr>
          </w:p>
        </w:tc>
        <w:tc>
          <w:tcPr>
            <w:tcW w:w="50" w:type="pct"/>
            <w:shd w:val="clear" w:color="auto" w:fill="auto"/>
            <w:vAlign w:val="bottom"/>
          </w:tcPr>
          <w:p w14:paraId="5406762F" w14:textId="77777777" w:rsidR="00611BDD" w:rsidRDefault="00611BDD">
            <w:pPr>
              <w:rPr>
                <w:rFonts w:ascii="宋体"/>
              </w:rPr>
            </w:pPr>
          </w:p>
        </w:tc>
        <w:tc>
          <w:tcPr>
            <w:tcW w:w="502" w:type="pct"/>
            <w:shd w:val="clear" w:color="auto" w:fill="auto"/>
            <w:vAlign w:val="bottom"/>
          </w:tcPr>
          <w:p w14:paraId="54067630" w14:textId="77777777" w:rsidR="00611BDD" w:rsidRDefault="00611BDD">
            <w:pPr>
              <w:rPr>
                <w:rFonts w:ascii="宋体"/>
              </w:rPr>
            </w:pPr>
          </w:p>
        </w:tc>
        <w:tc>
          <w:tcPr>
            <w:tcW w:w="5" w:type="pct"/>
            <w:shd w:val="clear" w:color="auto" w:fill="auto"/>
            <w:vAlign w:val="bottom"/>
          </w:tcPr>
          <w:p w14:paraId="54067631" w14:textId="77777777" w:rsidR="00611BDD" w:rsidRDefault="00611BDD">
            <w:pPr>
              <w:rPr>
                <w:rFonts w:ascii="宋体"/>
              </w:rPr>
            </w:pPr>
          </w:p>
        </w:tc>
        <w:tc>
          <w:tcPr>
            <w:tcW w:w="5" w:type="pct"/>
            <w:shd w:val="clear" w:color="auto" w:fill="auto"/>
            <w:vAlign w:val="bottom"/>
          </w:tcPr>
          <w:p w14:paraId="54067632" w14:textId="77777777" w:rsidR="00611BDD" w:rsidRDefault="00611BDD">
            <w:pPr>
              <w:rPr>
                <w:rFonts w:ascii="宋体"/>
              </w:rPr>
            </w:pPr>
          </w:p>
        </w:tc>
        <w:tc>
          <w:tcPr>
            <w:tcW w:w="26" w:type="pct"/>
            <w:shd w:val="clear" w:color="auto" w:fill="auto"/>
            <w:vAlign w:val="bottom"/>
          </w:tcPr>
          <w:p w14:paraId="54067633" w14:textId="77777777" w:rsidR="00611BDD" w:rsidRDefault="00611BDD">
            <w:pPr>
              <w:rPr>
                <w:rFonts w:ascii="宋体"/>
              </w:rPr>
            </w:pPr>
          </w:p>
        </w:tc>
        <w:tc>
          <w:tcPr>
            <w:tcW w:w="5" w:type="pct"/>
            <w:shd w:val="clear" w:color="auto" w:fill="auto"/>
            <w:vAlign w:val="bottom"/>
          </w:tcPr>
          <w:p w14:paraId="54067634" w14:textId="77777777" w:rsidR="00611BDD" w:rsidRDefault="00611BDD">
            <w:pPr>
              <w:rPr>
                <w:rFonts w:ascii="宋体"/>
              </w:rPr>
            </w:pPr>
          </w:p>
        </w:tc>
        <w:tc>
          <w:tcPr>
            <w:tcW w:w="50" w:type="pct"/>
            <w:shd w:val="clear" w:color="auto" w:fill="auto"/>
            <w:vAlign w:val="bottom"/>
          </w:tcPr>
          <w:p w14:paraId="54067635" w14:textId="77777777" w:rsidR="00611BDD" w:rsidRDefault="00611BDD">
            <w:pPr>
              <w:rPr>
                <w:rFonts w:ascii="宋体"/>
              </w:rPr>
            </w:pPr>
          </w:p>
        </w:tc>
        <w:tc>
          <w:tcPr>
            <w:tcW w:w="509" w:type="pct"/>
            <w:shd w:val="clear" w:color="auto" w:fill="auto"/>
            <w:vAlign w:val="bottom"/>
          </w:tcPr>
          <w:p w14:paraId="54067636" w14:textId="77777777" w:rsidR="00611BDD" w:rsidRDefault="00611BDD">
            <w:pPr>
              <w:rPr>
                <w:rFonts w:ascii="宋体"/>
              </w:rPr>
            </w:pPr>
          </w:p>
        </w:tc>
        <w:tc>
          <w:tcPr>
            <w:tcW w:w="5" w:type="pct"/>
            <w:shd w:val="clear" w:color="auto" w:fill="auto"/>
            <w:vAlign w:val="bottom"/>
          </w:tcPr>
          <w:p w14:paraId="54067637" w14:textId="77777777" w:rsidR="00611BDD" w:rsidRDefault="00611BDD">
            <w:pPr>
              <w:rPr>
                <w:rFonts w:ascii="宋体"/>
              </w:rPr>
            </w:pPr>
          </w:p>
        </w:tc>
        <w:tc>
          <w:tcPr>
            <w:tcW w:w="5" w:type="pct"/>
            <w:shd w:val="clear" w:color="auto" w:fill="auto"/>
            <w:vAlign w:val="bottom"/>
          </w:tcPr>
          <w:p w14:paraId="54067638" w14:textId="77777777" w:rsidR="00611BDD" w:rsidRDefault="00611BDD">
            <w:pPr>
              <w:rPr>
                <w:rFonts w:ascii="宋体"/>
              </w:rPr>
            </w:pPr>
          </w:p>
        </w:tc>
        <w:tc>
          <w:tcPr>
            <w:tcW w:w="26" w:type="pct"/>
            <w:shd w:val="clear" w:color="auto" w:fill="auto"/>
            <w:vAlign w:val="bottom"/>
          </w:tcPr>
          <w:p w14:paraId="54067639" w14:textId="77777777" w:rsidR="00611BDD" w:rsidRDefault="00611BDD">
            <w:pPr>
              <w:rPr>
                <w:rFonts w:ascii="宋体"/>
              </w:rPr>
            </w:pPr>
          </w:p>
        </w:tc>
        <w:tc>
          <w:tcPr>
            <w:tcW w:w="5" w:type="pct"/>
            <w:shd w:val="clear" w:color="auto" w:fill="auto"/>
            <w:vAlign w:val="bottom"/>
          </w:tcPr>
          <w:p w14:paraId="5406763A" w14:textId="77777777" w:rsidR="00611BDD" w:rsidRDefault="00611BDD">
            <w:pPr>
              <w:rPr>
                <w:rFonts w:ascii="宋体"/>
              </w:rPr>
            </w:pPr>
          </w:p>
        </w:tc>
        <w:tc>
          <w:tcPr>
            <w:tcW w:w="50" w:type="pct"/>
            <w:shd w:val="clear" w:color="auto" w:fill="auto"/>
            <w:vAlign w:val="bottom"/>
          </w:tcPr>
          <w:p w14:paraId="5406763B" w14:textId="77777777" w:rsidR="00611BDD" w:rsidRDefault="00611BDD">
            <w:pPr>
              <w:rPr>
                <w:rFonts w:ascii="宋体"/>
              </w:rPr>
            </w:pPr>
          </w:p>
        </w:tc>
        <w:tc>
          <w:tcPr>
            <w:tcW w:w="502" w:type="pct"/>
            <w:shd w:val="clear" w:color="auto" w:fill="auto"/>
            <w:vAlign w:val="bottom"/>
          </w:tcPr>
          <w:p w14:paraId="5406763C" w14:textId="77777777" w:rsidR="00611BDD" w:rsidRDefault="00611BDD">
            <w:pPr>
              <w:rPr>
                <w:rFonts w:ascii="宋体"/>
              </w:rPr>
            </w:pPr>
          </w:p>
        </w:tc>
        <w:tc>
          <w:tcPr>
            <w:tcW w:w="5" w:type="pct"/>
            <w:shd w:val="clear" w:color="auto" w:fill="auto"/>
            <w:vAlign w:val="bottom"/>
          </w:tcPr>
          <w:p w14:paraId="5406763D" w14:textId="77777777" w:rsidR="00611BDD" w:rsidRDefault="00611BDD">
            <w:pPr>
              <w:rPr>
                <w:rFonts w:ascii="宋体"/>
              </w:rPr>
            </w:pPr>
          </w:p>
        </w:tc>
        <w:tc>
          <w:tcPr>
            <w:tcW w:w="5" w:type="pct"/>
            <w:shd w:val="clear" w:color="auto" w:fill="auto"/>
            <w:vAlign w:val="bottom"/>
          </w:tcPr>
          <w:p w14:paraId="5406763E" w14:textId="77777777" w:rsidR="00611BDD" w:rsidRDefault="00611BDD">
            <w:pPr>
              <w:rPr>
                <w:rFonts w:ascii="宋体"/>
              </w:rPr>
            </w:pPr>
          </w:p>
        </w:tc>
        <w:tc>
          <w:tcPr>
            <w:tcW w:w="26" w:type="pct"/>
            <w:shd w:val="clear" w:color="auto" w:fill="auto"/>
            <w:vAlign w:val="bottom"/>
          </w:tcPr>
          <w:p w14:paraId="5406763F" w14:textId="77777777" w:rsidR="00611BDD" w:rsidRDefault="00611BDD">
            <w:pPr>
              <w:rPr>
                <w:rFonts w:ascii="宋体"/>
              </w:rPr>
            </w:pPr>
          </w:p>
        </w:tc>
        <w:tc>
          <w:tcPr>
            <w:tcW w:w="5" w:type="pct"/>
            <w:shd w:val="clear" w:color="auto" w:fill="auto"/>
            <w:vAlign w:val="bottom"/>
          </w:tcPr>
          <w:p w14:paraId="54067640" w14:textId="77777777" w:rsidR="00611BDD" w:rsidRDefault="00611BDD">
            <w:pPr>
              <w:rPr>
                <w:rFonts w:ascii="宋体"/>
              </w:rPr>
            </w:pPr>
          </w:p>
        </w:tc>
        <w:tc>
          <w:tcPr>
            <w:tcW w:w="50" w:type="pct"/>
            <w:shd w:val="clear" w:color="auto" w:fill="auto"/>
            <w:vAlign w:val="bottom"/>
          </w:tcPr>
          <w:p w14:paraId="54067641" w14:textId="77777777" w:rsidR="00611BDD" w:rsidRDefault="00611BDD">
            <w:pPr>
              <w:rPr>
                <w:rFonts w:ascii="宋体"/>
              </w:rPr>
            </w:pPr>
          </w:p>
        </w:tc>
        <w:tc>
          <w:tcPr>
            <w:tcW w:w="700" w:type="pct"/>
            <w:shd w:val="clear" w:color="auto" w:fill="auto"/>
            <w:vAlign w:val="bottom"/>
          </w:tcPr>
          <w:p w14:paraId="54067642" w14:textId="77777777" w:rsidR="00611BDD" w:rsidRDefault="00611BDD">
            <w:pPr>
              <w:rPr>
                <w:rFonts w:ascii="宋体"/>
              </w:rPr>
            </w:pPr>
          </w:p>
        </w:tc>
        <w:tc>
          <w:tcPr>
            <w:tcW w:w="5" w:type="pct"/>
            <w:shd w:val="clear" w:color="auto" w:fill="auto"/>
            <w:vAlign w:val="bottom"/>
          </w:tcPr>
          <w:p w14:paraId="54067643" w14:textId="77777777" w:rsidR="00611BDD" w:rsidRDefault="00611BDD">
            <w:pPr>
              <w:rPr>
                <w:rFonts w:ascii="宋体"/>
              </w:rPr>
            </w:pPr>
          </w:p>
        </w:tc>
        <w:tc>
          <w:tcPr>
            <w:tcW w:w="5" w:type="pct"/>
            <w:shd w:val="clear" w:color="auto" w:fill="auto"/>
            <w:vAlign w:val="bottom"/>
          </w:tcPr>
          <w:p w14:paraId="54067644" w14:textId="77777777" w:rsidR="00611BDD" w:rsidRDefault="00611BDD">
            <w:pPr>
              <w:rPr>
                <w:rFonts w:ascii="宋体"/>
              </w:rPr>
            </w:pPr>
          </w:p>
        </w:tc>
        <w:tc>
          <w:tcPr>
            <w:tcW w:w="26" w:type="pct"/>
            <w:shd w:val="clear" w:color="auto" w:fill="auto"/>
            <w:vAlign w:val="bottom"/>
          </w:tcPr>
          <w:p w14:paraId="54067645" w14:textId="77777777" w:rsidR="00611BDD" w:rsidRDefault="00611BDD">
            <w:pPr>
              <w:rPr>
                <w:rFonts w:ascii="宋体"/>
              </w:rPr>
            </w:pPr>
          </w:p>
        </w:tc>
        <w:tc>
          <w:tcPr>
            <w:tcW w:w="5" w:type="pct"/>
            <w:shd w:val="clear" w:color="auto" w:fill="auto"/>
            <w:vAlign w:val="bottom"/>
          </w:tcPr>
          <w:p w14:paraId="54067646" w14:textId="77777777" w:rsidR="00611BDD" w:rsidRDefault="00611BDD">
            <w:pPr>
              <w:rPr>
                <w:rFonts w:ascii="宋体"/>
              </w:rPr>
            </w:pPr>
          </w:p>
        </w:tc>
        <w:tc>
          <w:tcPr>
            <w:tcW w:w="50" w:type="pct"/>
            <w:shd w:val="clear" w:color="auto" w:fill="auto"/>
            <w:vAlign w:val="bottom"/>
          </w:tcPr>
          <w:p w14:paraId="54067647" w14:textId="77777777" w:rsidR="00611BDD" w:rsidRDefault="00611BDD">
            <w:pPr>
              <w:rPr>
                <w:rFonts w:ascii="宋体"/>
              </w:rPr>
            </w:pPr>
          </w:p>
        </w:tc>
        <w:tc>
          <w:tcPr>
            <w:tcW w:w="700" w:type="pct"/>
            <w:shd w:val="clear" w:color="auto" w:fill="auto"/>
            <w:vAlign w:val="bottom"/>
          </w:tcPr>
          <w:p w14:paraId="54067648" w14:textId="77777777" w:rsidR="00611BDD" w:rsidRDefault="00611BDD">
            <w:pPr>
              <w:rPr>
                <w:rFonts w:ascii="宋体"/>
              </w:rPr>
            </w:pPr>
          </w:p>
        </w:tc>
        <w:tc>
          <w:tcPr>
            <w:tcW w:w="5" w:type="pct"/>
            <w:shd w:val="clear" w:color="auto" w:fill="auto"/>
            <w:vAlign w:val="bottom"/>
          </w:tcPr>
          <w:p w14:paraId="54067649" w14:textId="77777777" w:rsidR="00611BDD" w:rsidRDefault="00611BDD">
            <w:pPr>
              <w:rPr>
                <w:rFonts w:ascii="宋体"/>
              </w:rPr>
            </w:pPr>
          </w:p>
        </w:tc>
      </w:tr>
      <w:tr w:rsidR="00611BDD" w14:paraId="54067651" w14:textId="77777777">
        <w:tc>
          <w:tcPr>
            <w:tcW w:w="0" w:type="auto"/>
            <w:gridSpan w:val="3"/>
            <w:shd w:val="clear" w:color="auto" w:fill="auto"/>
            <w:tcMar>
              <w:top w:w="0" w:type="dxa"/>
              <w:left w:w="20" w:type="dxa"/>
              <w:bottom w:w="0" w:type="dxa"/>
              <w:right w:w="20" w:type="dxa"/>
            </w:tcMar>
            <w:vAlign w:val="bottom"/>
          </w:tcPr>
          <w:p w14:paraId="5406764B" w14:textId="77777777" w:rsidR="00611BDD" w:rsidRDefault="00611BDD">
            <w:pPr>
              <w:rPr>
                <w:rFonts w:ascii="宋体"/>
              </w:rPr>
            </w:pPr>
          </w:p>
        </w:tc>
        <w:tc>
          <w:tcPr>
            <w:tcW w:w="0" w:type="auto"/>
            <w:gridSpan w:val="15"/>
            <w:shd w:val="clear" w:color="auto" w:fill="auto"/>
            <w:tcMar>
              <w:top w:w="40" w:type="dxa"/>
              <w:left w:w="20" w:type="dxa"/>
              <w:bottom w:w="40" w:type="dxa"/>
              <w:right w:w="20" w:type="dxa"/>
            </w:tcMar>
            <w:vAlign w:val="bottom"/>
          </w:tcPr>
          <w:p w14:paraId="5406764C" w14:textId="77777777" w:rsidR="00611BDD" w:rsidRDefault="002E18C7">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5406764D"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64E"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64F"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650" w14:textId="77777777" w:rsidR="00611BDD" w:rsidRDefault="00611BDD">
            <w:pPr>
              <w:rPr>
                <w:rFonts w:ascii="宋体"/>
              </w:rPr>
            </w:pPr>
          </w:p>
        </w:tc>
      </w:tr>
      <w:tr w:rsidR="00611BDD" w14:paraId="5406765C" w14:textId="77777777">
        <w:tc>
          <w:tcPr>
            <w:tcW w:w="0" w:type="auto"/>
            <w:gridSpan w:val="3"/>
            <w:shd w:val="clear" w:color="auto" w:fill="auto"/>
            <w:tcMar>
              <w:top w:w="40" w:type="dxa"/>
              <w:left w:w="20" w:type="dxa"/>
              <w:bottom w:w="40" w:type="dxa"/>
              <w:right w:w="20" w:type="dxa"/>
            </w:tcMar>
            <w:vAlign w:val="bottom"/>
          </w:tcPr>
          <w:p w14:paraId="54067652"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7653" w14:textId="77777777" w:rsidR="00611BDD" w:rsidRDefault="002E18C7">
            <w:pPr>
              <w:jc w:val="center"/>
              <w:textAlignment w:val="bottom"/>
            </w:pPr>
            <w:r>
              <w:rPr>
                <w:rFonts w:ascii="sans-serif" w:eastAsia="sans-serif" w:hAnsi="sans-serif" w:cs="sans-serif"/>
                <w:b/>
                <w:bCs/>
                <w:color w:val="000000"/>
                <w:sz w:val="20"/>
                <w:szCs w:val="20"/>
              </w:rPr>
              <w:t>August 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654"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7655" w14:textId="77777777" w:rsidR="00611BDD" w:rsidRDefault="002E18C7">
            <w:pPr>
              <w:jc w:val="center"/>
              <w:textAlignment w:val="bottom"/>
            </w:pPr>
            <w:r>
              <w:rPr>
                <w:rFonts w:ascii="sans-serif" w:eastAsia="sans-serif" w:hAnsi="sans-serif" w:cs="sans-serif"/>
                <w:b/>
                <w:bCs/>
                <w:color w:val="000000"/>
                <w:sz w:val="20"/>
                <w:szCs w:val="20"/>
              </w:rPr>
              <w:t>May 2,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656"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7657" w14:textId="77777777" w:rsidR="00611BDD" w:rsidRDefault="002E18C7">
            <w:pPr>
              <w:jc w:val="center"/>
              <w:textAlignment w:val="bottom"/>
            </w:pPr>
            <w:r>
              <w:rPr>
                <w:rFonts w:ascii="sans-serif" w:eastAsia="sans-serif" w:hAnsi="sans-serif" w:cs="sans-serif"/>
                <w:b/>
                <w:bCs/>
                <w:color w:val="000000"/>
                <w:sz w:val="20"/>
                <w:szCs w:val="20"/>
              </w:rPr>
              <w:t>July 26, 2020</w:t>
            </w:r>
          </w:p>
        </w:tc>
        <w:tc>
          <w:tcPr>
            <w:tcW w:w="0" w:type="auto"/>
            <w:gridSpan w:val="3"/>
            <w:shd w:val="clear" w:color="auto" w:fill="auto"/>
            <w:tcMar>
              <w:top w:w="0" w:type="dxa"/>
              <w:left w:w="20" w:type="dxa"/>
              <w:bottom w:w="0" w:type="dxa"/>
              <w:right w:w="20" w:type="dxa"/>
            </w:tcMar>
            <w:vAlign w:val="bottom"/>
          </w:tcPr>
          <w:p w14:paraId="54067658"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659" w14:textId="77777777" w:rsidR="00611BDD" w:rsidRDefault="002E18C7">
            <w:pPr>
              <w:jc w:val="center"/>
              <w:textAlignment w:val="bottom"/>
            </w:pPr>
            <w:r>
              <w:rPr>
                <w:rFonts w:ascii="sans-serif" w:eastAsia="sans-serif" w:hAnsi="sans-serif" w:cs="sans-serif"/>
                <w:b/>
                <w:bCs/>
                <w:color w:val="000000"/>
                <w:sz w:val="20"/>
                <w:szCs w:val="20"/>
              </w:rPr>
              <w:t>Quarter-over-Quarter Change</w:t>
            </w:r>
          </w:p>
        </w:tc>
        <w:tc>
          <w:tcPr>
            <w:tcW w:w="0" w:type="auto"/>
            <w:gridSpan w:val="3"/>
            <w:shd w:val="clear" w:color="auto" w:fill="auto"/>
            <w:tcMar>
              <w:top w:w="0" w:type="dxa"/>
              <w:left w:w="20" w:type="dxa"/>
              <w:bottom w:w="0" w:type="dxa"/>
              <w:right w:w="20" w:type="dxa"/>
            </w:tcMar>
            <w:vAlign w:val="bottom"/>
          </w:tcPr>
          <w:p w14:paraId="5406765A"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65B" w14:textId="77777777" w:rsidR="00611BDD" w:rsidRDefault="002E18C7">
            <w:pPr>
              <w:jc w:val="center"/>
              <w:textAlignment w:val="bottom"/>
            </w:pPr>
            <w:r>
              <w:rPr>
                <w:rFonts w:ascii="sans-serif" w:eastAsia="sans-serif" w:hAnsi="sans-serif" w:cs="sans-serif"/>
                <w:b/>
                <w:bCs/>
                <w:color w:val="000000"/>
                <w:sz w:val="20"/>
                <w:szCs w:val="20"/>
              </w:rPr>
              <w:t>Year-over-Year Change</w:t>
            </w:r>
          </w:p>
        </w:tc>
      </w:tr>
      <w:tr w:rsidR="00611BDD" w14:paraId="54067667" w14:textId="77777777">
        <w:trPr>
          <w:trHeight w:val="60"/>
        </w:trPr>
        <w:tc>
          <w:tcPr>
            <w:tcW w:w="0" w:type="auto"/>
            <w:gridSpan w:val="3"/>
            <w:shd w:val="clear" w:color="auto" w:fill="auto"/>
            <w:tcMar>
              <w:top w:w="0" w:type="dxa"/>
              <w:left w:w="20" w:type="dxa"/>
              <w:bottom w:w="0" w:type="dxa"/>
              <w:right w:w="20" w:type="dxa"/>
            </w:tcMar>
            <w:vAlign w:val="bottom"/>
          </w:tcPr>
          <w:p w14:paraId="5406765D"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65E"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65F"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660"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661"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662"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663"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664"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665"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666" w14:textId="77777777" w:rsidR="00611BDD" w:rsidRDefault="00611BDD">
            <w:pPr>
              <w:rPr>
                <w:rFonts w:ascii="宋体"/>
              </w:rPr>
            </w:pPr>
          </w:p>
        </w:tc>
      </w:tr>
      <w:tr w:rsidR="00611BDD" w14:paraId="5406766E" w14:textId="77777777">
        <w:tc>
          <w:tcPr>
            <w:tcW w:w="0" w:type="auto"/>
            <w:gridSpan w:val="3"/>
            <w:shd w:val="clear" w:color="auto" w:fill="auto"/>
            <w:tcMar>
              <w:top w:w="0" w:type="dxa"/>
              <w:left w:w="20" w:type="dxa"/>
              <w:bottom w:w="0" w:type="dxa"/>
              <w:right w:w="20" w:type="dxa"/>
            </w:tcMar>
            <w:vAlign w:val="bottom"/>
          </w:tcPr>
          <w:p w14:paraId="54067668" w14:textId="77777777" w:rsidR="00611BDD" w:rsidRDefault="00611BDD">
            <w:pPr>
              <w:rPr>
                <w:rFonts w:ascii="宋体"/>
              </w:rPr>
            </w:pPr>
          </w:p>
        </w:tc>
        <w:tc>
          <w:tcPr>
            <w:tcW w:w="0" w:type="auto"/>
            <w:gridSpan w:val="15"/>
            <w:shd w:val="clear" w:color="auto" w:fill="auto"/>
            <w:tcMar>
              <w:top w:w="40" w:type="dxa"/>
              <w:left w:w="20" w:type="dxa"/>
              <w:bottom w:w="40" w:type="dxa"/>
              <w:right w:w="20" w:type="dxa"/>
            </w:tcMar>
            <w:vAlign w:val="bottom"/>
          </w:tcPr>
          <w:p w14:paraId="54067669" w14:textId="77777777" w:rsidR="00611BDD" w:rsidRDefault="002E18C7">
            <w:pPr>
              <w:jc w:val="center"/>
              <w:textAlignment w:val="bottom"/>
            </w:pPr>
            <w:r>
              <w:rPr>
                <w:rFonts w:ascii="sans-serif" w:eastAsia="sans-serif" w:hAnsi="sans-serif" w:cs="sans-serif"/>
                <w:i/>
                <w:iCs/>
                <w:color w:val="000000"/>
                <w:sz w:val="20"/>
                <w:szCs w:val="20"/>
              </w:rPr>
              <w:t xml:space="preserve">($ in </w:t>
            </w:r>
            <w:r>
              <w:rPr>
                <w:rFonts w:ascii="sans-serif" w:eastAsia="sans-serif" w:hAnsi="sans-serif" w:cs="sans-serif"/>
                <w:i/>
                <w:iCs/>
                <w:color w:val="000000"/>
                <w:sz w:val="20"/>
                <w:szCs w:val="20"/>
              </w:rPr>
              <w:t>millions, except per share data)</w:t>
            </w:r>
          </w:p>
        </w:tc>
        <w:tc>
          <w:tcPr>
            <w:tcW w:w="0" w:type="auto"/>
            <w:gridSpan w:val="3"/>
            <w:shd w:val="clear" w:color="auto" w:fill="auto"/>
            <w:tcMar>
              <w:top w:w="0" w:type="dxa"/>
              <w:left w:w="20" w:type="dxa"/>
              <w:bottom w:w="0" w:type="dxa"/>
              <w:right w:w="20" w:type="dxa"/>
            </w:tcMar>
            <w:vAlign w:val="bottom"/>
          </w:tcPr>
          <w:p w14:paraId="5406766A"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66B"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66C"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66D" w14:textId="77777777" w:rsidR="00611BDD" w:rsidRDefault="00611BDD">
            <w:pPr>
              <w:rPr>
                <w:rFonts w:ascii="宋体"/>
              </w:rPr>
            </w:pPr>
          </w:p>
        </w:tc>
      </w:tr>
      <w:tr w:rsidR="00611BDD" w14:paraId="54067681" w14:textId="77777777">
        <w:tc>
          <w:tcPr>
            <w:tcW w:w="0" w:type="auto"/>
            <w:gridSpan w:val="3"/>
            <w:shd w:val="clear" w:color="auto" w:fill="E2EFD9"/>
            <w:tcMar>
              <w:top w:w="40" w:type="dxa"/>
              <w:left w:w="20" w:type="dxa"/>
              <w:bottom w:w="40" w:type="dxa"/>
              <w:right w:w="20" w:type="dxa"/>
            </w:tcMar>
            <w:vAlign w:val="bottom"/>
          </w:tcPr>
          <w:p w14:paraId="5406766F" w14:textId="77777777" w:rsidR="00611BDD" w:rsidRDefault="002E18C7">
            <w:pPr>
              <w:textAlignment w:val="bottom"/>
            </w:pPr>
            <w:r>
              <w:rPr>
                <w:rFonts w:ascii="sans-serif" w:eastAsia="sans-serif" w:hAnsi="sans-serif" w:cs="sans-serif"/>
                <w:color w:val="000000"/>
                <w:sz w:val="20"/>
                <w:szCs w:val="20"/>
              </w:rPr>
              <w:t>Revenue</w:t>
            </w:r>
          </w:p>
        </w:tc>
        <w:tc>
          <w:tcPr>
            <w:tcW w:w="0" w:type="auto"/>
            <w:shd w:val="clear" w:color="auto" w:fill="E2EFD9"/>
            <w:tcMar>
              <w:top w:w="40" w:type="dxa"/>
              <w:left w:w="20" w:type="dxa"/>
              <w:bottom w:w="40" w:type="dxa"/>
              <w:right w:w="0" w:type="dxa"/>
            </w:tcMar>
            <w:vAlign w:val="bottom"/>
          </w:tcPr>
          <w:p w14:paraId="54067670"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671" w14:textId="77777777" w:rsidR="00611BDD" w:rsidRDefault="002E18C7">
            <w:pPr>
              <w:jc w:val="right"/>
              <w:textAlignment w:val="bottom"/>
            </w:pPr>
            <w:r>
              <w:rPr>
                <w:rFonts w:ascii="sans-serif" w:eastAsia="sans-serif" w:hAnsi="sans-serif" w:cs="sans-serif"/>
                <w:color w:val="000000"/>
                <w:sz w:val="20"/>
                <w:szCs w:val="20"/>
              </w:rPr>
              <w:t>6,507 </w:t>
            </w:r>
          </w:p>
        </w:tc>
        <w:tc>
          <w:tcPr>
            <w:tcW w:w="0" w:type="auto"/>
            <w:shd w:val="clear" w:color="auto" w:fill="E2EFD9"/>
            <w:tcMar>
              <w:top w:w="40" w:type="dxa"/>
              <w:left w:w="0" w:type="dxa"/>
              <w:bottom w:w="40" w:type="dxa"/>
              <w:right w:w="20" w:type="dxa"/>
            </w:tcMar>
            <w:vAlign w:val="bottom"/>
          </w:tcPr>
          <w:p w14:paraId="54067672"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673"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674"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675" w14:textId="77777777" w:rsidR="00611BDD" w:rsidRDefault="002E18C7">
            <w:pPr>
              <w:jc w:val="right"/>
              <w:textAlignment w:val="bottom"/>
            </w:pPr>
            <w:r>
              <w:rPr>
                <w:rFonts w:ascii="sans-serif" w:eastAsia="sans-serif" w:hAnsi="sans-serif" w:cs="sans-serif"/>
                <w:color w:val="000000"/>
                <w:sz w:val="20"/>
                <w:szCs w:val="20"/>
              </w:rPr>
              <w:t>5,661 </w:t>
            </w:r>
          </w:p>
        </w:tc>
        <w:tc>
          <w:tcPr>
            <w:tcW w:w="0" w:type="auto"/>
            <w:shd w:val="clear" w:color="auto" w:fill="E2EFD9"/>
            <w:tcMar>
              <w:top w:w="40" w:type="dxa"/>
              <w:left w:w="0" w:type="dxa"/>
              <w:bottom w:w="40" w:type="dxa"/>
              <w:right w:w="20" w:type="dxa"/>
            </w:tcMar>
            <w:vAlign w:val="bottom"/>
          </w:tcPr>
          <w:p w14:paraId="5406767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677"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678"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679" w14:textId="77777777" w:rsidR="00611BDD" w:rsidRDefault="002E18C7">
            <w:pPr>
              <w:jc w:val="right"/>
              <w:textAlignment w:val="bottom"/>
            </w:pPr>
            <w:r>
              <w:rPr>
                <w:rFonts w:ascii="sans-serif" w:eastAsia="sans-serif" w:hAnsi="sans-serif" w:cs="sans-serif"/>
                <w:color w:val="000000"/>
                <w:sz w:val="20"/>
                <w:szCs w:val="20"/>
              </w:rPr>
              <w:t>3,866 </w:t>
            </w:r>
          </w:p>
        </w:tc>
        <w:tc>
          <w:tcPr>
            <w:tcW w:w="0" w:type="auto"/>
            <w:shd w:val="clear" w:color="auto" w:fill="E2EFD9"/>
            <w:tcMar>
              <w:top w:w="40" w:type="dxa"/>
              <w:left w:w="0" w:type="dxa"/>
              <w:bottom w:w="40" w:type="dxa"/>
              <w:right w:w="20" w:type="dxa"/>
            </w:tcMar>
            <w:vAlign w:val="bottom"/>
          </w:tcPr>
          <w:p w14:paraId="5406767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67B"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67C" w14:textId="77777777" w:rsidR="00611BDD" w:rsidRDefault="002E18C7">
            <w:pPr>
              <w:jc w:val="right"/>
              <w:textAlignment w:val="bottom"/>
            </w:pPr>
            <w:r>
              <w:rPr>
                <w:rFonts w:ascii="sans-serif" w:eastAsia="sans-serif" w:hAnsi="sans-serif" w:cs="sans-serif"/>
                <w:color w:val="000000"/>
                <w:sz w:val="20"/>
                <w:szCs w:val="20"/>
              </w:rPr>
              <w:t>15 </w:t>
            </w:r>
          </w:p>
        </w:tc>
        <w:tc>
          <w:tcPr>
            <w:tcW w:w="0" w:type="auto"/>
            <w:shd w:val="clear" w:color="auto" w:fill="E2EFD9"/>
            <w:tcMar>
              <w:top w:w="40" w:type="dxa"/>
              <w:left w:w="0" w:type="dxa"/>
              <w:bottom w:w="40" w:type="dxa"/>
              <w:right w:w="20" w:type="dxa"/>
            </w:tcMar>
            <w:vAlign w:val="bottom"/>
          </w:tcPr>
          <w:p w14:paraId="5406767D" w14:textId="77777777" w:rsidR="00611BDD" w:rsidRDefault="002E18C7">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406767E"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67F" w14:textId="77777777" w:rsidR="00611BDD" w:rsidRDefault="002E18C7">
            <w:pPr>
              <w:jc w:val="right"/>
              <w:textAlignment w:val="bottom"/>
            </w:pPr>
            <w:r>
              <w:rPr>
                <w:rFonts w:ascii="sans-serif" w:eastAsia="sans-serif" w:hAnsi="sans-serif" w:cs="sans-serif"/>
                <w:color w:val="000000"/>
                <w:sz w:val="20"/>
                <w:szCs w:val="20"/>
              </w:rPr>
              <w:t>68 </w:t>
            </w:r>
          </w:p>
        </w:tc>
        <w:tc>
          <w:tcPr>
            <w:tcW w:w="0" w:type="auto"/>
            <w:shd w:val="clear" w:color="auto" w:fill="E2EFD9"/>
            <w:tcMar>
              <w:top w:w="40" w:type="dxa"/>
              <w:left w:w="0" w:type="dxa"/>
              <w:bottom w:w="40" w:type="dxa"/>
              <w:right w:w="20" w:type="dxa"/>
            </w:tcMar>
            <w:vAlign w:val="bottom"/>
          </w:tcPr>
          <w:p w14:paraId="54067680" w14:textId="77777777" w:rsidR="00611BDD" w:rsidRDefault="002E18C7">
            <w:pPr>
              <w:jc w:val="right"/>
              <w:textAlignment w:val="bottom"/>
            </w:pPr>
            <w:r>
              <w:rPr>
                <w:rFonts w:ascii="sans-serif" w:eastAsia="sans-serif" w:hAnsi="sans-serif" w:cs="sans-serif"/>
                <w:color w:val="000000"/>
                <w:sz w:val="20"/>
                <w:szCs w:val="20"/>
              </w:rPr>
              <w:t>%</w:t>
            </w:r>
          </w:p>
        </w:tc>
      </w:tr>
      <w:tr w:rsidR="00611BDD" w14:paraId="5406768F" w14:textId="77777777">
        <w:tc>
          <w:tcPr>
            <w:tcW w:w="0" w:type="auto"/>
            <w:gridSpan w:val="3"/>
            <w:shd w:val="clear" w:color="auto" w:fill="FFFFFF"/>
            <w:tcMar>
              <w:top w:w="40" w:type="dxa"/>
              <w:left w:w="20" w:type="dxa"/>
              <w:bottom w:w="40" w:type="dxa"/>
              <w:right w:w="20" w:type="dxa"/>
            </w:tcMar>
            <w:vAlign w:val="bottom"/>
          </w:tcPr>
          <w:p w14:paraId="54067682" w14:textId="77777777" w:rsidR="00611BDD" w:rsidRDefault="002E18C7">
            <w:pPr>
              <w:textAlignment w:val="bottom"/>
            </w:pPr>
            <w:r>
              <w:rPr>
                <w:rFonts w:ascii="sans-serif" w:eastAsia="sans-serif" w:hAnsi="sans-serif" w:cs="sans-serif"/>
                <w:color w:val="000000"/>
                <w:sz w:val="20"/>
                <w:szCs w:val="20"/>
              </w:rPr>
              <w:t>Gross margin</w:t>
            </w:r>
          </w:p>
        </w:tc>
        <w:tc>
          <w:tcPr>
            <w:tcW w:w="0" w:type="auto"/>
            <w:gridSpan w:val="2"/>
            <w:shd w:val="clear" w:color="auto" w:fill="FFFFFF"/>
            <w:tcMar>
              <w:top w:w="40" w:type="dxa"/>
              <w:left w:w="20" w:type="dxa"/>
              <w:bottom w:w="40" w:type="dxa"/>
              <w:right w:w="0" w:type="dxa"/>
            </w:tcMar>
            <w:vAlign w:val="bottom"/>
          </w:tcPr>
          <w:p w14:paraId="54067683" w14:textId="77777777" w:rsidR="00611BDD" w:rsidRDefault="002E18C7">
            <w:pPr>
              <w:jc w:val="right"/>
              <w:textAlignment w:val="bottom"/>
            </w:pPr>
            <w:r>
              <w:rPr>
                <w:rFonts w:ascii="sans-serif" w:eastAsia="sans-serif" w:hAnsi="sans-serif" w:cs="sans-serif"/>
                <w:color w:val="000000"/>
                <w:sz w:val="20"/>
                <w:szCs w:val="20"/>
              </w:rPr>
              <w:t>64.8 </w:t>
            </w:r>
          </w:p>
        </w:tc>
        <w:tc>
          <w:tcPr>
            <w:tcW w:w="0" w:type="auto"/>
            <w:shd w:val="clear" w:color="auto" w:fill="FFFFFF"/>
            <w:tcMar>
              <w:top w:w="40" w:type="dxa"/>
              <w:left w:w="0" w:type="dxa"/>
              <w:bottom w:w="40" w:type="dxa"/>
              <w:right w:w="20" w:type="dxa"/>
            </w:tcMar>
            <w:vAlign w:val="bottom"/>
          </w:tcPr>
          <w:p w14:paraId="54067684" w14:textId="77777777" w:rsidR="00611BDD" w:rsidRDefault="002E18C7">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54067685"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center"/>
          </w:tcPr>
          <w:p w14:paraId="54067686" w14:textId="77777777" w:rsidR="00611BDD" w:rsidRDefault="002E18C7">
            <w:pPr>
              <w:jc w:val="right"/>
              <w:textAlignment w:val="center"/>
            </w:pPr>
            <w:r>
              <w:rPr>
                <w:rFonts w:ascii="sans-serif" w:eastAsia="sans-serif" w:hAnsi="sans-serif" w:cs="sans-serif"/>
                <w:color w:val="000000"/>
                <w:sz w:val="20"/>
                <w:szCs w:val="20"/>
              </w:rPr>
              <w:t>64.1 </w:t>
            </w:r>
          </w:p>
        </w:tc>
        <w:tc>
          <w:tcPr>
            <w:tcW w:w="0" w:type="auto"/>
            <w:shd w:val="clear" w:color="auto" w:fill="FFFFFF"/>
            <w:tcMar>
              <w:top w:w="40" w:type="dxa"/>
              <w:left w:w="0" w:type="dxa"/>
              <w:bottom w:w="40" w:type="dxa"/>
              <w:right w:w="20" w:type="dxa"/>
            </w:tcMar>
            <w:vAlign w:val="center"/>
          </w:tcPr>
          <w:p w14:paraId="54067687" w14:textId="77777777" w:rsidR="00611BDD" w:rsidRDefault="002E18C7">
            <w:pPr>
              <w:jc w:val="right"/>
              <w:textAlignment w:val="center"/>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54067688"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center"/>
          </w:tcPr>
          <w:p w14:paraId="54067689" w14:textId="77777777" w:rsidR="00611BDD" w:rsidRDefault="002E18C7">
            <w:pPr>
              <w:jc w:val="right"/>
              <w:textAlignment w:val="center"/>
            </w:pPr>
            <w:r>
              <w:rPr>
                <w:rFonts w:ascii="sans-serif" w:eastAsia="sans-serif" w:hAnsi="sans-serif" w:cs="sans-serif"/>
                <w:color w:val="000000"/>
                <w:sz w:val="20"/>
                <w:szCs w:val="20"/>
              </w:rPr>
              <w:t>58.8 </w:t>
            </w:r>
          </w:p>
        </w:tc>
        <w:tc>
          <w:tcPr>
            <w:tcW w:w="0" w:type="auto"/>
            <w:shd w:val="clear" w:color="auto" w:fill="FFFFFF"/>
            <w:tcMar>
              <w:top w:w="40" w:type="dxa"/>
              <w:left w:w="0" w:type="dxa"/>
              <w:bottom w:w="40" w:type="dxa"/>
              <w:right w:w="20" w:type="dxa"/>
            </w:tcMar>
            <w:vAlign w:val="center"/>
          </w:tcPr>
          <w:p w14:paraId="5406768A" w14:textId="77777777" w:rsidR="00611BDD" w:rsidRDefault="002E18C7">
            <w:pPr>
              <w:jc w:val="right"/>
              <w:textAlignment w:val="center"/>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5406768B" w14:textId="77777777" w:rsidR="00611BDD" w:rsidRDefault="00611BDD">
            <w:pPr>
              <w:rPr>
                <w:rFonts w:ascii="宋体"/>
              </w:rPr>
            </w:pPr>
          </w:p>
        </w:tc>
        <w:tc>
          <w:tcPr>
            <w:tcW w:w="0" w:type="auto"/>
            <w:gridSpan w:val="3"/>
            <w:shd w:val="clear" w:color="auto" w:fill="FFFFFF"/>
            <w:tcMar>
              <w:top w:w="40" w:type="dxa"/>
              <w:left w:w="20" w:type="dxa"/>
              <w:bottom w:w="40" w:type="dxa"/>
              <w:right w:w="20" w:type="dxa"/>
            </w:tcMar>
            <w:vAlign w:val="bottom"/>
          </w:tcPr>
          <w:p w14:paraId="5406768C" w14:textId="77777777" w:rsidR="00611BDD" w:rsidRDefault="002E18C7">
            <w:pPr>
              <w:jc w:val="right"/>
              <w:textAlignment w:val="bottom"/>
            </w:pPr>
            <w:r>
              <w:rPr>
                <w:rFonts w:ascii="sans-serif" w:eastAsia="sans-serif" w:hAnsi="sans-serif" w:cs="sans-serif"/>
                <w:color w:val="000000"/>
                <w:sz w:val="20"/>
                <w:szCs w:val="20"/>
              </w:rPr>
              <w:t>70 bps</w:t>
            </w:r>
          </w:p>
        </w:tc>
        <w:tc>
          <w:tcPr>
            <w:tcW w:w="0" w:type="auto"/>
            <w:gridSpan w:val="3"/>
            <w:shd w:val="clear" w:color="auto" w:fill="FFFFFF"/>
            <w:tcMar>
              <w:top w:w="0" w:type="dxa"/>
              <w:left w:w="20" w:type="dxa"/>
              <w:bottom w:w="0" w:type="dxa"/>
              <w:right w:w="20" w:type="dxa"/>
            </w:tcMar>
            <w:vAlign w:val="bottom"/>
          </w:tcPr>
          <w:p w14:paraId="5406768D" w14:textId="77777777" w:rsidR="00611BDD" w:rsidRDefault="00611BDD">
            <w:pPr>
              <w:rPr>
                <w:rFonts w:ascii="宋体"/>
              </w:rPr>
            </w:pPr>
          </w:p>
        </w:tc>
        <w:tc>
          <w:tcPr>
            <w:tcW w:w="0" w:type="auto"/>
            <w:gridSpan w:val="3"/>
            <w:shd w:val="clear" w:color="auto" w:fill="FFFFFF"/>
            <w:tcMar>
              <w:top w:w="40" w:type="dxa"/>
              <w:left w:w="20" w:type="dxa"/>
              <w:bottom w:w="40" w:type="dxa"/>
              <w:right w:w="20" w:type="dxa"/>
            </w:tcMar>
            <w:vAlign w:val="bottom"/>
          </w:tcPr>
          <w:p w14:paraId="5406768E" w14:textId="77777777" w:rsidR="00611BDD" w:rsidRDefault="002E18C7">
            <w:pPr>
              <w:jc w:val="right"/>
              <w:textAlignment w:val="bottom"/>
            </w:pPr>
            <w:r>
              <w:rPr>
                <w:rFonts w:ascii="sans-serif" w:eastAsia="sans-serif" w:hAnsi="sans-serif" w:cs="sans-serif"/>
                <w:color w:val="000000"/>
                <w:sz w:val="20"/>
                <w:szCs w:val="20"/>
              </w:rPr>
              <w:t>600 bps</w:t>
            </w:r>
          </w:p>
        </w:tc>
      </w:tr>
      <w:tr w:rsidR="00611BDD" w14:paraId="540676A2" w14:textId="77777777">
        <w:tc>
          <w:tcPr>
            <w:tcW w:w="0" w:type="auto"/>
            <w:gridSpan w:val="3"/>
            <w:shd w:val="clear" w:color="auto" w:fill="E2EFD9"/>
            <w:tcMar>
              <w:top w:w="40" w:type="dxa"/>
              <w:left w:w="20" w:type="dxa"/>
              <w:bottom w:w="40" w:type="dxa"/>
              <w:right w:w="20" w:type="dxa"/>
            </w:tcMar>
            <w:vAlign w:val="bottom"/>
          </w:tcPr>
          <w:p w14:paraId="54067690" w14:textId="77777777" w:rsidR="00611BDD" w:rsidRDefault="002E18C7">
            <w:pPr>
              <w:textAlignment w:val="bottom"/>
            </w:pPr>
            <w:r>
              <w:rPr>
                <w:rFonts w:ascii="sans-serif" w:eastAsia="sans-serif" w:hAnsi="sans-serif" w:cs="sans-serif"/>
                <w:color w:val="000000"/>
                <w:sz w:val="20"/>
                <w:szCs w:val="20"/>
              </w:rPr>
              <w:t>Operating expenses</w:t>
            </w:r>
          </w:p>
        </w:tc>
        <w:tc>
          <w:tcPr>
            <w:tcW w:w="0" w:type="auto"/>
            <w:shd w:val="clear" w:color="auto" w:fill="E2EFD9"/>
            <w:tcMar>
              <w:top w:w="40" w:type="dxa"/>
              <w:left w:w="20" w:type="dxa"/>
              <w:bottom w:w="40" w:type="dxa"/>
              <w:right w:w="0" w:type="dxa"/>
            </w:tcMar>
            <w:vAlign w:val="bottom"/>
          </w:tcPr>
          <w:p w14:paraId="54067691"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692" w14:textId="77777777" w:rsidR="00611BDD" w:rsidRDefault="002E18C7">
            <w:pPr>
              <w:jc w:val="right"/>
              <w:textAlignment w:val="bottom"/>
            </w:pPr>
            <w:r>
              <w:rPr>
                <w:rFonts w:ascii="sans-serif" w:eastAsia="sans-serif" w:hAnsi="sans-serif" w:cs="sans-serif"/>
                <w:color w:val="000000"/>
                <w:sz w:val="20"/>
                <w:szCs w:val="20"/>
              </w:rPr>
              <w:t>1,771 </w:t>
            </w:r>
          </w:p>
        </w:tc>
        <w:tc>
          <w:tcPr>
            <w:tcW w:w="0" w:type="auto"/>
            <w:shd w:val="clear" w:color="auto" w:fill="E2EFD9"/>
            <w:tcMar>
              <w:top w:w="40" w:type="dxa"/>
              <w:left w:w="0" w:type="dxa"/>
              <w:bottom w:w="40" w:type="dxa"/>
              <w:right w:w="20" w:type="dxa"/>
            </w:tcMar>
            <w:vAlign w:val="bottom"/>
          </w:tcPr>
          <w:p w14:paraId="5406769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694"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695"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696" w14:textId="77777777" w:rsidR="00611BDD" w:rsidRDefault="002E18C7">
            <w:pPr>
              <w:jc w:val="right"/>
              <w:textAlignment w:val="bottom"/>
            </w:pPr>
            <w:r>
              <w:rPr>
                <w:rFonts w:ascii="sans-serif" w:eastAsia="sans-serif" w:hAnsi="sans-serif" w:cs="sans-serif"/>
                <w:color w:val="000000"/>
                <w:sz w:val="20"/>
                <w:szCs w:val="20"/>
              </w:rPr>
              <w:t>1,673 </w:t>
            </w:r>
          </w:p>
        </w:tc>
        <w:tc>
          <w:tcPr>
            <w:tcW w:w="0" w:type="auto"/>
            <w:shd w:val="clear" w:color="auto" w:fill="E2EFD9"/>
            <w:tcMar>
              <w:top w:w="40" w:type="dxa"/>
              <w:left w:w="0" w:type="dxa"/>
              <w:bottom w:w="40" w:type="dxa"/>
              <w:right w:w="20" w:type="dxa"/>
            </w:tcMar>
            <w:vAlign w:val="bottom"/>
          </w:tcPr>
          <w:p w14:paraId="54067697"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698"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699"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69A" w14:textId="77777777" w:rsidR="00611BDD" w:rsidRDefault="002E18C7">
            <w:pPr>
              <w:jc w:val="right"/>
              <w:textAlignment w:val="bottom"/>
            </w:pPr>
            <w:r>
              <w:rPr>
                <w:rFonts w:ascii="sans-serif" w:eastAsia="sans-serif" w:hAnsi="sans-serif" w:cs="sans-serif"/>
                <w:color w:val="000000"/>
                <w:sz w:val="20"/>
                <w:szCs w:val="20"/>
              </w:rPr>
              <w:t>1,624 </w:t>
            </w:r>
          </w:p>
        </w:tc>
        <w:tc>
          <w:tcPr>
            <w:tcW w:w="0" w:type="auto"/>
            <w:shd w:val="clear" w:color="auto" w:fill="E2EFD9"/>
            <w:tcMar>
              <w:top w:w="40" w:type="dxa"/>
              <w:left w:w="0" w:type="dxa"/>
              <w:bottom w:w="40" w:type="dxa"/>
              <w:right w:w="20" w:type="dxa"/>
            </w:tcMar>
            <w:vAlign w:val="bottom"/>
          </w:tcPr>
          <w:p w14:paraId="5406769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69C"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69D" w14:textId="77777777" w:rsidR="00611BDD" w:rsidRDefault="002E18C7">
            <w:pPr>
              <w:jc w:val="right"/>
              <w:textAlignment w:val="bottom"/>
            </w:pPr>
            <w:r>
              <w:rPr>
                <w:rFonts w:ascii="sans-serif" w:eastAsia="sans-serif" w:hAnsi="sans-serif" w:cs="sans-serif"/>
                <w:color w:val="000000"/>
                <w:sz w:val="20"/>
                <w:szCs w:val="20"/>
              </w:rPr>
              <w:t>6 </w:t>
            </w:r>
          </w:p>
        </w:tc>
        <w:tc>
          <w:tcPr>
            <w:tcW w:w="0" w:type="auto"/>
            <w:shd w:val="clear" w:color="auto" w:fill="E2EFD9"/>
            <w:tcMar>
              <w:top w:w="40" w:type="dxa"/>
              <w:left w:w="0" w:type="dxa"/>
              <w:bottom w:w="40" w:type="dxa"/>
              <w:right w:w="20" w:type="dxa"/>
            </w:tcMar>
            <w:vAlign w:val="bottom"/>
          </w:tcPr>
          <w:p w14:paraId="5406769E" w14:textId="77777777" w:rsidR="00611BDD" w:rsidRDefault="002E18C7">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406769F"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6A0" w14:textId="77777777" w:rsidR="00611BDD" w:rsidRDefault="002E18C7">
            <w:pPr>
              <w:jc w:val="right"/>
              <w:textAlignment w:val="bottom"/>
            </w:pPr>
            <w:r>
              <w:rPr>
                <w:rFonts w:ascii="sans-serif" w:eastAsia="sans-serif" w:hAnsi="sans-serif" w:cs="sans-serif"/>
                <w:color w:val="000000"/>
                <w:sz w:val="20"/>
                <w:szCs w:val="20"/>
              </w:rPr>
              <w:t>9 </w:t>
            </w:r>
          </w:p>
        </w:tc>
        <w:tc>
          <w:tcPr>
            <w:tcW w:w="0" w:type="auto"/>
            <w:shd w:val="clear" w:color="auto" w:fill="E2EFD9"/>
            <w:tcMar>
              <w:top w:w="40" w:type="dxa"/>
              <w:left w:w="0" w:type="dxa"/>
              <w:bottom w:w="40" w:type="dxa"/>
              <w:right w:w="20" w:type="dxa"/>
            </w:tcMar>
            <w:vAlign w:val="bottom"/>
          </w:tcPr>
          <w:p w14:paraId="540676A1" w14:textId="77777777" w:rsidR="00611BDD" w:rsidRDefault="002E18C7">
            <w:pPr>
              <w:jc w:val="right"/>
              <w:textAlignment w:val="bottom"/>
            </w:pPr>
            <w:r>
              <w:rPr>
                <w:rFonts w:ascii="sans-serif" w:eastAsia="sans-serif" w:hAnsi="sans-serif" w:cs="sans-serif"/>
                <w:color w:val="000000"/>
                <w:sz w:val="20"/>
                <w:szCs w:val="20"/>
              </w:rPr>
              <w:t>%</w:t>
            </w:r>
          </w:p>
        </w:tc>
      </w:tr>
      <w:tr w:rsidR="00611BDD" w14:paraId="540676B5" w14:textId="77777777">
        <w:tc>
          <w:tcPr>
            <w:tcW w:w="0" w:type="auto"/>
            <w:gridSpan w:val="3"/>
            <w:shd w:val="clear" w:color="auto" w:fill="FFFFFF"/>
            <w:tcMar>
              <w:top w:w="40" w:type="dxa"/>
              <w:left w:w="20" w:type="dxa"/>
              <w:bottom w:w="40" w:type="dxa"/>
              <w:right w:w="20" w:type="dxa"/>
            </w:tcMar>
            <w:vAlign w:val="bottom"/>
          </w:tcPr>
          <w:p w14:paraId="540676A3" w14:textId="77777777" w:rsidR="00611BDD" w:rsidRDefault="002E18C7">
            <w:pPr>
              <w:textAlignment w:val="bottom"/>
            </w:pPr>
            <w:r>
              <w:rPr>
                <w:rFonts w:ascii="sans-serif" w:eastAsia="sans-serif" w:hAnsi="sans-serif" w:cs="sans-serif"/>
                <w:color w:val="000000"/>
                <w:sz w:val="20"/>
                <w:szCs w:val="20"/>
              </w:rPr>
              <w:t>Income from operations</w:t>
            </w:r>
          </w:p>
        </w:tc>
        <w:tc>
          <w:tcPr>
            <w:tcW w:w="0" w:type="auto"/>
            <w:shd w:val="clear" w:color="auto" w:fill="FFFFFF"/>
            <w:tcMar>
              <w:top w:w="40" w:type="dxa"/>
              <w:left w:w="20" w:type="dxa"/>
              <w:bottom w:w="40" w:type="dxa"/>
              <w:right w:w="0" w:type="dxa"/>
            </w:tcMar>
            <w:vAlign w:val="bottom"/>
          </w:tcPr>
          <w:p w14:paraId="540676A4"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76A5" w14:textId="77777777" w:rsidR="00611BDD" w:rsidRDefault="002E18C7">
            <w:pPr>
              <w:jc w:val="right"/>
              <w:textAlignment w:val="bottom"/>
            </w:pPr>
            <w:r>
              <w:rPr>
                <w:rFonts w:ascii="sans-serif" w:eastAsia="sans-serif" w:hAnsi="sans-serif" w:cs="sans-serif"/>
                <w:color w:val="000000"/>
                <w:sz w:val="20"/>
                <w:szCs w:val="20"/>
              </w:rPr>
              <w:t>2,444 </w:t>
            </w:r>
          </w:p>
        </w:tc>
        <w:tc>
          <w:tcPr>
            <w:tcW w:w="0" w:type="auto"/>
            <w:shd w:val="clear" w:color="auto" w:fill="FFFFFF"/>
            <w:tcMar>
              <w:top w:w="40" w:type="dxa"/>
              <w:left w:w="0" w:type="dxa"/>
              <w:bottom w:w="40" w:type="dxa"/>
              <w:right w:w="20" w:type="dxa"/>
            </w:tcMar>
            <w:vAlign w:val="bottom"/>
          </w:tcPr>
          <w:p w14:paraId="540676A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6A7"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76A8"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76A9" w14:textId="77777777" w:rsidR="00611BDD" w:rsidRDefault="002E18C7">
            <w:pPr>
              <w:jc w:val="right"/>
              <w:textAlignment w:val="bottom"/>
            </w:pPr>
            <w:r>
              <w:rPr>
                <w:rFonts w:ascii="sans-serif" w:eastAsia="sans-serif" w:hAnsi="sans-serif" w:cs="sans-serif"/>
                <w:color w:val="000000"/>
                <w:sz w:val="20"/>
                <w:szCs w:val="20"/>
              </w:rPr>
              <w:t>1,956 </w:t>
            </w:r>
          </w:p>
        </w:tc>
        <w:tc>
          <w:tcPr>
            <w:tcW w:w="0" w:type="auto"/>
            <w:shd w:val="clear" w:color="auto" w:fill="FFFFFF"/>
            <w:tcMar>
              <w:top w:w="40" w:type="dxa"/>
              <w:left w:w="0" w:type="dxa"/>
              <w:bottom w:w="40" w:type="dxa"/>
              <w:right w:w="20" w:type="dxa"/>
            </w:tcMar>
            <w:vAlign w:val="bottom"/>
          </w:tcPr>
          <w:p w14:paraId="540676AA"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6AB"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76AC"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76AD" w14:textId="77777777" w:rsidR="00611BDD" w:rsidRDefault="002E18C7">
            <w:pPr>
              <w:jc w:val="right"/>
              <w:textAlignment w:val="bottom"/>
            </w:pPr>
            <w:r>
              <w:rPr>
                <w:rFonts w:ascii="sans-serif" w:eastAsia="sans-serif" w:hAnsi="sans-serif" w:cs="sans-serif"/>
                <w:color w:val="000000"/>
                <w:sz w:val="20"/>
                <w:szCs w:val="20"/>
              </w:rPr>
              <w:t>651 </w:t>
            </w:r>
          </w:p>
        </w:tc>
        <w:tc>
          <w:tcPr>
            <w:tcW w:w="0" w:type="auto"/>
            <w:shd w:val="clear" w:color="auto" w:fill="FFFFFF"/>
            <w:tcMar>
              <w:top w:w="40" w:type="dxa"/>
              <w:left w:w="0" w:type="dxa"/>
              <w:bottom w:w="40" w:type="dxa"/>
              <w:right w:w="20" w:type="dxa"/>
            </w:tcMar>
            <w:vAlign w:val="bottom"/>
          </w:tcPr>
          <w:p w14:paraId="540676AE"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6AF"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6B0" w14:textId="77777777" w:rsidR="00611BDD" w:rsidRDefault="002E18C7">
            <w:pPr>
              <w:jc w:val="right"/>
              <w:textAlignment w:val="bottom"/>
            </w:pPr>
            <w:r>
              <w:rPr>
                <w:rFonts w:ascii="sans-serif" w:eastAsia="sans-serif" w:hAnsi="sans-serif" w:cs="sans-serif"/>
                <w:color w:val="000000"/>
                <w:sz w:val="20"/>
                <w:szCs w:val="20"/>
              </w:rPr>
              <w:t>25 </w:t>
            </w:r>
          </w:p>
        </w:tc>
        <w:tc>
          <w:tcPr>
            <w:tcW w:w="0" w:type="auto"/>
            <w:shd w:val="clear" w:color="auto" w:fill="FFFFFF"/>
            <w:tcMar>
              <w:top w:w="40" w:type="dxa"/>
              <w:left w:w="0" w:type="dxa"/>
              <w:bottom w:w="40" w:type="dxa"/>
              <w:right w:w="20" w:type="dxa"/>
            </w:tcMar>
            <w:vAlign w:val="bottom"/>
          </w:tcPr>
          <w:p w14:paraId="540676B1" w14:textId="77777777" w:rsidR="00611BDD" w:rsidRDefault="002E18C7">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540676B2"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6B3" w14:textId="77777777" w:rsidR="00611BDD" w:rsidRDefault="002E18C7">
            <w:pPr>
              <w:jc w:val="right"/>
              <w:textAlignment w:val="bottom"/>
            </w:pPr>
            <w:r>
              <w:rPr>
                <w:rFonts w:ascii="sans-serif" w:eastAsia="sans-serif" w:hAnsi="sans-serif" w:cs="sans-serif"/>
                <w:color w:val="000000"/>
                <w:sz w:val="20"/>
                <w:szCs w:val="20"/>
              </w:rPr>
              <w:t>275 </w:t>
            </w:r>
          </w:p>
        </w:tc>
        <w:tc>
          <w:tcPr>
            <w:tcW w:w="0" w:type="auto"/>
            <w:shd w:val="clear" w:color="auto" w:fill="FFFFFF"/>
            <w:tcMar>
              <w:top w:w="40" w:type="dxa"/>
              <w:left w:w="0" w:type="dxa"/>
              <w:bottom w:w="40" w:type="dxa"/>
              <w:right w:w="20" w:type="dxa"/>
            </w:tcMar>
            <w:vAlign w:val="bottom"/>
          </w:tcPr>
          <w:p w14:paraId="540676B4" w14:textId="77777777" w:rsidR="00611BDD" w:rsidRDefault="002E18C7">
            <w:pPr>
              <w:jc w:val="right"/>
              <w:textAlignment w:val="bottom"/>
            </w:pPr>
            <w:r>
              <w:rPr>
                <w:rFonts w:ascii="sans-serif" w:eastAsia="sans-serif" w:hAnsi="sans-serif" w:cs="sans-serif"/>
                <w:color w:val="000000"/>
                <w:sz w:val="20"/>
                <w:szCs w:val="20"/>
              </w:rPr>
              <w:t>%</w:t>
            </w:r>
          </w:p>
        </w:tc>
      </w:tr>
      <w:tr w:rsidR="00611BDD" w14:paraId="540676C8" w14:textId="77777777">
        <w:tc>
          <w:tcPr>
            <w:tcW w:w="0" w:type="auto"/>
            <w:gridSpan w:val="3"/>
            <w:shd w:val="clear" w:color="auto" w:fill="E2EFD9"/>
            <w:tcMar>
              <w:top w:w="40" w:type="dxa"/>
              <w:left w:w="20" w:type="dxa"/>
              <w:bottom w:w="40" w:type="dxa"/>
              <w:right w:w="20" w:type="dxa"/>
            </w:tcMar>
            <w:vAlign w:val="bottom"/>
          </w:tcPr>
          <w:p w14:paraId="540676B6" w14:textId="77777777" w:rsidR="00611BDD" w:rsidRDefault="002E18C7">
            <w:pPr>
              <w:textAlignment w:val="bottom"/>
            </w:pPr>
            <w:r>
              <w:rPr>
                <w:rFonts w:ascii="sans-serif" w:eastAsia="sans-serif" w:hAnsi="sans-serif" w:cs="sans-serif"/>
                <w:color w:val="000000"/>
                <w:sz w:val="20"/>
                <w:szCs w:val="20"/>
              </w:rPr>
              <w:t>Net income</w:t>
            </w:r>
          </w:p>
        </w:tc>
        <w:tc>
          <w:tcPr>
            <w:tcW w:w="0" w:type="auto"/>
            <w:shd w:val="clear" w:color="auto" w:fill="E2EFD9"/>
            <w:tcMar>
              <w:top w:w="40" w:type="dxa"/>
              <w:left w:w="20" w:type="dxa"/>
              <w:bottom w:w="40" w:type="dxa"/>
              <w:right w:w="0" w:type="dxa"/>
            </w:tcMar>
            <w:vAlign w:val="bottom"/>
          </w:tcPr>
          <w:p w14:paraId="540676B7"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6B8" w14:textId="77777777" w:rsidR="00611BDD" w:rsidRDefault="002E18C7">
            <w:pPr>
              <w:jc w:val="right"/>
              <w:textAlignment w:val="bottom"/>
            </w:pPr>
            <w:r>
              <w:rPr>
                <w:rFonts w:ascii="sans-serif" w:eastAsia="sans-serif" w:hAnsi="sans-serif" w:cs="sans-serif"/>
                <w:color w:val="000000"/>
                <w:sz w:val="20"/>
                <w:szCs w:val="20"/>
              </w:rPr>
              <w:t>2,374 </w:t>
            </w:r>
          </w:p>
        </w:tc>
        <w:tc>
          <w:tcPr>
            <w:tcW w:w="0" w:type="auto"/>
            <w:shd w:val="clear" w:color="auto" w:fill="E2EFD9"/>
            <w:tcMar>
              <w:top w:w="40" w:type="dxa"/>
              <w:left w:w="0" w:type="dxa"/>
              <w:bottom w:w="40" w:type="dxa"/>
              <w:right w:w="20" w:type="dxa"/>
            </w:tcMar>
            <w:vAlign w:val="bottom"/>
          </w:tcPr>
          <w:p w14:paraId="540676B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6BA"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6BB"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6BC" w14:textId="77777777" w:rsidR="00611BDD" w:rsidRDefault="002E18C7">
            <w:pPr>
              <w:jc w:val="right"/>
              <w:textAlignment w:val="bottom"/>
            </w:pPr>
            <w:r>
              <w:rPr>
                <w:rFonts w:ascii="sans-serif" w:eastAsia="sans-serif" w:hAnsi="sans-serif" w:cs="sans-serif"/>
                <w:color w:val="000000"/>
                <w:sz w:val="20"/>
                <w:szCs w:val="20"/>
              </w:rPr>
              <w:t>1,912 </w:t>
            </w:r>
          </w:p>
        </w:tc>
        <w:tc>
          <w:tcPr>
            <w:tcW w:w="0" w:type="auto"/>
            <w:shd w:val="clear" w:color="auto" w:fill="E2EFD9"/>
            <w:tcMar>
              <w:top w:w="40" w:type="dxa"/>
              <w:left w:w="0" w:type="dxa"/>
              <w:bottom w:w="40" w:type="dxa"/>
              <w:right w:w="20" w:type="dxa"/>
            </w:tcMar>
            <w:vAlign w:val="bottom"/>
          </w:tcPr>
          <w:p w14:paraId="540676BD"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6BE"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6BF"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6C0" w14:textId="77777777" w:rsidR="00611BDD" w:rsidRDefault="002E18C7">
            <w:pPr>
              <w:jc w:val="right"/>
              <w:textAlignment w:val="bottom"/>
            </w:pPr>
            <w:r>
              <w:rPr>
                <w:rFonts w:ascii="sans-serif" w:eastAsia="sans-serif" w:hAnsi="sans-serif" w:cs="sans-serif"/>
                <w:color w:val="000000"/>
                <w:sz w:val="20"/>
                <w:szCs w:val="20"/>
              </w:rPr>
              <w:t>622 </w:t>
            </w:r>
          </w:p>
        </w:tc>
        <w:tc>
          <w:tcPr>
            <w:tcW w:w="0" w:type="auto"/>
            <w:shd w:val="clear" w:color="auto" w:fill="E2EFD9"/>
            <w:tcMar>
              <w:top w:w="40" w:type="dxa"/>
              <w:left w:w="0" w:type="dxa"/>
              <w:bottom w:w="40" w:type="dxa"/>
              <w:right w:w="20" w:type="dxa"/>
            </w:tcMar>
            <w:vAlign w:val="bottom"/>
          </w:tcPr>
          <w:p w14:paraId="540676C1"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6C2"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6C3" w14:textId="77777777" w:rsidR="00611BDD" w:rsidRDefault="002E18C7">
            <w:pPr>
              <w:jc w:val="right"/>
              <w:textAlignment w:val="bottom"/>
            </w:pPr>
            <w:r>
              <w:rPr>
                <w:rFonts w:ascii="sans-serif" w:eastAsia="sans-serif" w:hAnsi="sans-serif" w:cs="sans-serif"/>
                <w:color w:val="000000"/>
                <w:sz w:val="20"/>
                <w:szCs w:val="20"/>
              </w:rPr>
              <w:t>24 </w:t>
            </w:r>
          </w:p>
        </w:tc>
        <w:tc>
          <w:tcPr>
            <w:tcW w:w="0" w:type="auto"/>
            <w:shd w:val="clear" w:color="auto" w:fill="E2EFD9"/>
            <w:tcMar>
              <w:top w:w="40" w:type="dxa"/>
              <w:left w:w="0" w:type="dxa"/>
              <w:bottom w:w="40" w:type="dxa"/>
              <w:right w:w="20" w:type="dxa"/>
            </w:tcMar>
            <w:vAlign w:val="bottom"/>
          </w:tcPr>
          <w:p w14:paraId="540676C4" w14:textId="77777777" w:rsidR="00611BDD" w:rsidRDefault="002E18C7">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40676C5"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6C6" w14:textId="77777777" w:rsidR="00611BDD" w:rsidRDefault="002E18C7">
            <w:pPr>
              <w:jc w:val="right"/>
              <w:textAlignment w:val="bottom"/>
            </w:pPr>
            <w:r>
              <w:rPr>
                <w:rFonts w:ascii="sans-serif" w:eastAsia="sans-serif" w:hAnsi="sans-serif" w:cs="sans-serif"/>
                <w:color w:val="000000"/>
                <w:sz w:val="20"/>
                <w:szCs w:val="20"/>
              </w:rPr>
              <w:t>282 </w:t>
            </w:r>
          </w:p>
        </w:tc>
        <w:tc>
          <w:tcPr>
            <w:tcW w:w="0" w:type="auto"/>
            <w:shd w:val="clear" w:color="auto" w:fill="E2EFD9"/>
            <w:tcMar>
              <w:top w:w="40" w:type="dxa"/>
              <w:left w:w="0" w:type="dxa"/>
              <w:bottom w:w="40" w:type="dxa"/>
              <w:right w:w="20" w:type="dxa"/>
            </w:tcMar>
            <w:vAlign w:val="bottom"/>
          </w:tcPr>
          <w:p w14:paraId="540676C7" w14:textId="77777777" w:rsidR="00611BDD" w:rsidRDefault="002E18C7">
            <w:pPr>
              <w:jc w:val="right"/>
              <w:textAlignment w:val="bottom"/>
            </w:pPr>
            <w:r>
              <w:rPr>
                <w:rFonts w:ascii="sans-serif" w:eastAsia="sans-serif" w:hAnsi="sans-serif" w:cs="sans-serif"/>
                <w:color w:val="000000"/>
                <w:sz w:val="20"/>
                <w:szCs w:val="20"/>
              </w:rPr>
              <w:t>%</w:t>
            </w:r>
          </w:p>
        </w:tc>
      </w:tr>
      <w:tr w:rsidR="00611BDD" w14:paraId="540676DB" w14:textId="77777777">
        <w:tc>
          <w:tcPr>
            <w:tcW w:w="0" w:type="auto"/>
            <w:gridSpan w:val="3"/>
            <w:shd w:val="clear" w:color="auto" w:fill="FFFFFF"/>
            <w:tcMar>
              <w:top w:w="40" w:type="dxa"/>
              <w:left w:w="20" w:type="dxa"/>
              <w:bottom w:w="40" w:type="dxa"/>
              <w:right w:w="20" w:type="dxa"/>
            </w:tcMar>
            <w:vAlign w:val="bottom"/>
          </w:tcPr>
          <w:p w14:paraId="540676C9" w14:textId="77777777" w:rsidR="00611BDD" w:rsidRDefault="002E18C7">
            <w:pPr>
              <w:textAlignment w:val="bottom"/>
            </w:pPr>
            <w:r>
              <w:rPr>
                <w:rFonts w:ascii="sans-serif" w:eastAsia="sans-serif" w:hAnsi="sans-serif" w:cs="sans-serif"/>
                <w:color w:val="000000"/>
                <w:sz w:val="20"/>
                <w:szCs w:val="20"/>
              </w:rPr>
              <w:t>Net income per diluted share</w:t>
            </w:r>
          </w:p>
        </w:tc>
        <w:tc>
          <w:tcPr>
            <w:tcW w:w="0" w:type="auto"/>
            <w:shd w:val="clear" w:color="auto" w:fill="FFFFFF"/>
            <w:tcMar>
              <w:top w:w="40" w:type="dxa"/>
              <w:left w:w="20" w:type="dxa"/>
              <w:bottom w:w="40" w:type="dxa"/>
              <w:right w:w="0" w:type="dxa"/>
            </w:tcMar>
            <w:vAlign w:val="bottom"/>
          </w:tcPr>
          <w:p w14:paraId="540676CA"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76CB" w14:textId="77777777" w:rsidR="00611BDD" w:rsidRDefault="002E18C7">
            <w:pPr>
              <w:jc w:val="right"/>
              <w:textAlignment w:val="bottom"/>
            </w:pPr>
            <w:r>
              <w:rPr>
                <w:rFonts w:ascii="sans-serif" w:eastAsia="sans-serif" w:hAnsi="sans-serif" w:cs="sans-serif"/>
                <w:color w:val="000000"/>
                <w:sz w:val="20"/>
                <w:szCs w:val="20"/>
              </w:rPr>
              <w:t>0.94 </w:t>
            </w:r>
          </w:p>
        </w:tc>
        <w:tc>
          <w:tcPr>
            <w:tcW w:w="0" w:type="auto"/>
            <w:shd w:val="clear" w:color="auto" w:fill="FFFFFF"/>
            <w:tcMar>
              <w:top w:w="40" w:type="dxa"/>
              <w:left w:w="0" w:type="dxa"/>
              <w:bottom w:w="40" w:type="dxa"/>
              <w:right w:w="20" w:type="dxa"/>
            </w:tcMar>
            <w:vAlign w:val="bottom"/>
          </w:tcPr>
          <w:p w14:paraId="540676CC"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6CD"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76CE"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76CF" w14:textId="77777777" w:rsidR="00611BDD" w:rsidRDefault="002E18C7">
            <w:pPr>
              <w:jc w:val="right"/>
              <w:textAlignment w:val="bottom"/>
            </w:pPr>
            <w:r>
              <w:rPr>
                <w:rFonts w:ascii="sans-serif" w:eastAsia="sans-serif" w:hAnsi="sans-serif" w:cs="sans-serif"/>
                <w:color w:val="000000"/>
                <w:sz w:val="20"/>
                <w:szCs w:val="20"/>
              </w:rPr>
              <w:t>0.76 </w:t>
            </w:r>
          </w:p>
        </w:tc>
        <w:tc>
          <w:tcPr>
            <w:tcW w:w="0" w:type="auto"/>
            <w:shd w:val="clear" w:color="auto" w:fill="FFFFFF"/>
            <w:tcMar>
              <w:top w:w="40" w:type="dxa"/>
              <w:left w:w="0" w:type="dxa"/>
              <w:bottom w:w="40" w:type="dxa"/>
              <w:right w:w="20" w:type="dxa"/>
            </w:tcMar>
            <w:vAlign w:val="bottom"/>
          </w:tcPr>
          <w:p w14:paraId="540676D0"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6D1"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76D2"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76D3" w14:textId="77777777" w:rsidR="00611BDD" w:rsidRDefault="002E18C7">
            <w:pPr>
              <w:jc w:val="right"/>
              <w:textAlignment w:val="bottom"/>
            </w:pPr>
            <w:r>
              <w:rPr>
                <w:rFonts w:ascii="sans-serif" w:eastAsia="sans-serif" w:hAnsi="sans-serif" w:cs="sans-serif"/>
                <w:color w:val="000000"/>
                <w:sz w:val="20"/>
                <w:szCs w:val="20"/>
              </w:rPr>
              <w:t>0.25 </w:t>
            </w:r>
          </w:p>
        </w:tc>
        <w:tc>
          <w:tcPr>
            <w:tcW w:w="0" w:type="auto"/>
            <w:shd w:val="clear" w:color="auto" w:fill="FFFFFF"/>
            <w:tcMar>
              <w:top w:w="40" w:type="dxa"/>
              <w:left w:w="0" w:type="dxa"/>
              <w:bottom w:w="40" w:type="dxa"/>
              <w:right w:w="20" w:type="dxa"/>
            </w:tcMar>
            <w:vAlign w:val="bottom"/>
          </w:tcPr>
          <w:p w14:paraId="540676D4"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6D5"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6D6" w14:textId="77777777" w:rsidR="00611BDD" w:rsidRDefault="002E18C7">
            <w:pPr>
              <w:jc w:val="right"/>
              <w:textAlignment w:val="bottom"/>
            </w:pPr>
            <w:r>
              <w:rPr>
                <w:rFonts w:ascii="sans-serif" w:eastAsia="sans-serif" w:hAnsi="sans-serif" w:cs="sans-serif"/>
                <w:color w:val="000000"/>
                <w:sz w:val="20"/>
                <w:szCs w:val="20"/>
              </w:rPr>
              <w:t>24 </w:t>
            </w:r>
          </w:p>
        </w:tc>
        <w:tc>
          <w:tcPr>
            <w:tcW w:w="0" w:type="auto"/>
            <w:shd w:val="clear" w:color="auto" w:fill="FFFFFF"/>
            <w:tcMar>
              <w:top w:w="40" w:type="dxa"/>
              <w:left w:w="0" w:type="dxa"/>
              <w:bottom w:w="40" w:type="dxa"/>
              <w:right w:w="20" w:type="dxa"/>
            </w:tcMar>
            <w:vAlign w:val="bottom"/>
          </w:tcPr>
          <w:p w14:paraId="540676D7" w14:textId="77777777" w:rsidR="00611BDD" w:rsidRDefault="002E18C7">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540676D8"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6D9" w14:textId="77777777" w:rsidR="00611BDD" w:rsidRDefault="002E18C7">
            <w:pPr>
              <w:jc w:val="right"/>
              <w:textAlignment w:val="bottom"/>
            </w:pPr>
            <w:r>
              <w:rPr>
                <w:rFonts w:ascii="sans-serif" w:eastAsia="sans-serif" w:hAnsi="sans-serif" w:cs="sans-serif"/>
                <w:color w:val="000000"/>
                <w:sz w:val="20"/>
                <w:szCs w:val="20"/>
              </w:rPr>
              <w:t>276 </w:t>
            </w:r>
          </w:p>
        </w:tc>
        <w:tc>
          <w:tcPr>
            <w:tcW w:w="0" w:type="auto"/>
            <w:shd w:val="clear" w:color="auto" w:fill="FFFFFF"/>
            <w:tcMar>
              <w:top w:w="40" w:type="dxa"/>
              <w:left w:w="0" w:type="dxa"/>
              <w:bottom w:w="40" w:type="dxa"/>
              <w:right w:w="20" w:type="dxa"/>
            </w:tcMar>
            <w:vAlign w:val="bottom"/>
          </w:tcPr>
          <w:p w14:paraId="540676DA" w14:textId="77777777" w:rsidR="00611BDD" w:rsidRDefault="002E18C7">
            <w:pPr>
              <w:jc w:val="right"/>
              <w:textAlignment w:val="bottom"/>
            </w:pPr>
            <w:r>
              <w:rPr>
                <w:rFonts w:ascii="sans-serif" w:eastAsia="sans-serif" w:hAnsi="sans-serif" w:cs="sans-serif"/>
                <w:color w:val="000000"/>
                <w:sz w:val="20"/>
                <w:szCs w:val="20"/>
              </w:rPr>
              <w:t>%</w:t>
            </w:r>
          </w:p>
        </w:tc>
      </w:tr>
    </w:tbl>
    <w:p w14:paraId="540676DC" w14:textId="77777777" w:rsidR="00611BDD" w:rsidRDefault="002E18C7">
      <w:pPr>
        <w:spacing w:after="180"/>
        <w:jc w:val="both"/>
      </w:pPr>
      <w:r>
        <w:rPr>
          <w:rFonts w:ascii="sans-serif" w:eastAsia="sans-serif" w:hAnsi="sans-serif" w:cs="sans-serif"/>
          <w:color w:val="000000"/>
          <w:sz w:val="20"/>
          <w:szCs w:val="20"/>
        </w:rPr>
        <w:t xml:space="preserve">We specialize in markets where our computing platforms can provide tremendous acceleration for applications. These </w:t>
      </w:r>
      <w:r>
        <w:rPr>
          <w:rFonts w:ascii="sans-serif" w:eastAsia="sans-serif" w:hAnsi="sans-serif" w:cs="sans-serif"/>
          <w:color w:val="000000"/>
          <w:sz w:val="20"/>
          <w:szCs w:val="20"/>
        </w:rPr>
        <w:t>platforms incorporate processors, interconnects, software, algorithms, systems, and services to deliver unique value. Our platforms address four large markets where our expertise is critical: Gaming, Data Center, Professional Visualization, and Automotive.</w:t>
      </w:r>
    </w:p>
    <w:p w14:paraId="540676DD" w14:textId="77777777" w:rsidR="00611BDD" w:rsidRDefault="002E18C7">
      <w:pPr>
        <w:spacing w:after="180"/>
        <w:jc w:val="both"/>
      </w:pPr>
      <w:r>
        <w:rPr>
          <w:rFonts w:ascii="sans-serif" w:eastAsia="sans-serif" w:hAnsi="sans-serif" w:cs="sans-serif"/>
          <w:color w:val="000000"/>
          <w:sz w:val="20"/>
          <w:szCs w:val="20"/>
        </w:rPr>
        <w:t xml:space="preserve">Revenue for the second quarter of fiscal year 2022 was $6.51 billion, up 68% from a year earlier. </w:t>
      </w:r>
    </w:p>
    <w:p w14:paraId="540676DE" w14:textId="77777777" w:rsidR="00611BDD" w:rsidRDefault="002E18C7">
      <w:pPr>
        <w:spacing w:after="180"/>
        <w:jc w:val="both"/>
      </w:pPr>
      <w:r>
        <w:rPr>
          <w:rFonts w:ascii="sans-serif" w:eastAsia="sans-serif" w:hAnsi="sans-serif" w:cs="sans-serif"/>
          <w:color w:val="000000"/>
          <w:sz w:val="20"/>
          <w:szCs w:val="20"/>
        </w:rPr>
        <w:t>Gaming revenue was up 85% from a year ago and up 11% sequentially, reflecting higher sales in GeForce GPUs and game-console SOCs. We continued to benefit fr</w:t>
      </w:r>
      <w:r>
        <w:rPr>
          <w:rFonts w:ascii="sans-serif" w:eastAsia="sans-serif" w:hAnsi="sans-serif" w:cs="sans-serif"/>
          <w:color w:val="000000"/>
          <w:sz w:val="20"/>
          <w:szCs w:val="20"/>
        </w:rPr>
        <w:t>om strong sales of our GeForce RTX 30 Series based on the NVIDIA Ampere architecture. We have introduced LHR GeForce GPUs with limited Ethereum mining capability and increased the supply of CMP in an effort to direct GeForce to gamers and CMP to miners. Ov</w:t>
      </w:r>
      <w:r>
        <w:rPr>
          <w:rFonts w:ascii="sans-serif" w:eastAsia="sans-serif" w:hAnsi="sans-serif" w:cs="sans-serif"/>
          <w:color w:val="000000"/>
          <w:sz w:val="20"/>
          <w:szCs w:val="20"/>
        </w:rPr>
        <w:t>er 80% of our Ampere architecture-based GeForce GPU shipments in the quarter were LHR GPUs. CMP is included in OEM.</w:t>
      </w:r>
    </w:p>
    <w:p w14:paraId="540676DF" w14:textId="77777777" w:rsidR="00611BDD" w:rsidRDefault="002E18C7">
      <w:pPr>
        <w:spacing w:after="180"/>
        <w:jc w:val="both"/>
      </w:pPr>
      <w:r>
        <w:rPr>
          <w:rFonts w:ascii="sans-serif" w:eastAsia="sans-serif" w:hAnsi="sans-serif" w:cs="sans-serif"/>
          <w:color w:val="000000"/>
          <w:sz w:val="20"/>
          <w:szCs w:val="20"/>
        </w:rPr>
        <w:t>Data Center revenue was up 35% from a year ago and up 16% sequentially. The year-on-year growth was led by the ramp of NVIDIA Ampere archite</w:t>
      </w:r>
      <w:r>
        <w:rPr>
          <w:rFonts w:ascii="sans-serif" w:eastAsia="sans-serif" w:hAnsi="sans-serif" w:cs="sans-serif"/>
          <w:color w:val="000000"/>
          <w:sz w:val="20"/>
          <w:szCs w:val="20"/>
        </w:rPr>
        <w:t>cture products into vertical industries and hyperscale customers, including strong growth in inference. Sequentially, growth stemmed from both compute and networking products, led by hyperscale customers.</w:t>
      </w:r>
    </w:p>
    <w:p w14:paraId="540676E0" w14:textId="77777777" w:rsidR="00611BDD" w:rsidRDefault="002E18C7">
      <w:pPr>
        <w:spacing w:after="180"/>
        <w:jc w:val="both"/>
      </w:pPr>
      <w:r>
        <w:rPr>
          <w:rFonts w:ascii="sans-serif" w:eastAsia="sans-serif" w:hAnsi="sans-serif" w:cs="sans-serif"/>
          <w:color w:val="000000"/>
          <w:sz w:val="20"/>
          <w:szCs w:val="20"/>
        </w:rPr>
        <w:t>Professional Visualization revenue was up 156% from</w:t>
      </w:r>
      <w:r>
        <w:rPr>
          <w:rFonts w:ascii="sans-serif" w:eastAsia="sans-serif" w:hAnsi="sans-serif" w:cs="sans-serif"/>
          <w:color w:val="000000"/>
          <w:sz w:val="20"/>
          <w:szCs w:val="20"/>
        </w:rPr>
        <w:t xml:space="preserve"> a year earlier and up 40% sequentially, driven by the ramp of NVIDIA Ampere architecture GPUs, with growth led by desktop workstation GPUs.</w:t>
      </w:r>
    </w:p>
    <w:p w14:paraId="540676E1" w14:textId="77777777" w:rsidR="00611BDD" w:rsidRDefault="002E18C7">
      <w:pPr>
        <w:spacing w:after="180"/>
        <w:jc w:val="both"/>
      </w:pPr>
      <w:r>
        <w:rPr>
          <w:rFonts w:ascii="sans-serif" w:eastAsia="sans-serif" w:hAnsi="sans-serif" w:cs="sans-serif"/>
          <w:color w:val="000000"/>
          <w:sz w:val="20"/>
          <w:szCs w:val="20"/>
        </w:rPr>
        <w:t>Automotive revenue was up 37% from a year earlier and down 1% sequentially. The year-on-year increase was due to th</w:t>
      </w:r>
      <w:r>
        <w:rPr>
          <w:rFonts w:ascii="sans-serif" w:eastAsia="sans-serif" w:hAnsi="sans-serif" w:cs="sans-serif"/>
          <w:color w:val="000000"/>
          <w:sz w:val="20"/>
          <w:szCs w:val="20"/>
        </w:rPr>
        <w:t>e recovery in automotive demand which was impacted by the pandemic in the prior year.</w:t>
      </w:r>
    </w:p>
    <w:p w14:paraId="540676E2" w14:textId="77777777" w:rsidR="00611BDD" w:rsidRDefault="002E18C7">
      <w:pPr>
        <w:spacing w:after="180"/>
        <w:jc w:val="both"/>
      </w:pPr>
      <w:r>
        <w:rPr>
          <w:rFonts w:ascii="sans-serif" w:eastAsia="sans-serif" w:hAnsi="sans-serif" w:cs="sans-serif"/>
          <w:color w:val="000000"/>
          <w:sz w:val="20"/>
          <w:szCs w:val="20"/>
        </w:rPr>
        <w:t>OEM and Other revenue was up 180% from a year ago and up 25% sequentially, primarily reflecting growth in CMP, which generated revenue of $266 million.</w:t>
      </w:r>
    </w:p>
    <w:p w14:paraId="540676E3" w14:textId="77777777" w:rsidR="00611BDD" w:rsidRDefault="002E18C7">
      <w:pPr>
        <w:spacing w:after="180"/>
        <w:jc w:val="both"/>
      </w:pPr>
      <w:r>
        <w:rPr>
          <w:rFonts w:ascii="sans-serif" w:eastAsia="sans-serif" w:hAnsi="sans-serif" w:cs="sans-serif"/>
          <w:color w:val="000000"/>
          <w:sz w:val="20"/>
          <w:szCs w:val="20"/>
        </w:rPr>
        <w:t xml:space="preserve">GAAP gross margin </w:t>
      </w:r>
      <w:r>
        <w:rPr>
          <w:rFonts w:ascii="sans-serif" w:eastAsia="sans-serif" w:hAnsi="sans-serif" w:cs="sans-serif"/>
          <w:color w:val="000000"/>
          <w:sz w:val="20"/>
          <w:szCs w:val="20"/>
        </w:rPr>
        <w:t xml:space="preserve">for the second quarter was up 600 basis points from a year earlier, primarily due to a non-recurring inventory step-up expense of $161 million related to the Mellanox acquisition in the second quarter of fiscal year 2021. GAAP gross margin was up 70 basis </w:t>
      </w:r>
      <w:r>
        <w:rPr>
          <w:rFonts w:ascii="sans-serif" w:eastAsia="sans-serif" w:hAnsi="sans-serif" w:cs="sans-serif"/>
          <w:color w:val="000000"/>
          <w:sz w:val="20"/>
          <w:szCs w:val="20"/>
        </w:rPr>
        <w:t>points sequentially.</w:t>
      </w:r>
    </w:p>
    <w:p w14:paraId="540676E4" w14:textId="77777777" w:rsidR="00611BDD" w:rsidRDefault="002E18C7">
      <w:pPr>
        <w:spacing w:after="180"/>
        <w:jc w:val="both"/>
      </w:pPr>
      <w:r>
        <w:rPr>
          <w:rFonts w:ascii="sans-serif" w:eastAsia="sans-serif" w:hAnsi="sans-serif" w:cs="sans-serif"/>
          <w:color w:val="000000"/>
          <w:sz w:val="20"/>
          <w:szCs w:val="20"/>
        </w:rPr>
        <w:t>Operating expenses for the second quarter were up 9% from a year earlier and up 6% sequentially. The year-on-year and sequential increases were primarily driven by compensation-related costs largely relating to employee growth. The yea</w:t>
      </w:r>
      <w:r>
        <w:rPr>
          <w:rFonts w:ascii="sans-serif" w:eastAsia="sans-serif" w:hAnsi="sans-serif" w:cs="sans-serif"/>
          <w:color w:val="000000"/>
          <w:sz w:val="20"/>
          <w:szCs w:val="20"/>
        </w:rPr>
        <w:t xml:space="preserve">r-on-year increase also reflects growth of infrastructure costs. </w:t>
      </w:r>
    </w:p>
    <w:p w14:paraId="540676E5" w14:textId="77777777" w:rsidR="00611BDD" w:rsidRDefault="002E18C7">
      <w:pPr>
        <w:spacing w:after="180"/>
        <w:jc w:val="center"/>
      </w:pPr>
      <w:r>
        <w:rPr>
          <w:rFonts w:ascii="sans-serif" w:eastAsia="sans-serif" w:hAnsi="sans-serif" w:cs="sans-serif"/>
          <w:color w:val="000000"/>
          <w:sz w:val="20"/>
          <w:szCs w:val="20"/>
        </w:rPr>
        <w:t>26</w:t>
      </w:r>
    </w:p>
    <w:p w14:paraId="540676E6" w14:textId="77777777" w:rsidR="00611BDD" w:rsidRDefault="002E18C7">
      <w:r>
        <w:pict w14:anchorId="54067C3E">
          <v:rect id="_x0000_i1050" style="width:415.3pt;height:1.5pt" o:hralign="center" o:hrstd="t" o:hr="t" fillcolor="#a0a0a0" stroked="f"/>
        </w:pict>
      </w:r>
    </w:p>
    <w:p w14:paraId="540676E7" w14:textId="77777777" w:rsidR="00611BDD" w:rsidRDefault="00611BDD">
      <w:pPr>
        <w:spacing w:after="180"/>
        <w:jc w:val="both"/>
      </w:pPr>
    </w:p>
    <w:p w14:paraId="540676E8" w14:textId="77777777" w:rsidR="00611BDD" w:rsidRDefault="00611BDD">
      <w:pPr>
        <w:spacing w:after="180"/>
        <w:jc w:val="both"/>
      </w:pPr>
    </w:p>
    <w:p w14:paraId="540676E9" w14:textId="77777777" w:rsidR="00611BDD" w:rsidRDefault="00611BDD">
      <w:pPr>
        <w:spacing w:after="180"/>
        <w:jc w:val="both"/>
      </w:pPr>
    </w:p>
    <w:p w14:paraId="540676EA" w14:textId="77777777" w:rsidR="00611BDD" w:rsidRDefault="002E18C7">
      <w:pPr>
        <w:spacing w:after="180"/>
        <w:jc w:val="both"/>
      </w:pPr>
      <w:r>
        <w:rPr>
          <w:rFonts w:ascii="sans-serif" w:eastAsia="sans-serif" w:hAnsi="sans-serif" w:cs="sans-serif"/>
          <w:color w:val="000000"/>
          <w:sz w:val="20"/>
          <w:szCs w:val="20"/>
        </w:rPr>
        <w:t>Income from operations was $2.44 billion, up 275% from a year earlier and up 25% sequentially. Net income was $2.37 billion. Net income per diluted share was $0.94, up 276% from a ye</w:t>
      </w:r>
      <w:r>
        <w:rPr>
          <w:rFonts w:ascii="sans-serif" w:eastAsia="sans-serif" w:hAnsi="sans-serif" w:cs="sans-serif"/>
          <w:color w:val="000000"/>
          <w:sz w:val="20"/>
          <w:szCs w:val="20"/>
        </w:rPr>
        <w:t>ar earlier and up 24% sequentially.</w:t>
      </w:r>
    </w:p>
    <w:p w14:paraId="540676EB" w14:textId="77777777" w:rsidR="00611BDD" w:rsidRDefault="002E18C7">
      <w:pPr>
        <w:spacing w:after="180"/>
        <w:jc w:val="both"/>
      </w:pPr>
      <w:r>
        <w:rPr>
          <w:rFonts w:ascii="sans-serif" w:eastAsia="sans-serif" w:hAnsi="sans-serif" w:cs="sans-serif"/>
          <w:color w:val="000000"/>
          <w:sz w:val="20"/>
          <w:szCs w:val="20"/>
        </w:rPr>
        <w:t>Cash, cash equivalents and marketable securities were $19.65 billion, up from $10.98 billion a year earlier and up from $12.67 billion in the prior quarter. The year-on-year and sequential increases reflect $5 billion of</w:t>
      </w:r>
      <w:r>
        <w:rPr>
          <w:rFonts w:ascii="sans-serif" w:eastAsia="sans-serif" w:hAnsi="sans-serif" w:cs="sans-serif"/>
          <w:color w:val="000000"/>
          <w:sz w:val="20"/>
          <w:szCs w:val="20"/>
        </w:rPr>
        <w:t xml:space="preserve"> debt issuance proceeds and operating cash flow generation. </w:t>
      </w:r>
    </w:p>
    <w:p w14:paraId="540676EC" w14:textId="77777777" w:rsidR="00611BDD" w:rsidRDefault="002E18C7">
      <w:pPr>
        <w:spacing w:after="180"/>
        <w:jc w:val="both"/>
      </w:pPr>
      <w:r>
        <w:rPr>
          <w:rFonts w:ascii="sans-serif" w:eastAsia="sans-serif" w:hAnsi="sans-serif" w:cs="sans-serif"/>
          <w:color w:val="000000"/>
          <w:sz w:val="20"/>
          <w:szCs w:val="20"/>
        </w:rPr>
        <w:t>We paid $100 million in quarterly cash dividends in the second quarter.</w:t>
      </w:r>
    </w:p>
    <w:p w14:paraId="540676ED" w14:textId="77777777" w:rsidR="00611BDD" w:rsidRDefault="002E18C7">
      <w:pPr>
        <w:spacing w:before="120" w:after="120"/>
        <w:jc w:val="both"/>
      </w:pPr>
      <w:r>
        <w:rPr>
          <w:rFonts w:ascii="sans-serif" w:eastAsia="sans-serif" w:hAnsi="sans-serif" w:cs="sans-serif"/>
          <w:b/>
          <w:bCs/>
          <w:color w:val="000000"/>
          <w:sz w:val="20"/>
          <w:szCs w:val="20"/>
        </w:rPr>
        <w:t>Market Platform Highlights</w:t>
      </w:r>
    </w:p>
    <w:p w14:paraId="540676EE" w14:textId="77777777" w:rsidR="00611BDD" w:rsidRDefault="002E18C7">
      <w:pPr>
        <w:spacing w:after="180"/>
        <w:jc w:val="both"/>
      </w:pPr>
      <w:r>
        <w:rPr>
          <w:rFonts w:ascii="sans-serif" w:eastAsia="sans-serif" w:hAnsi="sans-serif" w:cs="sans-serif"/>
          <w:color w:val="000000"/>
          <w:sz w:val="20"/>
          <w:szCs w:val="20"/>
        </w:rPr>
        <w:t>During the second quarter of fiscal year 2022, in our Gaming platform, we introduced GeForce RTX</w:t>
      </w:r>
      <w:r>
        <w:rPr>
          <w:rFonts w:ascii="sans-serif" w:eastAsia="sans-serif" w:hAnsi="sans-serif" w:cs="sans-serif"/>
          <w:color w:val="000000"/>
          <w:sz w:val="20"/>
          <w:szCs w:val="20"/>
        </w:rPr>
        <w:t xml:space="preserve"> 3080 Ti and GeForce RTX 3070 Ti; announced that NVIDIA RTX is featured in 130+ games and applications; announced that NVIDIA Reflex is supported in 20 games, including top e-sports titles; and announced that GeForce NOW gives members access to more than 1</w:t>
      </w:r>
      <w:r>
        <w:rPr>
          <w:rFonts w:ascii="sans-serif" w:eastAsia="sans-serif" w:hAnsi="sans-serif" w:cs="sans-serif"/>
          <w:color w:val="000000"/>
          <w:sz w:val="20"/>
          <w:szCs w:val="20"/>
        </w:rPr>
        <w:t>,000 PC games.</w:t>
      </w:r>
    </w:p>
    <w:p w14:paraId="540676EF" w14:textId="77777777" w:rsidR="00611BDD" w:rsidRDefault="002E18C7">
      <w:pPr>
        <w:spacing w:after="180"/>
        <w:jc w:val="both"/>
      </w:pPr>
      <w:r>
        <w:rPr>
          <w:rFonts w:ascii="sans-serif" w:eastAsia="sans-serif" w:hAnsi="sans-serif" w:cs="sans-serif"/>
          <w:color w:val="000000"/>
          <w:sz w:val="20"/>
          <w:szCs w:val="20"/>
        </w:rPr>
        <w:t>In our Data Center platform, we unveiled NVIDIA Base Command and Fleet Command; established the AI LaunchPad hybrid-cloud partner program to offer enterprises instant access to NVIDIA AI infrastructure and software; and announced that NVIDIA</w:t>
      </w:r>
      <w:r>
        <w:rPr>
          <w:rFonts w:ascii="sans-serif" w:eastAsia="sans-serif" w:hAnsi="sans-serif" w:cs="sans-serif"/>
          <w:color w:val="000000"/>
          <w:sz w:val="20"/>
          <w:szCs w:val="20"/>
        </w:rPr>
        <w:t xml:space="preserve"> technology supports 342 supercomputers on the latest TOP500 list, including 70% of all new systems and 8 of the top 10, and powers 35 of the top 40 greenest systems. </w:t>
      </w:r>
    </w:p>
    <w:p w14:paraId="540676F0" w14:textId="77777777" w:rsidR="00611BDD" w:rsidRDefault="002E18C7">
      <w:pPr>
        <w:spacing w:after="180"/>
        <w:jc w:val="both"/>
      </w:pPr>
      <w:r>
        <w:rPr>
          <w:rFonts w:ascii="sans-serif" w:eastAsia="sans-serif" w:hAnsi="sans-serif" w:cs="sans-serif"/>
          <w:color w:val="000000"/>
          <w:sz w:val="20"/>
          <w:szCs w:val="20"/>
        </w:rPr>
        <w:t>In our Professional Visualization platform, we expanded NVIDIA Omniverse through new int</w:t>
      </w:r>
      <w:r>
        <w:rPr>
          <w:rFonts w:ascii="sans-serif" w:eastAsia="sans-serif" w:hAnsi="sans-serif" w:cs="sans-serif"/>
          <w:color w:val="000000"/>
          <w:sz w:val="20"/>
          <w:szCs w:val="20"/>
        </w:rPr>
        <w:t>egrations with Blender and Adobe, and launched the NVIDIA RTX A2000.</w:t>
      </w:r>
    </w:p>
    <w:p w14:paraId="540676F1" w14:textId="77777777" w:rsidR="00611BDD" w:rsidRDefault="002E18C7">
      <w:pPr>
        <w:spacing w:after="180"/>
        <w:jc w:val="both"/>
      </w:pPr>
      <w:r>
        <w:rPr>
          <w:rFonts w:ascii="sans-serif" w:eastAsia="sans-serif" w:hAnsi="sans-serif" w:cs="sans-serif"/>
          <w:color w:val="000000"/>
          <w:sz w:val="20"/>
          <w:szCs w:val="20"/>
        </w:rPr>
        <w:t>In our Automotive platform, we announced design wins with robotaxi startup AutoX and autonomous trucking platform startup Embark, and collaborated with autonomous trucking company Plus on</w:t>
      </w:r>
      <w:r>
        <w:rPr>
          <w:rFonts w:ascii="sans-serif" w:eastAsia="sans-serif" w:hAnsi="sans-serif" w:cs="sans-serif"/>
          <w:color w:val="000000"/>
          <w:sz w:val="20"/>
          <w:szCs w:val="20"/>
        </w:rPr>
        <w:t xml:space="preserve"> plans to provide Amazon with at least 1,000 self-driving systems, which are powered by NVIDIA DRIVE.</w:t>
      </w:r>
    </w:p>
    <w:p w14:paraId="540676F2" w14:textId="77777777" w:rsidR="00611BDD" w:rsidRDefault="002E18C7">
      <w:pPr>
        <w:spacing w:before="120" w:after="120"/>
        <w:jc w:val="both"/>
      </w:pPr>
      <w:r>
        <w:rPr>
          <w:rFonts w:ascii="sans-serif" w:eastAsia="sans-serif" w:hAnsi="sans-serif" w:cs="sans-serif"/>
          <w:b/>
          <w:bCs/>
          <w:color w:val="000000"/>
          <w:sz w:val="20"/>
          <w:szCs w:val="20"/>
        </w:rPr>
        <w:t>Financial Information by Business Segment and Geographic Data</w:t>
      </w:r>
    </w:p>
    <w:p w14:paraId="540676F3" w14:textId="77777777" w:rsidR="00611BDD" w:rsidRDefault="002E18C7">
      <w:pPr>
        <w:spacing w:after="180"/>
        <w:jc w:val="both"/>
      </w:pPr>
      <w:r>
        <w:rPr>
          <w:rFonts w:ascii="sans-serif" w:eastAsia="sans-serif" w:hAnsi="sans-serif" w:cs="sans-serif"/>
          <w:color w:val="000000"/>
          <w:sz w:val="20"/>
          <w:szCs w:val="20"/>
        </w:rPr>
        <w:t xml:space="preserve">Refer to Note 15 of the Notes to Condensed Consolidated Financial Statements for disclosure </w:t>
      </w:r>
      <w:r>
        <w:rPr>
          <w:rFonts w:ascii="sans-serif" w:eastAsia="sans-serif" w:hAnsi="sans-serif" w:cs="sans-serif"/>
          <w:color w:val="000000"/>
          <w:sz w:val="20"/>
          <w:szCs w:val="20"/>
        </w:rPr>
        <w:t>regarding segment information.</w:t>
      </w:r>
    </w:p>
    <w:p w14:paraId="540676F4" w14:textId="77777777" w:rsidR="00611BDD" w:rsidRDefault="00611BDD">
      <w:pPr>
        <w:spacing w:before="240" w:after="120"/>
        <w:jc w:val="both"/>
      </w:pPr>
    </w:p>
    <w:p w14:paraId="540676F5" w14:textId="77777777" w:rsidR="00611BDD" w:rsidRDefault="002E18C7">
      <w:pPr>
        <w:spacing w:after="180"/>
        <w:jc w:val="center"/>
      </w:pPr>
      <w:r>
        <w:rPr>
          <w:rFonts w:ascii="sans-serif" w:eastAsia="sans-serif" w:hAnsi="sans-serif" w:cs="sans-serif"/>
          <w:color w:val="000000"/>
          <w:sz w:val="20"/>
          <w:szCs w:val="20"/>
        </w:rPr>
        <w:t>27</w:t>
      </w:r>
    </w:p>
    <w:p w14:paraId="540676F6" w14:textId="77777777" w:rsidR="00611BDD" w:rsidRDefault="002E18C7">
      <w:r>
        <w:pict w14:anchorId="54067C3F">
          <v:rect id="_x0000_i1051" style="width:415.3pt;height:1.5pt" o:hralign="center" o:hrstd="t" o:hr="t" fillcolor="#a0a0a0" stroked="f"/>
        </w:pict>
      </w:r>
    </w:p>
    <w:p w14:paraId="540676F7" w14:textId="77777777" w:rsidR="00611BDD" w:rsidRDefault="00611BDD">
      <w:pPr>
        <w:spacing w:after="180"/>
        <w:jc w:val="both"/>
      </w:pPr>
    </w:p>
    <w:p w14:paraId="540676F8" w14:textId="77777777" w:rsidR="00611BDD" w:rsidRDefault="00611BDD">
      <w:pPr>
        <w:spacing w:after="180"/>
        <w:jc w:val="both"/>
      </w:pPr>
    </w:p>
    <w:p w14:paraId="540676F9" w14:textId="77777777" w:rsidR="00611BDD" w:rsidRDefault="00611BDD">
      <w:pPr>
        <w:spacing w:after="180"/>
        <w:jc w:val="both"/>
      </w:pPr>
    </w:p>
    <w:p w14:paraId="540676FA" w14:textId="77777777" w:rsidR="00611BDD" w:rsidRDefault="002E18C7">
      <w:pPr>
        <w:spacing w:before="240" w:after="120"/>
        <w:jc w:val="both"/>
      </w:pPr>
      <w:r>
        <w:rPr>
          <w:rFonts w:ascii="sans-serif" w:eastAsia="sans-serif" w:hAnsi="sans-serif" w:cs="sans-serif"/>
          <w:b/>
          <w:bCs/>
          <w:color w:val="76B900"/>
          <w:sz w:val="22"/>
          <w:szCs w:val="22"/>
        </w:rPr>
        <w:t>Results of Operations</w:t>
      </w:r>
    </w:p>
    <w:p w14:paraId="540676FB" w14:textId="77777777" w:rsidR="00611BDD" w:rsidRDefault="002E18C7">
      <w:pPr>
        <w:spacing w:after="180"/>
        <w:jc w:val="both"/>
      </w:pPr>
      <w:r>
        <w:rPr>
          <w:rFonts w:ascii="sans-serif" w:eastAsia="sans-serif" w:hAnsi="sans-serif" w:cs="sans-serif"/>
          <w:color w:val="000000"/>
          <w:sz w:val="20"/>
          <w:szCs w:val="20"/>
        </w:rPr>
        <w:t>The following table sets forth, for the periods indicated, certain items in our Condensed Consolidated Statements of Income expressed as a percentage of revenue.</w:t>
      </w:r>
    </w:p>
    <w:tbl>
      <w:tblPr>
        <w:tblW w:w="5000" w:type="pct"/>
        <w:tblCellMar>
          <w:top w:w="15" w:type="dxa"/>
          <w:left w:w="15" w:type="dxa"/>
          <w:bottom w:w="15" w:type="dxa"/>
          <w:right w:w="15" w:type="dxa"/>
        </w:tblCellMar>
        <w:tblLook w:val="04A0" w:firstRow="1" w:lastRow="0" w:firstColumn="1" w:lastColumn="0" w:noHBand="0" w:noVBand="1"/>
      </w:tblPr>
      <w:tblGrid>
        <w:gridCol w:w="40"/>
        <w:gridCol w:w="3543"/>
        <w:gridCol w:w="39"/>
        <w:gridCol w:w="47"/>
        <w:gridCol w:w="927"/>
        <w:gridCol w:w="165"/>
        <w:gridCol w:w="37"/>
        <w:gridCol w:w="36"/>
        <w:gridCol w:w="36"/>
        <w:gridCol w:w="40"/>
        <w:gridCol w:w="878"/>
        <w:gridCol w:w="163"/>
        <w:gridCol w:w="36"/>
        <w:gridCol w:w="36"/>
        <w:gridCol w:w="36"/>
        <w:gridCol w:w="47"/>
        <w:gridCol w:w="872"/>
        <w:gridCol w:w="165"/>
        <w:gridCol w:w="37"/>
        <w:gridCol w:w="36"/>
        <w:gridCol w:w="36"/>
        <w:gridCol w:w="40"/>
        <w:gridCol w:w="881"/>
        <w:gridCol w:w="163"/>
      </w:tblGrid>
      <w:tr w:rsidR="00611BDD" w14:paraId="54067714" w14:textId="77777777">
        <w:tc>
          <w:tcPr>
            <w:tcW w:w="50" w:type="pct"/>
            <w:shd w:val="clear" w:color="auto" w:fill="auto"/>
            <w:vAlign w:val="bottom"/>
          </w:tcPr>
          <w:p w14:paraId="540676FC" w14:textId="77777777" w:rsidR="00611BDD" w:rsidRDefault="00611BDD">
            <w:pPr>
              <w:rPr>
                <w:rFonts w:ascii="宋体"/>
              </w:rPr>
            </w:pPr>
          </w:p>
        </w:tc>
        <w:tc>
          <w:tcPr>
            <w:tcW w:w="2174" w:type="pct"/>
            <w:shd w:val="clear" w:color="auto" w:fill="auto"/>
            <w:vAlign w:val="bottom"/>
          </w:tcPr>
          <w:p w14:paraId="540676FD" w14:textId="77777777" w:rsidR="00611BDD" w:rsidRDefault="00611BDD">
            <w:pPr>
              <w:rPr>
                <w:rFonts w:ascii="宋体"/>
              </w:rPr>
            </w:pPr>
          </w:p>
        </w:tc>
        <w:tc>
          <w:tcPr>
            <w:tcW w:w="5" w:type="pct"/>
            <w:shd w:val="clear" w:color="auto" w:fill="auto"/>
            <w:vAlign w:val="bottom"/>
          </w:tcPr>
          <w:p w14:paraId="540676FE" w14:textId="77777777" w:rsidR="00611BDD" w:rsidRDefault="00611BDD">
            <w:pPr>
              <w:rPr>
                <w:rFonts w:ascii="宋体"/>
              </w:rPr>
            </w:pPr>
          </w:p>
        </w:tc>
        <w:tc>
          <w:tcPr>
            <w:tcW w:w="50" w:type="pct"/>
            <w:shd w:val="clear" w:color="auto" w:fill="auto"/>
            <w:vAlign w:val="bottom"/>
          </w:tcPr>
          <w:p w14:paraId="540676FF" w14:textId="77777777" w:rsidR="00611BDD" w:rsidRDefault="00611BDD">
            <w:pPr>
              <w:rPr>
                <w:rFonts w:ascii="宋体"/>
              </w:rPr>
            </w:pPr>
          </w:p>
        </w:tc>
        <w:tc>
          <w:tcPr>
            <w:tcW w:w="610" w:type="pct"/>
            <w:shd w:val="clear" w:color="auto" w:fill="auto"/>
            <w:vAlign w:val="bottom"/>
          </w:tcPr>
          <w:p w14:paraId="54067700" w14:textId="77777777" w:rsidR="00611BDD" w:rsidRDefault="00611BDD">
            <w:pPr>
              <w:rPr>
                <w:rFonts w:ascii="宋体"/>
              </w:rPr>
            </w:pPr>
          </w:p>
        </w:tc>
        <w:tc>
          <w:tcPr>
            <w:tcW w:w="5" w:type="pct"/>
            <w:shd w:val="clear" w:color="auto" w:fill="auto"/>
            <w:vAlign w:val="bottom"/>
          </w:tcPr>
          <w:p w14:paraId="54067701" w14:textId="77777777" w:rsidR="00611BDD" w:rsidRDefault="00611BDD">
            <w:pPr>
              <w:rPr>
                <w:rFonts w:ascii="宋体"/>
              </w:rPr>
            </w:pPr>
          </w:p>
        </w:tc>
        <w:tc>
          <w:tcPr>
            <w:tcW w:w="5" w:type="pct"/>
            <w:shd w:val="clear" w:color="auto" w:fill="auto"/>
            <w:vAlign w:val="bottom"/>
          </w:tcPr>
          <w:p w14:paraId="54067702" w14:textId="77777777" w:rsidR="00611BDD" w:rsidRDefault="00611BDD">
            <w:pPr>
              <w:rPr>
                <w:rFonts w:ascii="宋体"/>
              </w:rPr>
            </w:pPr>
          </w:p>
        </w:tc>
        <w:tc>
          <w:tcPr>
            <w:tcW w:w="26" w:type="pct"/>
            <w:shd w:val="clear" w:color="auto" w:fill="auto"/>
            <w:vAlign w:val="bottom"/>
          </w:tcPr>
          <w:p w14:paraId="54067703" w14:textId="77777777" w:rsidR="00611BDD" w:rsidRDefault="00611BDD">
            <w:pPr>
              <w:rPr>
                <w:rFonts w:ascii="宋体"/>
              </w:rPr>
            </w:pPr>
          </w:p>
        </w:tc>
        <w:tc>
          <w:tcPr>
            <w:tcW w:w="5" w:type="pct"/>
            <w:shd w:val="clear" w:color="auto" w:fill="auto"/>
            <w:vAlign w:val="bottom"/>
          </w:tcPr>
          <w:p w14:paraId="54067704" w14:textId="77777777" w:rsidR="00611BDD" w:rsidRDefault="00611BDD">
            <w:pPr>
              <w:rPr>
                <w:rFonts w:ascii="宋体"/>
              </w:rPr>
            </w:pPr>
          </w:p>
        </w:tc>
        <w:tc>
          <w:tcPr>
            <w:tcW w:w="50" w:type="pct"/>
            <w:shd w:val="clear" w:color="auto" w:fill="auto"/>
            <w:vAlign w:val="bottom"/>
          </w:tcPr>
          <w:p w14:paraId="54067705" w14:textId="77777777" w:rsidR="00611BDD" w:rsidRDefault="00611BDD">
            <w:pPr>
              <w:rPr>
                <w:rFonts w:ascii="宋体"/>
              </w:rPr>
            </w:pPr>
          </w:p>
        </w:tc>
        <w:tc>
          <w:tcPr>
            <w:tcW w:w="610" w:type="pct"/>
            <w:shd w:val="clear" w:color="auto" w:fill="auto"/>
            <w:vAlign w:val="bottom"/>
          </w:tcPr>
          <w:p w14:paraId="54067706" w14:textId="77777777" w:rsidR="00611BDD" w:rsidRDefault="00611BDD">
            <w:pPr>
              <w:rPr>
                <w:rFonts w:ascii="宋体"/>
              </w:rPr>
            </w:pPr>
          </w:p>
        </w:tc>
        <w:tc>
          <w:tcPr>
            <w:tcW w:w="5" w:type="pct"/>
            <w:shd w:val="clear" w:color="auto" w:fill="auto"/>
            <w:vAlign w:val="bottom"/>
          </w:tcPr>
          <w:p w14:paraId="54067707" w14:textId="77777777" w:rsidR="00611BDD" w:rsidRDefault="00611BDD">
            <w:pPr>
              <w:rPr>
                <w:rFonts w:ascii="宋体"/>
              </w:rPr>
            </w:pPr>
          </w:p>
        </w:tc>
        <w:tc>
          <w:tcPr>
            <w:tcW w:w="5" w:type="pct"/>
            <w:shd w:val="clear" w:color="auto" w:fill="auto"/>
            <w:vAlign w:val="bottom"/>
          </w:tcPr>
          <w:p w14:paraId="54067708" w14:textId="77777777" w:rsidR="00611BDD" w:rsidRDefault="00611BDD">
            <w:pPr>
              <w:rPr>
                <w:rFonts w:ascii="宋体"/>
              </w:rPr>
            </w:pPr>
          </w:p>
        </w:tc>
        <w:tc>
          <w:tcPr>
            <w:tcW w:w="26" w:type="pct"/>
            <w:shd w:val="clear" w:color="auto" w:fill="auto"/>
            <w:vAlign w:val="bottom"/>
          </w:tcPr>
          <w:p w14:paraId="54067709" w14:textId="77777777" w:rsidR="00611BDD" w:rsidRDefault="00611BDD">
            <w:pPr>
              <w:rPr>
                <w:rFonts w:ascii="宋体"/>
              </w:rPr>
            </w:pPr>
          </w:p>
        </w:tc>
        <w:tc>
          <w:tcPr>
            <w:tcW w:w="5" w:type="pct"/>
            <w:shd w:val="clear" w:color="auto" w:fill="auto"/>
            <w:vAlign w:val="bottom"/>
          </w:tcPr>
          <w:p w14:paraId="5406770A" w14:textId="77777777" w:rsidR="00611BDD" w:rsidRDefault="00611BDD">
            <w:pPr>
              <w:rPr>
                <w:rFonts w:ascii="宋体"/>
              </w:rPr>
            </w:pPr>
          </w:p>
        </w:tc>
        <w:tc>
          <w:tcPr>
            <w:tcW w:w="50" w:type="pct"/>
            <w:shd w:val="clear" w:color="auto" w:fill="auto"/>
            <w:vAlign w:val="bottom"/>
          </w:tcPr>
          <w:p w14:paraId="5406770B" w14:textId="77777777" w:rsidR="00611BDD" w:rsidRDefault="00611BDD">
            <w:pPr>
              <w:rPr>
                <w:rFonts w:ascii="宋体"/>
              </w:rPr>
            </w:pPr>
          </w:p>
        </w:tc>
        <w:tc>
          <w:tcPr>
            <w:tcW w:w="610" w:type="pct"/>
            <w:shd w:val="clear" w:color="auto" w:fill="auto"/>
            <w:vAlign w:val="bottom"/>
          </w:tcPr>
          <w:p w14:paraId="5406770C" w14:textId="77777777" w:rsidR="00611BDD" w:rsidRDefault="00611BDD">
            <w:pPr>
              <w:rPr>
                <w:rFonts w:ascii="宋体"/>
              </w:rPr>
            </w:pPr>
          </w:p>
        </w:tc>
        <w:tc>
          <w:tcPr>
            <w:tcW w:w="5" w:type="pct"/>
            <w:shd w:val="clear" w:color="auto" w:fill="auto"/>
            <w:vAlign w:val="bottom"/>
          </w:tcPr>
          <w:p w14:paraId="5406770D" w14:textId="77777777" w:rsidR="00611BDD" w:rsidRDefault="00611BDD">
            <w:pPr>
              <w:rPr>
                <w:rFonts w:ascii="宋体"/>
              </w:rPr>
            </w:pPr>
          </w:p>
        </w:tc>
        <w:tc>
          <w:tcPr>
            <w:tcW w:w="5" w:type="pct"/>
            <w:shd w:val="clear" w:color="auto" w:fill="auto"/>
            <w:vAlign w:val="bottom"/>
          </w:tcPr>
          <w:p w14:paraId="5406770E" w14:textId="77777777" w:rsidR="00611BDD" w:rsidRDefault="00611BDD">
            <w:pPr>
              <w:rPr>
                <w:rFonts w:ascii="宋体"/>
              </w:rPr>
            </w:pPr>
          </w:p>
        </w:tc>
        <w:tc>
          <w:tcPr>
            <w:tcW w:w="26" w:type="pct"/>
            <w:shd w:val="clear" w:color="auto" w:fill="auto"/>
            <w:vAlign w:val="bottom"/>
          </w:tcPr>
          <w:p w14:paraId="5406770F" w14:textId="77777777" w:rsidR="00611BDD" w:rsidRDefault="00611BDD">
            <w:pPr>
              <w:rPr>
                <w:rFonts w:ascii="宋体"/>
              </w:rPr>
            </w:pPr>
          </w:p>
        </w:tc>
        <w:tc>
          <w:tcPr>
            <w:tcW w:w="5" w:type="pct"/>
            <w:shd w:val="clear" w:color="auto" w:fill="auto"/>
            <w:vAlign w:val="bottom"/>
          </w:tcPr>
          <w:p w14:paraId="54067710" w14:textId="77777777" w:rsidR="00611BDD" w:rsidRDefault="00611BDD">
            <w:pPr>
              <w:rPr>
                <w:rFonts w:ascii="宋体"/>
              </w:rPr>
            </w:pPr>
          </w:p>
        </w:tc>
        <w:tc>
          <w:tcPr>
            <w:tcW w:w="50" w:type="pct"/>
            <w:shd w:val="clear" w:color="auto" w:fill="auto"/>
            <w:vAlign w:val="bottom"/>
          </w:tcPr>
          <w:p w14:paraId="54067711" w14:textId="77777777" w:rsidR="00611BDD" w:rsidRDefault="00611BDD">
            <w:pPr>
              <w:rPr>
                <w:rFonts w:ascii="宋体"/>
              </w:rPr>
            </w:pPr>
          </w:p>
        </w:tc>
        <w:tc>
          <w:tcPr>
            <w:tcW w:w="610" w:type="pct"/>
            <w:shd w:val="clear" w:color="auto" w:fill="auto"/>
            <w:vAlign w:val="bottom"/>
          </w:tcPr>
          <w:p w14:paraId="54067712" w14:textId="77777777" w:rsidR="00611BDD" w:rsidRDefault="00611BDD">
            <w:pPr>
              <w:rPr>
                <w:rFonts w:ascii="宋体"/>
              </w:rPr>
            </w:pPr>
          </w:p>
        </w:tc>
        <w:tc>
          <w:tcPr>
            <w:tcW w:w="5" w:type="pct"/>
            <w:shd w:val="clear" w:color="auto" w:fill="auto"/>
            <w:vAlign w:val="bottom"/>
          </w:tcPr>
          <w:p w14:paraId="54067713" w14:textId="77777777" w:rsidR="00611BDD" w:rsidRDefault="00611BDD">
            <w:pPr>
              <w:rPr>
                <w:rFonts w:ascii="宋体"/>
              </w:rPr>
            </w:pPr>
          </w:p>
        </w:tc>
      </w:tr>
      <w:tr w:rsidR="00611BDD" w14:paraId="54067719" w14:textId="77777777">
        <w:tc>
          <w:tcPr>
            <w:tcW w:w="0" w:type="auto"/>
            <w:gridSpan w:val="3"/>
            <w:shd w:val="clear" w:color="auto" w:fill="auto"/>
            <w:tcMar>
              <w:top w:w="40" w:type="dxa"/>
              <w:left w:w="20" w:type="dxa"/>
              <w:bottom w:w="40" w:type="dxa"/>
              <w:right w:w="20" w:type="dxa"/>
            </w:tcMar>
            <w:vAlign w:val="bottom"/>
          </w:tcPr>
          <w:p w14:paraId="54067715" w14:textId="77777777" w:rsidR="00611BDD" w:rsidRDefault="002E18C7">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54067716" w14:textId="77777777" w:rsidR="00611BDD" w:rsidRDefault="002E18C7">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54067717" w14:textId="77777777" w:rsidR="00611BDD" w:rsidRDefault="00611BDD">
            <w:pPr>
              <w:rPr>
                <w:rFonts w:ascii="宋体"/>
              </w:rPr>
            </w:pPr>
          </w:p>
        </w:tc>
        <w:tc>
          <w:tcPr>
            <w:tcW w:w="0" w:type="auto"/>
            <w:gridSpan w:val="9"/>
            <w:shd w:val="clear" w:color="auto" w:fill="auto"/>
            <w:tcMar>
              <w:top w:w="40" w:type="dxa"/>
              <w:left w:w="20" w:type="dxa"/>
              <w:bottom w:w="40" w:type="dxa"/>
              <w:right w:w="20" w:type="dxa"/>
            </w:tcMar>
            <w:vAlign w:val="bottom"/>
          </w:tcPr>
          <w:p w14:paraId="54067718" w14:textId="77777777" w:rsidR="00611BDD" w:rsidRDefault="002E18C7">
            <w:pPr>
              <w:jc w:val="center"/>
              <w:textAlignment w:val="bottom"/>
            </w:pPr>
            <w:r>
              <w:rPr>
                <w:rFonts w:ascii="sans-serif" w:eastAsia="sans-serif" w:hAnsi="sans-serif" w:cs="sans-serif"/>
                <w:b/>
                <w:bCs/>
                <w:color w:val="000000"/>
                <w:sz w:val="20"/>
                <w:szCs w:val="20"/>
              </w:rPr>
              <w:t>Six Months Ended</w:t>
            </w:r>
          </w:p>
        </w:tc>
      </w:tr>
      <w:tr w:rsidR="00611BDD" w14:paraId="54067722" w14:textId="77777777">
        <w:tc>
          <w:tcPr>
            <w:tcW w:w="0" w:type="auto"/>
            <w:gridSpan w:val="3"/>
            <w:shd w:val="clear" w:color="auto" w:fill="auto"/>
            <w:tcMar>
              <w:top w:w="40" w:type="dxa"/>
              <w:left w:w="20" w:type="dxa"/>
              <w:bottom w:w="40" w:type="dxa"/>
              <w:right w:w="20" w:type="dxa"/>
            </w:tcMar>
            <w:vAlign w:val="bottom"/>
          </w:tcPr>
          <w:p w14:paraId="5406771A" w14:textId="77777777" w:rsidR="00611BDD" w:rsidRDefault="002E18C7">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771B" w14:textId="77777777" w:rsidR="00611BDD" w:rsidRDefault="002E18C7">
            <w:pPr>
              <w:jc w:val="center"/>
              <w:textAlignment w:val="bottom"/>
            </w:pPr>
            <w:r>
              <w:rPr>
                <w:rFonts w:ascii="sans-serif" w:eastAsia="sans-serif" w:hAnsi="sans-serif" w:cs="sans-serif"/>
                <w:b/>
                <w:bCs/>
                <w:color w:val="000000"/>
                <w:sz w:val="20"/>
                <w:szCs w:val="20"/>
              </w:rPr>
              <w:t>August 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71C"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771D" w14:textId="77777777" w:rsidR="00611BDD" w:rsidRDefault="002E18C7">
            <w:pPr>
              <w:jc w:val="center"/>
              <w:textAlignment w:val="bottom"/>
            </w:pPr>
            <w:r>
              <w:rPr>
                <w:rFonts w:ascii="sans-serif" w:eastAsia="sans-serif" w:hAnsi="sans-serif" w:cs="sans-serif"/>
                <w:b/>
                <w:bCs/>
                <w:color w:val="000000"/>
                <w:sz w:val="20"/>
                <w:szCs w:val="20"/>
              </w:rPr>
              <w:t>July 26,</w:t>
            </w:r>
            <w:r>
              <w:rPr>
                <w:rFonts w:ascii="sans-serif" w:eastAsia="sans-serif" w:hAnsi="sans-serif" w:cs="sans-serif"/>
                <w:b/>
                <w:bCs/>
                <w:color w:val="000000"/>
                <w:sz w:val="20"/>
                <w:szCs w:val="20"/>
              </w:rPr>
              <w:br/>
              <w:t>2020</w:t>
            </w:r>
          </w:p>
        </w:tc>
        <w:tc>
          <w:tcPr>
            <w:tcW w:w="0" w:type="auto"/>
            <w:gridSpan w:val="3"/>
            <w:shd w:val="clear" w:color="auto" w:fill="auto"/>
            <w:tcMar>
              <w:top w:w="0" w:type="dxa"/>
              <w:left w:w="20" w:type="dxa"/>
              <w:bottom w:w="0" w:type="dxa"/>
              <w:right w:w="20" w:type="dxa"/>
            </w:tcMar>
            <w:vAlign w:val="bottom"/>
          </w:tcPr>
          <w:p w14:paraId="5406771E"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771F" w14:textId="77777777" w:rsidR="00611BDD" w:rsidRDefault="002E18C7">
            <w:pPr>
              <w:jc w:val="center"/>
              <w:textAlignment w:val="bottom"/>
            </w:pPr>
            <w:r>
              <w:rPr>
                <w:rFonts w:ascii="sans-serif" w:eastAsia="sans-serif" w:hAnsi="sans-serif" w:cs="sans-serif"/>
                <w:b/>
                <w:bCs/>
                <w:color w:val="000000"/>
                <w:sz w:val="20"/>
                <w:szCs w:val="20"/>
              </w:rPr>
              <w:t>August 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720"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7721" w14:textId="77777777" w:rsidR="00611BDD" w:rsidRDefault="002E18C7">
            <w:pPr>
              <w:jc w:val="center"/>
              <w:textAlignment w:val="bottom"/>
            </w:pPr>
            <w:r>
              <w:rPr>
                <w:rFonts w:ascii="sans-serif" w:eastAsia="sans-serif" w:hAnsi="sans-serif" w:cs="sans-serif"/>
                <w:b/>
                <w:bCs/>
                <w:color w:val="000000"/>
                <w:sz w:val="20"/>
                <w:szCs w:val="20"/>
              </w:rPr>
              <w:t>July 26,</w:t>
            </w:r>
            <w:r>
              <w:rPr>
                <w:rFonts w:ascii="sans-serif" w:eastAsia="sans-serif" w:hAnsi="sans-serif" w:cs="sans-serif"/>
                <w:b/>
                <w:bCs/>
                <w:color w:val="000000"/>
                <w:sz w:val="20"/>
                <w:szCs w:val="20"/>
              </w:rPr>
              <w:br/>
              <w:t>2020</w:t>
            </w:r>
          </w:p>
        </w:tc>
      </w:tr>
      <w:tr w:rsidR="00611BDD" w14:paraId="5406772F" w14:textId="77777777">
        <w:tc>
          <w:tcPr>
            <w:tcW w:w="0" w:type="auto"/>
            <w:gridSpan w:val="3"/>
            <w:shd w:val="clear" w:color="auto" w:fill="E2EFD9"/>
            <w:tcMar>
              <w:top w:w="40" w:type="dxa"/>
              <w:left w:w="20" w:type="dxa"/>
              <w:bottom w:w="40" w:type="dxa"/>
              <w:right w:w="20" w:type="dxa"/>
            </w:tcMar>
            <w:vAlign w:val="bottom"/>
          </w:tcPr>
          <w:p w14:paraId="54067723" w14:textId="77777777" w:rsidR="00611BDD" w:rsidRDefault="002E18C7">
            <w:pPr>
              <w:textAlignment w:val="bottom"/>
            </w:pPr>
            <w:r>
              <w:rPr>
                <w:rFonts w:ascii="sans-serif" w:eastAsia="sans-serif" w:hAnsi="sans-serif" w:cs="sans-serif"/>
                <w:color w:val="000000"/>
                <w:sz w:val="20"/>
                <w:szCs w:val="20"/>
              </w:rPr>
              <w:t>Revenue</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7724" w14:textId="77777777" w:rsidR="00611BDD" w:rsidRDefault="002E18C7">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7725" w14:textId="77777777" w:rsidR="00611BDD" w:rsidRDefault="002E18C7">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4067726" w14:textId="77777777" w:rsidR="00611BDD" w:rsidRDefault="00611BD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7727" w14:textId="77777777" w:rsidR="00611BDD" w:rsidRDefault="002E18C7">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7728" w14:textId="77777777" w:rsidR="00611BDD" w:rsidRDefault="002E18C7">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4067729" w14:textId="77777777" w:rsidR="00611BDD" w:rsidRDefault="00611BD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772A" w14:textId="77777777" w:rsidR="00611BDD" w:rsidRDefault="002E18C7">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772B" w14:textId="77777777" w:rsidR="00611BDD" w:rsidRDefault="002E18C7">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406772C" w14:textId="77777777" w:rsidR="00611BDD" w:rsidRDefault="00611BD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772D" w14:textId="77777777" w:rsidR="00611BDD" w:rsidRDefault="002E18C7">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772E" w14:textId="77777777" w:rsidR="00611BDD" w:rsidRDefault="002E18C7">
            <w:pPr>
              <w:jc w:val="right"/>
              <w:textAlignment w:val="bottom"/>
            </w:pPr>
            <w:r>
              <w:rPr>
                <w:rFonts w:ascii="sans-serif" w:eastAsia="sans-serif" w:hAnsi="sans-serif" w:cs="sans-serif"/>
                <w:color w:val="000000"/>
                <w:sz w:val="20"/>
                <w:szCs w:val="20"/>
              </w:rPr>
              <w:t>%</w:t>
            </w:r>
          </w:p>
        </w:tc>
      </w:tr>
      <w:tr w:rsidR="00611BDD" w14:paraId="5406773C" w14:textId="77777777">
        <w:tc>
          <w:tcPr>
            <w:tcW w:w="0" w:type="auto"/>
            <w:gridSpan w:val="3"/>
            <w:shd w:val="clear" w:color="auto" w:fill="FFFFFF"/>
            <w:tcMar>
              <w:top w:w="40" w:type="dxa"/>
              <w:left w:w="20" w:type="dxa"/>
              <w:bottom w:w="40" w:type="dxa"/>
              <w:right w:w="20" w:type="dxa"/>
            </w:tcMar>
            <w:vAlign w:val="bottom"/>
          </w:tcPr>
          <w:p w14:paraId="54067730" w14:textId="77777777" w:rsidR="00611BDD" w:rsidRDefault="002E18C7">
            <w:pPr>
              <w:textAlignment w:val="bottom"/>
            </w:pPr>
            <w:r>
              <w:rPr>
                <w:rFonts w:ascii="sans-serif" w:eastAsia="sans-serif" w:hAnsi="sans-serif" w:cs="sans-serif"/>
                <w:color w:val="000000"/>
                <w:sz w:val="20"/>
                <w:szCs w:val="20"/>
              </w:rPr>
              <w:t>     Cost of revenue</w:t>
            </w:r>
          </w:p>
        </w:tc>
        <w:tc>
          <w:tcPr>
            <w:tcW w:w="0" w:type="auto"/>
            <w:gridSpan w:val="2"/>
            <w:shd w:val="clear" w:color="auto" w:fill="FFFFFF"/>
            <w:tcMar>
              <w:top w:w="40" w:type="dxa"/>
              <w:left w:w="20" w:type="dxa"/>
              <w:bottom w:w="40" w:type="dxa"/>
              <w:right w:w="0" w:type="dxa"/>
            </w:tcMar>
            <w:vAlign w:val="bottom"/>
          </w:tcPr>
          <w:p w14:paraId="54067731" w14:textId="77777777" w:rsidR="00611BDD" w:rsidRDefault="002E18C7">
            <w:pPr>
              <w:jc w:val="right"/>
              <w:textAlignment w:val="bottom"/>
            </w:pPr>
            <w:r>
              <w:rPr>
                <w:rFonts w:ascii="sans-serif" w:eastAsia="sans-serif" w:hAnsi="sans-serif" w:cs="sans-serif"/>
                <w:color w:val="000000"/>
                <w:sz w:val="20"/>
                <w:szCs w:val="20"/>
              </w:rPr>
              <w:t>35.2 </w:t>
            </w:r>
          </w:p>
        </w:tc>
        <w:tc>
          <w:tcPr>
            <w:tcW w:w="0" w:type="auto"/>
            <w:shd w:val="clear" w:color="auto" w:fill="FFFFFF"/>
            <w:tcMar>
              <w:top w:w="40" w:type="dxa"/>
              <w:left w:w="0" w:type="dxa"/>
              <w:bottom w:w="40" w:type="dxa"/>
              <w:right w:w="20" w:type="dxa"/>
            </w:tcMar>
            <w:vAlign w:val="bottom"/>
          </w:tcPr>
          <w:p w14:paraId="54067732"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733"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734" w14:textId="77777777" w:rsidR="00611BDD" w:rsidRDefault="002E18C7">
            <w:pPr>
              <w:jc w:val="right"/>
              <w:textAlignment w:val="bottom"/>
            </w:pPr>
            <w:r>
              <w:rPr>
                <w:rFonts w:ascii="sans-serif" w:eastAsia="sans-serif" w:hAnsi="sans-serif" w:cs="sans-serif"/>
                <w:color w:val="000000"/>
                <w:sz w:val="20"/>
                <w:szCs w:val="20"/>
              </w:rPr>
              <w:t>41.2 </w:t>
            </w:r>
          </w:p>
        </w:tc>
        <w:tc>
          <w:tcPr>
            <w:tcW w:w="0" w:type="auto"/>
            <w:shd w:val="clear" w:color="auto" w:fill="FFFFFF"/>
            <w:tcMar>
              <w:top w:w="40" w:type="dxa"/>
              <w:left w:w="0" w:type="dxa"/>
              <w:bottom w:w="40" w:type="dxa"/>
              <w:right w:w="20" w:type="dxa"/>
            </w:tcMar>
            <w:vAlign w:val="bottom"/>
          </w:tcPr>
          <w:p w14:paraId="54067735"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736"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737" w14:textId="77777777" w:rsidR="00611BDD" w:rsidRDefault="002E18C7">
            <w:pPr>
              <w:jc w:val="right"/>
              <w:textAlignment w:val="bottom"/>
            </w:pPr>
            <w:r>
              <w:rPr>
                <w:rFonts w:ascii="sans-serif" w:eastAsia="sans-serif" w:hAnsi="sans-serif" w:cs="sans-serif"/>
                <w:color w:val="000000"/>
                <w:sz w:val="20"/>
                <w:szCs w:val="20"/>
              </w:rPr>
              <w:t>35.5 </w:t>
            </w:r>
          </w:p>
        </w:tc>
        <w:tc>
          <w:tcPr>
            <w:tcW w:w="0" w:type="auto"/>
            <w:shd w:val="clear" w:color="auto" w:fill="FFFFFF"/>
            <w:tcMar>
              <w:top w:w="40" w:type="dxa"/>
              <w:left w:w="0" w:type="dxa"/>
              <w:bottom w:w="40" w:type="dxa"/>
              <w:right w:w="20" w:type="dxa"/>
            </w:tcMar>
            <w:vAlign w:val="bottom"/>
          </w:tcPr>
          <w:p w14:paraId="54067738"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739"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73A" w14:textId="77777777" w:rsidR="00611BDD" w:rsidRDefault="002E18C7">
            <w:pPr>
              <w:jc w:val="right"/>
              <w:textAlignment w:val="bottom"/>
            </w:pPr>
            <w:r>
              <w:rPr>
                <w:rFonts w:ascii="sans-serif" w:eastAsia="sans-serif" w:hAnsi="sans-serif" w:cs="sans-serif"/>
                <w:color w:val="000000"/>
                <w:sz w:val="20"/>
                <w:szCs w:val="20"/>
              </w:rPr>
              <w:t>38.4 </w:t>
            </w:r>
          </w:p>
        </w:tc>
        <w:tc>
          <w:tcPr>
            <w:tcW w:w="0" w:type="auto"/>
            <w:shd w:val="clear" w:color="auto" w:fill="FFFFFF"/>
            <w:tcMar>
              <w:top w:w="40" w:type="dxa"/>
              <w:left w:w="0" w:type="dxa"/>
              <w:bottom w:w="40" w:type="dxa"/>
              <w:right w:w="20" w:type="dxa"/>
            </w:tcMar>
            <w:vAlign w:val="bottom"/>
          </w:tcPr>
          <w:p w14:paraId="5406773B" w14:textId="77777777" w:rsidR="00611BDD" w:rsidRDefault="00611BDD">
            <w:pPr>
              <w:jc w:val="right"/>
              <w:rPr>
                <w:rFonts w:ascii="宋体"/>
              </w:rPr>
            </w:pPr>
          </w:p>
        </w:tc>
      </w:tr>
      <w:tr w:rsidR="00611BDD" w14:paraId="54067749" w14:textId="77777777">
        <w:tc>
          <w:tcPr>
            <w:tcW w:w="0" w:type="auto"/>
            <w:gridSpan w:val="3"/>
            <w:shd w:val="clear" w:color="auto" w:fill="E2EFD9"/>
            <w:tcMar>
              <w:top w:w="40" w:type="dxa"/>
              <w:left w:w="20" w:type="dxa"/>
              <w:bottom w:w="40" w:type="dxa"/>
              <w:right w:w="20" w:type="dxa"/>
            </w:tcMar>
            <w:vAlign w:val="bottom"/>
          </w:tcPr>
          <w:p w14:paraId="5406773D" w14:textId="77777777" w:rsidR="00611BDD" w:rsidRDefault="002E18C7">
            <w:pPr>
              <w:textAlignment w:val="bottom"/>
            </w:pPr>
            <w:r>
              <w:rPr>
                <w:rFonts w:ascii="sans-serif" w:eastAsia="sans-serif" w:hAnsi="sans-serif" w:cs="sans-serif"/>
                <w:color w:val="000000"/>
                <w:sz w:val="20"/>
                <w:szCs w:val="20"/>
              </w:rPr>
              <w:t>Gross profit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773E" w14:textId="77777777" w:rsidR="00611BDD" w:rsidRDefault="002E18C7">
            <w:pPr>
              <w:jc w:val="right"/>
              <w:textAlignment w:val="bottom"/>
            </w:pPr>
            <w:r>
              <w:rPr>
                <w:rFonts w:ascii="sans-serif" w:eastAsia="sans-serif" w:hAnsi="sans-serif" w:cs="sans-serif"/>
                <w:color w:val="000000"/>
                <w:sz w:val="20"/>
                <w:szCs w:val="20"/>
              </w:rPr>
              <w:t>64.8 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773F"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740" w14:textId="77777777" w:rsidR="00611BDD" w:rsidRDefault="00611BD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7741" w14:textId="77777777" w:rsidR="00611BDD" w:rsidRDefault="002E18C7">
            <w:pPr>
              <w:jc w:val="right"/>
              <w:textAlignment w:val="bottom"/>
            </w:pPr>
            <w:r>
              <w:rPr>
                <w:rFonts w:ascii="sans-serif" w:eastAsia="sans-serif" w:hAnsi="sans-serif" w:cs="sans-serif"/>
                <w:color w:val="000000"/>
                <w:sz w:val="20"/>
                <w:szCs w:val="20"/>
              </w:rPr>
              <w:t>58.8 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7742"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743" w14:textId="77777777" w:rsidR="00611BDD" w:rsidRDefault="00611BD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7744" w14:textId="77777777" w:rsidR="00611BDD" w:rsidRDefault="002E18C7">
            <w:pPr>
              <w:jc w:val="right"/>
              <w:textAlignment w:val="bottom"/>
            </w:pPr>
            <w:r>
              <w:rPr>
                <w:rFonts w:ascii="sans-serif" w:eastAsia="sans-serif" w:hAnsi="sans-serif" w:cs="sans-serif"/>
                <w:color w:val="000000"/>
                <w:sz w:val="20"/>
                <w:szCs w:val="20"/>
              </w:rPr>
              <w:t>64.5 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7745"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746" w14:textId="77777777" w:rsidR="00611BDD" w:rsidRDefault="00611BD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7747" w14:textId="77777777" w:rsidR="00611BDD" w:rsidRDefault="002E18C7">
            <w:pPr>
              <w:jc w:val="right"/>
              <w:textAlignment w:val="bottom"/>
            </w:pPr>
            <w:r>
              <w:rPr>
                <w:rFonts w:ascii="sans-serif" w:eastAsia="sans-serif" w:hAnsi="sans-serif" w:cs="sans-serif"/>
                <w:color w:val="000000"/>
                <w:sz w:val="20"/>
                <w:szCs w:val="20"/>
              </w:rPr>
              <w:t>61.6 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7748" w14:textId="77777777" w:rsidR="00611BDD" w:rsidRDefault="00611BDD">
            <w:pPr>
              <w:jc w:val="right"/>
              <w:rPr>
                <w:rFonts w:ascii="宋体"/>
              </w:rPr>
            </w:pPr>
          </w:p>
        </w:tc>
      </w:tr>
      <w:tr w:rsidR="00611BDD" w14:paraId="54067752" w14:textId="77777777">
        <w:tc>
          <w:tcPr>
            <w:tcW w:w="0" w:type="auto"/>
            <w:gridSpan w:val="3"/>
            <w:shd w:val="clear" w:color="auto" w:fill="FFFFFF"/>
            <w:tcMar>
              <w:top w:w="40" w:type="dxa"/>
              <w:left w:w="20" w:type="dxa"/>
              <w:bottom w:w="40" w:type="dxa"/>
              <w:right w:w="20" w:type="dxa"/>
            </w:tcMar>
            <w:vAlign w:val="bottom"/>
          </w:tcPr>
          <w:p w14:paraId="5406774A" w14:textId="77777777" w:rsidR="00611BDD" w:rsidRDefault="002E18C7">
            <w:pPr>
              <w:textAlignment w:val="bottom"/>
            </w:pPr>
            <w:r>
              <w:rPr>
                <w:rFonts w:ascii="sans-serif" w:eastAsia="sans-serif" w:hAnsi="sans-serif" w:cs="sans-serif"/>
                <w:color w:val="000000"/>
                <w:sz w:val="20"/>
                <w:szCs w:val="20"/>
              </w:rPr>
              <w:t>Operating expenses</w:t>
            </w:r>
          </w:p>
        </w:tc>
        <w:tc>
          <w:tcPr>
            <w:tcW w:w="0" w:type="auto"/>
            <w:gridSpan w:val="3"/>
            <w:shd w:val="clear" w:color="auto" w:fill="FFFFFF"/>
            <w:tcMar>
              <w:top w:w="40" w:type="dxa"/>
              <w:left w:w="20" w:type="dxa"/>
              <w:bottom w:w="40" w:type="dxa"/>
              <w:right w:w="20" w:type="dxa"/>
            </w:tcMar>
            <w:vAlign w:val="bottom"/>
          </w:tcPr>
          <w:p w14:paraId="5406774B" w14:textId="77777777" w:rsidR="00611BDD" w:rsidRDefault="002E18C7">
            <w:pPr>
              <w:jc w:val="right"/>
              <w:textAlignment w:val="bottom"/>
            </w:pPr>
            <w:r>
              <w:rPr>
                <w:rFonts w:ascii="sans-serif" w:eastAsia="sans-serif" w:hAnsi="sans-serif" w:cs="sans-serif"/>
                <w:color w:val="EE2724"/>
                <w:sz w:val="20"/>
                <w:szCs w:val="20"/>
              </w:rPr>
              <w:t> </w:t>
            </w:r>
          </w:p>
        </w:tc>
        <w:tc>
          <w:tcPr>
            <w:tcW w:w="0" w:type="auto"/>
            <w:gridSpan w:val="3"/>
            <w:shd w:val="clear" w:color="auto" w:fill="FFFFFF"/>
            <w:tcMar>
              <w:top w:w="0" w:type="dxa"/>
              <w:left w:w="20" w:type="dxa"/>
              <w:bottom w:w="0" w:type="dxa"/>
              <w:right w:w="20" w:type="dxa"/>
            </w:tcMar>
            <w:vAlign w:val="bottom"/>
          </w:tcPr>
          <w:p w14:paraId="5406774C"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74D"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74E" w14:textId="77777777" w:rsidR="00611BDD" w:rsidRDefault="00611BDD">
            <w:pPr>
              <w:rPr>
                <w:rFonts w:ascii="宋体"/>
              </w:rPr>
            </w:pPr>
          </w:p>
        </w:tc>
        <w:tc>
          <w:tcPr>
            <w:tcW w:w="0" w:type="auto"/>
            <w:gridSpan w:val="3"/>
            <w:shd w:val="clear" w:color="auto" w:fill="FFFFFF"/>
            <w:tcMar>
              <w:top w:w="40" w:type="dxa"/>
              <w:left w:w="20" w:type="dxa"/>
              <w:bottom w:w="40" w:type="dxa"/>
              <w:right w:w="20" w:type="dxa"/>
            </w:tcMar>
            <w:vAlign w:val="bottom"/>
          </w:tcPr>
          <w:p w14:paraId="5406774F" w14:textId="77777777" w:rsidR="00611BDD" w:rsidRDefault="002E18C7">
            <w:pPr>
              <w:textAlignment w:val="bottom"/>
            </w:pPr>
            <w:r>
              <w:rPr>
                <w:rFonts w:ascii="sans-serif" w:eastAsia="sans-serif" w:hAnsi="sans-serif" w:cs="sans-serif"/>
                <w:color w:val="EE2724"/>
                <w:sz w:val="20"/>
                <w:szCs w:val="20"/>
              </w:rPr>
              <w:t> </w:t>
            </w:r>
          </w:p>
        </w:tc>
        <w:tc>
          <w:tcPr>
            <w:tcW w:w="0" w:type="auto"/>
            <w:gridSpan w:val="3"/>
            <w:shd w:val="clear" w:color="auto" w:fill="FFFFFF"/>
            <w:tcMar>
              <w:top w:w="0" w:type="dxa"/>
              <w:left w:w="20" w:type="dxa"/>
              <w:bottom w:w="0" w:type="dxa"/>
              <w:right w:w="20" w:type="dxa"/>
            </w:tcMar>
            <w:vAlign w:val="bottom"/>
          </w:tcPr>
          <w:p w14:paraId="54067750" w14:textId="77777777" w:rsidR="00611BDD" w:rsidRDefault="00611BDD">
            <w:pPr>
              <w:rPr>
                <w:rFonts w:ascii="宋体"/>
              </w:rPr>
            </w:pPr>
          </w:p>
        </w:tc>
        <w:tc>
          <w:tcPr>
            <w:tcW w:w="0" w:type="auto"/>
            <w:gridSpan w:val="3"/>
            <w:shd w:val="clear" w:color="auto" w:fill="FFFFFF"/>
            <w:tcMar>
              <w:top w:w="40" w:type="dxa"/>
              <w:left w:w="20" w:type="dxa"/>
              <w:bottom w:w="40" w:type="dxa"/>
              <w:right w:w="20" w:type="dxa"/>
            </w:tcMar>
            <w:vAlign w:val="bottom"/>
          </w:tcPr>
          <w:p w14:paraId="54067751" w14:textId="77777777" w:rsidR="00611BDD" w:rsidRDefault="002E18C7">
            <w:pPr>
              <w:textAlignment w:val="bottom"/>
            </w:pPr>
            <w:r>
              <w:rPr>
                <w:rFonts w:ascii="sans-serif" w:eastAsia="sans-serif" w:hAnsi="sans-serif" w:cs="sans-serif"/>
                <w:color w:val="EE2724"/>
                <w:sz w:val="20"/>
                <w:szCs w:val="20"/>
              </w:rPr>
              <w:t> </w:t>
            </w:r>
          </w:p>
        </w:tc>
      </w:tr>
      <w:tr w:rsidR="00611BDD" w14:paraId="5406775F" w14:textId="77777777">
        <w:tc>
          <w:tcPr>
            <w:tcW w:w="0" w:type="auto"/>
            <w:gridSpan w:val="3"/>
            <w:shd w:val="clear" w:color="auto" w:fill="E2EFD9"/>
            <w:tcMar>
              <w:top w:w="40" w:type="dxa"/>
              <w:left w:w="20" w:type="dxa"/>
              <w:bottom w:w="40" w:type="dxa"/>
              <w:right w:w="20" w:type="dxa"/>
            </w:tcMar>
            <w:vAlign w:val="bottom"/>
          </w:tcPr>
          <w:p w14:paraId="54067753" w14:textId="77777777" w:rsidR="00611BDD" w:rsidRDefault="002E18C7">
            <w:pPr>
              <w:textAlignment w:val="bottom"/>
            </w:pPr>
            <w:r>
              <w:rPr>
                <w:rFonts w:ascii="sans-serif" w:eastAsia="sans-serif" w:hAnsi="sans-serif" w:cs="sans-serif"/>
                <w:color w:val="000000"/>
                <w:sz w:val="20"/>
                <w:szCs w:val="20"/>
              </w:rPr>
              <w:t>     Research and development</w:t>
            </w:r>
          </w:p>
        </w:tc>
        <w:tc>
          <w:tcPr>
            <w:tcW w:w="0" w:type="auto"/>
            <w:gridSpan w:val="2"/>
            <w:shd w:val="clear" w:color="auto" w:fill="E2EFD9"/>
            <w:tcMar>
              <w:top w:w="40" w:type="dxa"/>
              <w:left w:w="20" w:type="dxa"/>
              <w:bottom w:w="40" w:type="dxa"/>
              <w:right w:w="0" w:type="dxa"/>
            </w:tcMar>
            <w:vAlign w:val="bottom"/>
          </w:tcPr>
          <w:p w14:paraId="54067754" w14:textId="77777777" w:rsidR="00611BDD" w:rsidRDefault="002E18C7">
            <w:pPr>
              <w:jc w:val="right"/>
              <w:textAlignment w:val="bottom"/>
            </w:pPr>
            <w:r>
              <w:rPr>
                <w:rFonts w:ascii="sans-serif" w:eastAsia="sans-serif" w:hAnsi="sans-serif" w:cs="sans-serif"/>
                <w:color w:val="000000"/>
                <w:sz w:val="20"/>
                <w:szCs w:val="20"/>
              </w:rPr>
              <w:t>19.1 </w:t>
            </w:r>
          </w:p>
        </w:tc>
        <w:tc>
          <w:tcPr>
            <w:tcW w:w="0" w:type="auto"/>
            <w:shd w:val="clear" w:color="auto" w:fill="E2EFD9"/>
            <w:tcMar>
              <w:top w:w="40" w:type="dxa"/>
              <w:left w:w="0" w:type="dxa"/>
              <w:bottom w:w="40" w:type="dxa"/>
              <w:right w:w="20" w:type="dxa"/>
            </w:tcMar>
            <w:vAlign w:val="bottom"/>
          </w:tcPr>
          <w:p w14:paraId="54067755"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756"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757" w14:textId="77777777" w:rsidR="00611BDD" w:rsidRDefault="002E18C7">
            <w:pPr>
              <w:jc w:val="right"/>
              <w:textAlignment w:val="bottom"/>
            </w:pPr>
            <w:r>
              <w:rPr>
                <w:rFonts w:ascii="sans-serif" w:eastAsia="sans-serif" w:hAnsi="sans-serif" w:cs="sans-serif"/>
                <w:color w:val="000000"/>
                <w:sz w:val="20"/>
                <w:szCs w:val="20"/>
              </w:rPr>
              <w:t>25.8 </w:t>
            </w:r>
          </w:p>
        </w:tc>
        <w:tc>
          <w:tcPr>
            <w:tcW w:w="0" w:type="auto"/>
            <w:shd w:val="clear" w:color="auto" w:fill="E2EFD9"/>
            <w:tcMar>
              <w:top w:w="40" w:type="dxa"/>
              <w:left w:w="0" w:type="dxa"/>
              <w:bottom w:w="40" w:type="dxa"/>
              <w:right w:w="20" w:type="dxa"/>
            </w:tcMar>
            <w:vAlign w:val="bottom"/>
          </w:tcPr>
          <w:p w14:paraId="54067758"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759"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75A" w14:textId="77777777" w:rsidR="00611BDD" w:rsidRDefault="002E18C7">
            <w:pPr>
              <w:jc w:val="right"/>
              <w:textAlignment w:val="bottom"/>
            </w:pPr>
            <w:r>
              <w:rPr>
                <w:rFonts w:ascii="sans-serif" w:eastAsia="sans-serif" w:hAnsi="sans-serif" w:cs="sans-serif"/>
                <w:color w:val="000000"/>
                <w:sz w:val="20"/>
                <w:szCs w:val="20"/>
              </w:rPr>
              <w:t>19.7 </w:t>
            </w:r>
          </w:p>
        </w:tc>
        <w:tc>
          <w:tcPr>
            <w:tcW w:w="0" w:type="auto"/>
            <w:shd w:val="clear" w:color="auto" w:fill="E2EFD9"/>
            <w:tcMar>
              <w:top w:w="40" w:type="dxa"/>
              <w:left w:w="0" w:type="dxa"/>
              <w:bottom w:w="40" w:type="dxa"/>
              <w:right w:w="20" w:type="dxa"/>
            </w:tcMar>
            <w:vAlign w:val="bottom"/>
          </w:tcPr>
          <w:p w14:paraId="5406775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75C"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75D" w14:textId="77777777" w:rsidR="00611BDD" w:rsidRDefault="002E18C7">
            <w:pPr>
              <w:jc w:val="right"/>
              <w:textAlignment w:val="bottom"/>
            </w:pPr>
            <w:r>
              <w:rPr>
                <w:rFonts w:ascii="sans-serif" w:eastAsia="sans-serif" w:hAnsi="sans-serif" w:cs="sans-serif"/>
                <w:color w:val="000000"/>
                <w:sz w:val="20"/>
                <w:szCs w:val="20"/>
              </w:rPr>
              <w:t>24.9 </w:t>
            </w:r>
          </w:p>
        </w:tc>
        <w:tc>
          <w:tcPr>
            <w:tcW w:w="0" w:type="auto"/>
            <w:shd w:val="clear" w:color="auto" w:fill="E2EFD9"/>
            <w:tcMar>
              <w:top w:w="40" w:type="dxa"/>
              <w:left w:w="0" w:type="dxa"/>
              <w:bottom w:w="40" w:type="dxa"/>
              <w:right w:w="20" w:type="dxa"/>
            </w:tcMar>
            <w:vAlign w:val="bottom"/>
          </w:tcPr>
          <w:p w14:paraId="5406775E" w14:textId="77777777" w:rsidR="00611BDD" w:rsidRDefault="00611BDD">
            <w:pPr>
              <w:jc w:val="right"/>
              <w:rPr>
                <w:rFonts w:ascii="宋体"/>
              </w:rPr>
            </w:pPr>
          </w:p>
        </w:tc>
      </w:tr>
      <w:tr w:rsidR="00611BDD" w14:paraId="5406776C" w14:textId="77777777">
        <w:tc>
          <w:tcPr>
            <w:tcW w:w="0" w:type="auto"/>
            <w:gridSpan w:val="3"/>
            <w:shd w:val="clear" w:color="auto" w:fill="FFFFFF"/>
            <w:tcMar>
              <w:top w:w="40" w:type="dxa"/>
              <w:left w:w="20" w:type="dxa"/>
              <w:bottom w:w="40" w:type="dxa"/>
              <w:right w:w="20" w:type="dxa"/>
            </w:tcMar>
            <w:vAlign w:val="bottom"/>
          </w:tcPr>
          <w:p w14:paraId="54067760" w14:textId="77777777" w:rsidR="00611BDD" w:rsidRDefault="002E18C7">
            <w:pPr>
              <w:textAlignment w:val="bottom"/>
            </w:pPr>
            <w:r>
              <w:rPr>
                <w:rFonts w:ascii="sans-serif" w:eastAsia="sans-serif" w:hAnsi="sans-serif" w:cs="sans-serif"/>
                <w:color w:val="000000"/>
                <w:sz w:val="20"/>
                <w:szCs w:val="20"/>
              </w:rPr>
              <w:t>     Sales, general and administrative</w:t>
            </w:r>
          </w:p>
        </w:tc>
        <w:tc>
          <w:tcPr>
            <w:tcW w:w="0" w:type="auto"/>
            <w:gridSpan w:val="2"/>
            <w:shd w:val="clear" w:color="auto" w:fill="FFFFFF"/>
            <w:tcMar>
              <w:top w:w="40" w:type="dxa"/>
              <w:left w:w="20" w:type="dxa"/>
              <w:bottom w:w="40" w:type="dxa"/>
              <w:right w:w="0" w:type="dxa"/>
            </w:tcMar>
            <w:vAlign w:val="bottom"/>
          </w:tcPr>
          <w:p w14:paraId="54067761" w14:textId="77777777" w:rsidR="00611BDD" w:rsidRDefault="002E18C7">
            <w:pPr>
              <w:jc w:val="right"/>
              <w:textAlignment w:val="bottom"/>
            </w:pPr>
            <w:r>
              <w:rPr>
                <w:rFonts w:ascii="sans-serif" w:eastAsia="sans-serif" w:hAnsi="sans-serif" w:cs="sans-serif"/>
                <w:color w:val="000000"/>
                <w:sz w:val="20"/>
                <w:szCs w:val="20"/>
              </w:rPr>
              <w:t>8.1 </w:t>
            </w:r>
          </w:p>
        </w:tc>
        <w:tc>
          <w:tcPr>
            <w:tcW w:w="0" w:type="auto"/>
            <w:shd w:val="clear" w:color="auto" w:fill="FFFFFF"/>
            <w:tcMar>
              <w:top w:w="40" w:type="dxa"/>
              <w:left w:w="0" w:type="dxa"/>
              <w:bottom w:w="40" w:type="dxa"/>
              <w:right w:w="20" w:type="dxa"/>
            </w:tcMar>
            <w:vAlign w:val="bottom"/>
          </w:tcPr>
          <w:p w14:paraId="54067762"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763"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764" w14:textId="77777777" w:rsidR="00611BDD" w:rsidRDefault="002E18C7">
            <w:pPr>
              <w:jc w:val="right"/>
              <w:textAlignment w:val="bottom"/>
            </w:pPr>
            <w:r>
              <w:rPr>
                <w:rFonts w:ascii="sans-serif" w:eastAsia="sans-serif" w:hAnsi="sans-serif" w:cs="sans-serif"/>
                <w:color w:val="000000"/>
                <w:sz w:val="20"/>
                <w:szCs w:val="20"/>
              </w:rPr>
              <w:t>16.2 </w:t>
            </w:r>
          </w:p>
        </w:tc>
        <w:tc>
          <w:tcPr>
            <w:tcW w:w="0" w:type="auto"/>
            <w:shd w:val="clear" w:color="auto" w:fill="FFFFFF"/>
            <w:tcMar>
              <w:top w:w="40" w:type="dxa"/>
              <w:left w:w="0" w:type="dxa"/>
              <w:bottom w:w="40" w:type="dxa"/>
              <w:right w:w="20" w:type="dxa"/>
            </w:tcMar>
            <w:vAlign w:val="bottom"/>
          </w:tcPr>
          <w:p w14:paraId="54067765"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766"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767" w14:textId="77777777" w:rsidR="00611BDD" w:rsidRDefault="002E18C7">
            <w:pPr>
              <w:jc w:val="right"/>
              <w:textAlignment w:val="bottom"/>
            </w:pPr>
            <w:r>
              <w:rPr>
                <w:rFonts w:ascii="sans-serif" w:eastAsia="sans-serif" w:hAnsi="sans-serif" w:cs="sans-serif"/>
                <w:color w:val="000000"/>
                <w:sz w:val="20"/>
                <w:szCs w:val="20"/>
              </w:rPr>
              <w:t>8.6 </w:t>
            </w:r>
          </w:p>
        </w:tc>
        <w:tc>
          <w:tcPr>
            <w:tcW w:w="0" w:type="auto"/>
            <w:shd w:val="clear" w:color="auto" w:fill="FFFFFF"/>
            <w:tcMar>
              <w:top w:w="40" w:type="dxa"/>
              <w:left w:w="0" w:type="dxa"/>
              <w:bottom w:w="40" w:type="dxa"/>
              <w:right w:w="20" w:type="dxa"/>
            </w:tcMar>
            <w:vAlign w:val="bottom"/>
          </w:tcPr>
          <w:p w14:paraId="54067768"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769"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76A" w14:textId="77777777" w:rsidR="00611BDD" w:rsidRDefault="002E18C7">
            <w:pPr>
              <w:jc w:val="right"/>
              <w:textAlignment w:val="bottom"/>
            </w:pPr>
            <w:r>
              <w:rPr>
                <w:rFonts w:ascii="sans-serif" w:eastAsia="sans-serif" w:hAnsi="sans-serif" w:cs="sans-serif"/>
                <w:color w:val="000000"/>
                <w:sz w:val="20"/>
                <w:szCs w:val="20"/>
              </w:rPr>
              <w:t>13.3 </w:t>
            </w:r>
          </w:p>
        </w:tc>
        <w:tc>
          <w:tcPr>
            <w:tcW w:w="0" w:type="auto"/>
            <w:shd w:val="clear" w:color="auto" w:fill="FFFFFF"/>
            <w:tcMar>
              <w:top w:w="40" w:type="dxa"/>
              <w:left w:w="0" w:type="dxa"/>
              <w:bottom w:w="40" w:type="dxa"/>
              <w:right w:w="20" w:type="dxa"/>
            </w:tcMar>
            <w:vAlign w:val="bottom"/>
          </w:tcPr>
          <w:p w14:paraId="5406776B" w14:textId="77777777" w:rsidR="00611BDD" w:rsidRDefault="00611BDD">
            <w:pPr>
              <w:jc w:val="right"/>
              <w:rPr>
                <w:rFonts w:ascii="宋体"/>
              </w:rPr>
            </w:pPr>
          </w:p>
        </w:tc>
      </w:tr>
      <w:tr w:rsidR="00611BDD" w14:paraId="54067775" w14:textId="77777777">
        <w:trPr>
          <w:hidden/>
        </w:trPr>
        <w:tc>
          <w:tcPr>
            <w:tcW w:w="0" w:type="auto"/>
            <w:gridSpan w:val="3"/>
            <w:shd w:val="clear" w:color="auto" w:fill="auto"/>
            <w:vAlign w:val="bottom"/>
          </w:tcPr>
          <w:p w14:paraId="5406776D" w14:textId="77777777" w:rsidR="00611BDD" w:rsidRDefault="00611BDD">
            <w:pPr>
              <w:rPr>
                <w:rFonts w:ascii="宋体"/>
                <w:vanish/>
              </w:rPr>
            </w:pPr>
          </w:p>
        </w:tc>
        <w:tc>
          <w:tcPr>
            <w:tcW w:w="0" w:type="auto"/>
            <w:gridSpan w:val="3"/>
            <w:shd w:val="clear" w:color="auto" w:fill="auto"/>
            <w:vAlign w:val="bottom"/>
          </w:tcPr>
          <w:p w14:paraId="5406776E" w14:textId="77777777" w:rsidR="00611BDD" w:rsidRDefault="00611BDD">
            <w:pPr>
              <w:rPr>
                <w:rFonts w:ascii="宋体"/>
                <w:vanish/>
              </w:rPr>
            </w:pPr>
          </w:p>
        </w:tc>
        <w:tc>
          <w:tcPr>
            <w:tcW w:w="0" w:type="auto"/>
            <w:gridSpan w:val="3"/>
            <w:shd w:val="clear" w:color="auto" w:fill="auto"/>
            <w:vAlign w:val="bottom"/>
          </w:tcPr>
          <w:p w14:paraId="5406776F" w14:textId="77777777" w:rsidR="00611BDD" w:rsidRDefault="00611BDD">
            <w:pPr>
              <w:rPr>
                <w:rFonts w:ascii="宋体"/>
                <w:vanish/>
              </w:rPr>
            </w:pPr>
          </w:p>
        </w:tc>
        <w:tc>
          <w:tcPr>
            <w:tcW w:w="0" w:type="auto"/>
            <w:gridSpan w:val="3"/>
            <w:shd w:val="clear" w:color="auto" w:fill="auto"/>
            <w:vAlign w:val="bottom"/>
          </w:tcPr>
          <w:p w14:paraId="54067770" w14:textId="77777777" w:rsidR="00611BDD" w:rsidRDefault="00611BDD">
            <w:pPr>
              <w:rPr>
                <w:rFonts w:ascii="宋体"/>
                <w:vanish/>
              </w:rPr>
            </w:pPr>
          </w:p>
        </w:tc>
        <w:tc>
          <w:tcPr>
            <w:tcW w:w="0" w:type="auto"/>
            <w:gridSpan w:val="3"/>
            <w:shd w:val="clear" w:color="auto" w:fill="auto"/>
            <w:vAlign w:val="bottom"/>
          </w:tcPr>
          <w:p w14:paraId="54067771" w14:textId="77777777" w:rsidR="00611BDD" w:rsidRDefault="00611BDD">
            <w:pPr>
              <w:rPr>
                <w:rFonts w:ascii="宋体"/>
                <w:vanish/>
              </w:rPr>
            </w:pPr>
          </w:p>
        </w:tc>
        <w:tc>
          <w:tcPr>
            <w:tcW w:w="0" w:type="auto"/>
            <w:gridSpan w:val="3"/>
            <w:shd w:val="clear" w:color="auto" w:fill="auto"/>
            <w:vAlign w:val="bottom"/>
          </w:tcPr>
          <w:p w14:paraId="54067772" w14:textId="77777777" w:rsidR="00611BDD" w:rsidRDefault="00611BDD">
            <w:pPr>
              <w:rPr>
                <w:rFonts w:ascii="宋体"/>
                <w:vanish/>
              </w:rPr>
            </w:pPr>
          </w:p>
        </w:tc>
        <w:tc>
          <w:tcPr>
            <w:tcW w:w="0" w:type="auto"/>
            <w:gridSpan w:val="3"/>
            <w:shd w:val="clear" w:color="auto" w:fill="auto"/>
            <w:vAlign w:val="bottom"/>
          </w:tcPr>
          <w:p w14:paraId="54067773" w14:textId="77777777" w:rsidR="00611BDD" w:rsidRDefault="00611BDD">
            <w:pPr>
              <w:rPr>
                <w:rFonts w:ascii="宋体"/>
                <w:vanish/>
              </w:rPr>
            </w:pPr>
          </w:p>
        </w:tc>
        <w:tc>
          <w:tcPr>
            <w:tcW w:w="0" w:type="auto"/>
            <w:gridSpan w:val="3"/>
            <w:shd w:val="clear" w:color="auto" w:fill="auto"/>
            <w:vAlign w:val="bottom"/>
          </w:tcPr>
          <w:p w14:paraId="54067774" w14:textId="77777777" w:rsidR="00611BDD" w:rsidRDefault="00611BDD">
            <w:pPr>
              <w:rPr>
                <w:rFonts w:ascii="宋体"/>
                <w:vanish/>
              </w:rPr>
            </w:pPr>
          </w:p>
        </w:tc>
      </w:tr>
      <w:tr w:rsidR="00611BDD" w14:paraId="54067782" w14:textId="77777777">
        <w:tc>
          <w:tcPr>
            <w:tcW w:w="0" w:type="auto"/>
            <w:gridSpan w:val="3"/>
            <w:shd w:val="clear" w:color="auto" w:fill="E2EFD9"/>
            <w:tcMar>
              <w:top w:w="40" w:type="dxa"/>
              <w:left w:w="20" w:type="dxa"/>
              <w:bottom w:w="40" w:type="dxa"/>
              <w:right w:w="20" w:type="dxa"/>
            </w:tcMar>
            <w:vAlign w:val="bottom"/>
          </w:tcPr>
          <w:p w14:paraId="54067776" w14:textId="77777777" w:rsidR="00611BDD" w:rsidRDefault="002E18C7">
            <w:pPr>
              <w:textAlignment w:val="bottom"/>
            </w:pPr>
            <w:r>
              <w:rPr>
                <w:rFonts w:ascii="sans-serif" w:eastAsia="sans-serif" w:hAnsi="sans-serif" w:cs="sans-serif"/>
                <w:color w:val="000000"/>
                <w:sz w:val="20"/>
                <w:szCs w:val="20"/>
              </w:rPr>
              <w:t>Total operating expenses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7777" w14:textId="77777777" w:rsidR="00611BDD" w:rsidRDefault="002E18C7">
            <w:pPr>
              <w:jc w:val="right"/>
              <w:textAlignment w:val="bottom"/>
            </w:pPr>
            <w:r>
              <w:rPr>
                <w:rFonts w:ascii="sans-serif" w:eastAsia="sans-serif" w:hAnsi="sans-serif" w:cs="sans-serif"/>
                <w:color w:val="000000"/>
                <w:sz w:val="20"/>
                <w:szCs w:val="20"/>
              </w:rPr>
              <w:t>27.2 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7778"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779" w14:textId="77777777" w:rsidR="00611BDD" w:rsidRDefault="00611BD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777A" w14:textId="77777777" w:rsidR="00611BDD" w:rsidRDefault="002E18C7">
            <w:pPr>
              <w:jc w:val="right"/>
              <w:textAlignment w:val="bottom"/>
            </w:pPr>
            <w:r>
              <w:rPr>
                <w:rFonts w:ascii="sans-serif" w:eastAsia="sans-serif" w:hAnsi="sans-serif" w:cs="sans-serif"/>
                <w:color w:val="000000"/>
                <w:sz w:val="20"/>
                <w:szCs w:val="20"/>
              </w:rPr>
              <w:t>42.0 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777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77C" w14:textId="77777777" w:rsidR="00611BDD" w:rsidRDefault="00611BD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777D" w14:textId="77777777" w:rsidR="00611BDD" w:rsidRDefault="002E18C7">
            <w:pPr>
              <w:jc w:val="right"/>
              <w:textAlignment w:val="bottom"/>
            </w:pPr>
            <w:r>
              <w:rPr>
                <w:rFonts w:ascii="sans-serif" w:eastAsia="sans-serif" w:hAnsi="sans-serif" w:cs="sans-serif"/>
                <w:color w:val="000000"/>
                <w:sz w:val="20"/>
                <w:szCs w:val="20"/>
              </w:rPr>
              <w:t>28.3 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777E"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77F" w14:textId="77777777" w:rsidR="00611BDD" w:rsidRDefault="00611BD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7780" w14:textId="77777777" w:rsidR="00611BDD" w:rsidRDefault="002E18C7">
            <w:pPr>
              <w:jc w:val="right"/>
              <w:textAlignment w:val="bottom"/>
            </w:pPr>
            <w:r>
              <w:rPr>
                <w:rFonts w:ascii="sans-serif" w:eastAsia="sans-serif" w:hAnsi="sans-serif" w:cs="sans-serif"/>
                <w:color w:val="000000"/>
                <w:sz w:val="20"/>
                <w:szCs w:val="20"/>
              </w:rPr>
              <w:t>38.2 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7781" w14:textId="77777777" w:rsidR="00611BDD" w:rsidRDefault="00611BDD">
            <w:pPr>
              <w:jc w:val="right"/>
              <w:rPr>
                <w:rFonts w:ascii="宋体"/>
              </w:rPr>
            </w:pPr>
          </w:p>
        </w:tc>
      </w:tr>
      <w:tr w:rsidR="00611BDD" w14:paraId="5406778F" w14:textId="77777777">
        <w:tc>
          <w:tcPr>
            <w:tcW w:w="0" w:type="auto"/>
            <w:gridSpan w:val="3"/>
            <w:shd w:val="clear" w:color="auto" w:fill="FFFFFF"/>
            <w:tcMar>
              <w:top w:w="40" w:type="dxa"/>
              <w:left w:w="20" w:type="dxa"/>
              <w:bottom w:w="40" w:type="dxa"/>
              <w:right w:w="20" w:type="dxa"/>
            </w:tcMar>
            <w:vAlign w:val="bottom"/>
          </w:tcPr>
          <w:p w14:paraId="54067783" w14:textId="77777777" w:rsidR="00611BDD" w:rsidRDefault="002E18C7">
            <w:pPr>
              <w:textAlignment w:val="bottom"/>
            </w:pPr>
            <w:r>
              <w:rPr>
                <w:rFonts w:ascii="sans-serif" w:eastAsia="sans-serif" w:hAnsi="sans-serif" w:cs="sans-serif"/>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7784" w14:textId="77777777" w:rsidR="00611BDD" w:rsidRDefault="002E18C7">
            <w:pPr>
              <w:jc w:val="right"/>
              <w:textAlignment w:val="bottom"/>
            </w:pPr>
            <w:r>
              <w:rPr>
                <w:rFonts w:ascii="sans-serif" w:eastAsia="sans-serif" w:hAnsi="sans-serif" w:cs="sans-serif"/>
                <w:color w:val="000000"/>
                <w:sz w:val="20"/>
                <w:szCs w:val="20"/>
              </w:rPr>
              <w:t>37.6 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7785"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786"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7787" w14:textId="77777777" w:rsidR="00611BDD" w:rsidRDefault="002E18C7">
            <w:pPr>
              <w:jc w:val="right"/>
              <w:textAlignment w:val="bottom"/>
            </w:pPr>
            <w:r>
              <w:rPr>
                <w:rFonts w:ascii="sans-serif" w:eastAsia="sans-serif" w:hAnsi="sans-serif" w:cs="sans-serif"/>
                <w:color w:val="000000"/>
                <w:sz w:val="20"/>
                <w:szCs w:val="20"/>
              </w:rPr>
              <w:t>16.8 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7788"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789"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778A" w14:textId="77777777" w:rsidR="00611BDD" w:rsidRDefault="002E18C7">
            <w:pPr>
              <w:jc w:val="right"/>
              <w:textAlignment w:val="bottom"/>
            </w:pPr>
            <w:r>
              <w:rPr>
                <w:rFonts w:ascii="sans-serif" w:eastAsia="sans-serif" w:hAnsi="sans-serif" w:cs="sans-serif"/>
                <w:color w:val="000000"/>
                <w:sz w:val="20"/>
                <w:szCs w:val="20"/>
              </w:rPr>
              <w:t>36.2 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778B"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78C"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778D" w14:textId="77777777" w:rsidR="00611BDD" w:rsidRDefault="002E18C7">
            <w:pPr>
              <w:jc w:val="right"/>
              <w:textAlignment w:val="bottom"/>
            </w:pPr>
            <w:r>
              <w:rPr>
                <w:rFonts w:ascii="sans-serif" w:eastAsia="sans-serif" w:hAnsi="sans-serif" w:cs="sans-serif"/>
                <w:color w:val="000000"/>
                <w:sz w:val="20"/>
                <w:szCs w:val="20"/>
              </w:rPr>
              <w:t>23.4 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778E" w14:textId="77777777" w:rsidR="00611BDD" w:rsidRDefault="00611BDD">
            <w:pPr>
              <w:jc w:val="right"/>
              <w:rPr>
                <w:rFonts w:ascii="宋体"/>
              </w:rPr>
            </w:pPr>
          </w:p>
        </w:tc>
      </w:tr>
      <w:tr w:rsidR="00611BDD" w14:paraId="5406779C" w14:textId="77777777">
        <w:tc>
          <w:tcPr>
            <w:tcW w:w="0" w:type="auto"/>
            <w:gridSpan w:val="3"/>
            <w:shd w:val="clear" w:color="auto" w:fill="E2EFD9"/>
            <w:tcMar>
              <w:top w:w="40" w:type="dxa"/>
              <w:left w:w="20" w:type="dxa"/>
              <w:bottom w:w="40" w:type="dxa"/>
              <w:right w:w="20" w:type="dxa"/>
            </w:tcMar>
            <w:vAlign w:val="bottom"/>
          </w:tcPr>
          <w:p w14:paraId="54067790" w14:textId="77777777" w:rsidR="00611BDD" w:rsidRDefault="002E18C7">
            <w:pPr>
              <w:textAlignment w:val="bottom"/>
            </w:pPr>
            <w:r>
              <w:rPr>
                <w:rFonts w:ascii="sans-serif" w:eastAsia="sans-serif" w:hAnsi="sans-serif" w:cs="sans-serif"/>
                <w:color w:val="000000"/>
                <w:sz w:val="20"/>
                <w:szCs w:val="20"/>
              </w:rPr>
              <w:t>     Interest income</w:t>
            </w:r>
          </w:p>
        </w:tc>
        <w:tc>
          <w:tcPr>
            <w:tcW w:w="0" w:type="auto"/>
            <w:gridSpan w:val="2"/>
            <w:shd w:val="clear" w:color="auto" w:fill="E2EFD9"/>
            <w:tcMar>
              <w:top w:w="40" w:type="dxa"/>
              <w:left w:w="20" w:type="dxa"/>
              <w:bottom w:w="40" w:type="dxa"/>
              <w:right w:w="0" w:type="dxa"/>
            </w:tcMar>
            <w:vAlign w:val="bottom"/>
          </w:tcPr>
          <w:p w14:paraId="54067791" w14:textId="77777777" w:rsidR="00611BDD" w:rsidRDefault="002E18C7">
            <w:pPr>
              <w:jc w:val="right"/>
              <w:textAlignment w:val="bottom"/>
            </w:pPr>
            <w:r>
              <w:rPr>
                <w:rFonts w:ascii="sans-serif" w:eastAsia="sans-serif" w:hAnsi="sans-serif" w:cs="sans-serif"/>
                <w:color w:val="000000"/>
                <w:sz w:val="20"/>
                <w:szCs w:val="20"/>
              </w:rPr>
              <w:t>0.1 </w:t>
            </w:r>
          </w:p>
        </w:tc>
        <w:tc>
          <w:tcPr>
            <w:tcW w:w="0" w:type="auto"/>
            <w:shd w:val="clear" w:color="auto" w:fill="E2EFD9"/>
            <w:tcMar>
              <w:top w:w="40" w:type="dxa"/>
              <w:left w:w="0" w:type="dxa"/>
              <w:bottom w:w="40" w:type="dxa"/>
              <w:right w:w="20" w:type="dxa"/>
            </w:tcMar>
            <w:vAlign w:val="bottom"/>
          </w:tcPr>
          <w:p w14:paraId="54067792"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793"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794" w14:textId="77777777" w:rsidR="00611BDD" w:rsidRDefault="002E18C7">
            <w:pPr>
              <w:jc w:val="right"/>
              <w:textAlignment w:val="bottom"/>
            </w:pPr>
            <w:r>
              <w:rPr>
                <w:rFonts w:ascii="sans-serif" w:eastAsia="sans-serif" w:hAnsi="sans-serif" w:cs="sans-serif"/>
                <w:color w:val="000000"/>
                <w:sz w:val="20"/>
                <w:szCs w:val="20"/>
              </w:rPr>
              <w:t>0.3 </w:t>
            </w:r>
          </w:p>
        </w:tc>
        <w:tc>
          <w:tcPr>
            <w:tcW w:w="0" w:type="auto"/>
            <w:shd w:val="clear" w:color="auto" w:fill="E2EFD9"/>
            <w:tcMar>
              <w:top w:w="40" w:type="dxa"/>
              <w:left w:w="0" w:type="dxa"/>
              <w:bottom w:w="40" w:type="dxa"/>
              <w:right w:w="20" w:type="dxa"/>
            </w:tcMar>
            <w:vAlign w:val="bottom"/>
          </w:tcPr>
          <w:p w14:paraId="54067795"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796"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797" w14:textId="77777777" w:rsidR="00611BDD" w:rsidRDefault="002E18C7">
            <w:pPr>
              <w:jc w:val="right"/>
              <w:textAlignment w:val="bottom"/>
            </w:pPr>
            <w:r>
              <w:rPr>
                <w:rFonts w:ascii="sans-serif" w:eastAsia="sans-serif" w:hAnsi="sans-serif" w:cs="sans-serif"/>
                <w:color w:val="000000"/>
                <w:sz w:val="20"/>
                <w:szCs w:val="20"/>
              </w:rPr>
              <w:t>0.1 </w:t>
            </w:r>
          </w:p>
        </w:tc>
        <w:tc>
          <w:tcPr>
            <w:tcW w:w="0" w:type="auto"/>
            <w:shd w:val="clear" w:color="auto" w:fill="E2EFD9"/>
            <w:tcMar>
              <w:top w:w="40" w:type="dxa"/>
              <w:left w:w="0" w:type="dxa"/>
              <w:bottom w:w="40" w:type="dxa"/>
              <w:right w:w="20" w:type="dxa"/>
            </w:tcMar>
            <w:vAlign w:val="bottom"/>
          </w:tcPr>
          <w:p w14:paraId="54067798"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799"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79A" w14:textId="77777777" w:rsidR="00611BDD" w:rsidRDefault="002E18C7">
            <w:pPr>
              <w:jc w:val="right"/>
              <w:textAlignment w:val="bottom"/>
            </w:pPr>
            <w:r>
              <w:rPr>
                <w:rFonts w:ascii="sans-serif" w:eastAsia="sans-serif" w:hAnsi="sans-serif" w:cs="sans-serif"/>
                <w:color w:val="000000"/>
                <w:sz w:val="20"/>
                <w:szCs w:val="20"/>
              </w:rPr>
              <w:t>0.6 </w:t>
            </w:r>
          </w:p>
        </w:tc>
        <w:tc>
          <w:tcPr>
            <w:tcW w:w="0" w:type="auto"/>
            <w:shd w:val="clear" w:color="auto" w:fill="E2EFD9"/>
            <w:tcMar>
              <w:top w:w="40" w:type="dxa"/>
              <w:left w:w="0" w:type="dxa"/>
              <w:bottom w:w="40" w:type="dxa"/>
              <w:right w:w="20" w:type="dxa"/>
            </w:tcMar>
            <w:vAlign w:val="bottom"/>
          </w:tcPr>
          <w:p w14:paraId="5406779B" w14:textId="77777777" w:rsidR="00611BDD" w:rsidRDefault="00611BDD">
            <w:pPr>
              <w:jc w:val="right"/>
              <w:rPr>
                <w:rFonts w:ascii="宋体"/>
              </w:rPr>
            </w:pPr>
          </w:p>
        </w:tc>
      </w:tr>
      <w:tr w:rsidR="00611BDD" w14:paraId="540677A9" w14:textId="77777777">
        <w:tc>
          <w:tcPr>
            <w:tcW w:w="0" w:type="auto"/>
            <w:gridSpan w:val="3"/>
            <w:shd w:val="clear" w:color="auto" w:fill="FFFFFF"/>
            <w:tcMar>
              <w:top w:w="40" w:type="dxa"/>
              <w:left w:w="20" w:type="dxa"/>
              <w:bottom w:w="40" w:type="dxa"/>
              <w:right w:w="20" w:type="dxa"/>
            </w:tcMar>
            <w:vAlign w:val="bottom"/>
          </w:tcPr>
          <w:p w14:paraId="5406779D" w14:textId="77777777" w:rsidR="00611BDD" w:rsidRDefault="002E18C7">
            <w:pPr>
              <w:textAlignment w:val="bottom"/>
            </w:pPr>
            <w:r>
              <w:rPr>
                <w:rFonts w:ascii="sans-serif" w:eastAsia="sans-serif" w:hAnsi="sans-serif" w:cs="sans-serif"/>
                <w:color w:val="000000"/>
                <w:sz w:val="20"/>
                <w:szCs w:val="20"/>
              </w:rPr>
              <w:t>     Interest expense</w:t>
            </w:r>
          </w:p>
        </w:tc>
        <w:tc>
          <w:tcPr>
            <w:tcW w:w="0" w:type="auto"/>
            <w:gridSpan w:val="2"/>
            <w:shd w:val="clear" w:color="auto" w:fill="FFFFFF"/>
            <w:tcMar>
              <w:top w:w="40" w:type="dxa"/>
              <w:left w:w="20" w:type="dxa"/>
              <w:bottom w:w="40" w:type="dxa"/>
              <w:right w:w="0" w:type="dxa"/>
            </w:tcMar>
            <w:vAlign w:val="bottom"/>
          </w:tcPr>
          <w:p w14:paraId="5406779E" w14:textId="77777777" w:rsidR="00611BDD" w:rsidRDefault="002E18C7">
            <w:pPr>
              <w:jc w:val="right"/>
              <w:textAlignment w:val="bottom"/>
            </w:pPr>
            <w:r>
              <w:rPr>
                <w:rFonts w:ascii="sans-serif" w:eastAsia="sans-serif" w:hAnsi="sans-serif" w:cs="sans-serif"/>
                <w:color w:val="000000"/>
                <w:sz w:val="20"/>
                <w:szCs w:val="20"/>
              </w:rPr>
              <w:t>(0.9)</w:t>
            </w:r>
          </w:p>
        </w:tc>
        <w:tc>
          <w:tcPr>
            <w:tcW w:w="0" w:type="auto"/>
            <w:shd w:val="clear" w:color="auto" w:fill="FFFFFF"/>
            <w:tcMar>
              <w:top w:w="40" w:type="dxa"/>
              <w:left w:w="0" w:type="dxa"/>
              <w:bottom w:w="40" w:type="dxa"/>
              <w:right w:w="20" w:type="dxa"/>
            </w:tcMar>
            <w:vAlign w:val="bottom"/>
          </w:tcPr>
          <w:p w14:paraId="5406779F"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7A0"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7A1" w14:textId="77777777" w:rsidR="00611BDD" w:rsidRDefault="002E18C7">
            <w:pPr>
              <w:jc w:val="right"/>
              <w:textAlignment w:val="bottom"/>
            </w:pPr>
            <w:r>
              <w:rPr>
                <w:rFonts w:ascii="sans-serif" w:eastAsia="sans-serif" w:hAnsi="sans-serif" w:cs="sans-serif"/>
                <w:color w:val="000000"/>
                <w:sz w:val="20"/>
                <w:szCs w:val="20"/>
              </w:rPr>
              <w:t>(1.4)</w:t>
            </w:r>
          </w:p>
        </w:tc>
        <w:tc>
          <w:tcPr>
            <w:tcW w:w="0" w:type="auto"/>
            <w:shd w:val="clear" w:color="auto" w:fill="FFFFFF"/>
            <w:tcMar>
              <w:top w:w="40" w:type="dxa"/>
              <w:left w:w="0" w:type="dxa"/>
              <w:bottom w:w="40" w:type="dxa"/>
              <w:right w:w="20" w:type="dxa"/>
            </w:tcMar>
            <w:vAlign w:val="bottom"/>
          </w:tcPr>
          <w:p w14:paraId="540677A2"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7A3"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7A4" w14:textId="77777777" w:rsidR="00611BDD" w:rsidRDefault="002E18C7">
            <w:pPr>
              <w:jc w:val="right"/>
              <w:textAlignment w:val="bottom"/>
            </w:pPr>
            <w:r>
              <w:rPr>
                <w:rFonts w:ascii="sans-serif" w:eastAsia="sans-serif" w:hAnsi="sans-serif" w:cs="sans-serif"/>
                <w:color w:val="000000"/>
                <w:sz w:val="20"/>
                <w:szCs w:val="20"/>
              </w:rPr>
              <w:t>(0.9)</w:t>
            </w:r>
          </w:p>
        </w:tc>
        <w:tc>
          <w:tcPr>
            <w:tcW w:w="0" w:type="auto"/>
            <w:shd w:val="clear" w:color="auto" w:fill="FFFFFF"/>
            <w:tcMar>
              <w:top w:w="40" w:type="dxa"/>
              <w:left w:w="0" w:type="dxa"/>
              <w:bottom w:w="40" w:type="dxa"/>
              <w:right w:w="20" w:type="dxa"/>
            </w:tcMar>
            <w:vAlign w:val="bottom"/>
          </w:tcPr>
          <w:p w14:paraId="540677A5"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7A6"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7A7" w14:textId="77777777" w:rsidR="00611BDD" w:rsidRDefault="002E18C7">
            <w:pPr>
              <w:jc w:val="right"/>
              <w:textAlignment w:val="bottom"/>
            </w:pPr>
            <w:r>
              <w:rPr>
                <w:rFonts w:ascii="sans-serif" w:eastAsia="sans-serif" w:hAnsi="sans-serif" w:cs="sans-serif"/>
                <w:color w:val="000000"/>
                <w:sz w:val="20"/>
                <w:szCs w:val="20"/>
              </w:rPr>
              <w:t>(1.1)</w:t>
            </w:r>
          </w:p>
        </w:tc>
        <w:tc>
          <w:tcPr>
            <w:tcW w:w="0" w:type="auto"/>
            <w:shd w:val="clear" w:color="auto" w:fill="FFFFFF"/>
            <w:tcMar>
              <w:top w:w="40" w:type="dxa"/>
              <w:left w:w="0" w:type="dxa"/>
              <w:bottom w:w="40" w:type="dxa"/>
              <w:right w:w="20" w:type="dxa"/>
            </w:tcMar>
            <w:vAlign w:val="bottom"/>
          </w:tcPr>
          <w:p w14:paraId="540677A8" w14:textId="77777777" w:rsidR="00611BDD" w:rsidRDefault="00611BDD">
            <w:pPr>
              <w:jc w:val="right"/>
              <w:rPr>
                <w:rFonts w:ascii="宋体"/>
              </w:rPr>
            </w:pPr>
          </w:p>
        </w:tc>
      </w:tr>
      <w:tr w:rsidR="00611BDD" w14:paraId="540677B6" w14:textId="77777777">
        <w:tc>
          <w:tcPr>
            <w:tcW w:w="0" w:type="auto"/>
            <w:gridSpan w:val="3"/>
            <w:shd w:val="clear" w:color="auto" w:fill="E2EFD9"/>
            <w:tcMar>
              <w:top w:w="40" w:type="dxa"/>
              <w:left w:w="20" w:type="dxa"/>
              <w:bottom w:w="40" w:type="dxa"/>
              <w:right w:w="20" w:type="dxa"/>
            </w:tcMar>
            <w:vAlign w:val="bottom"/>
          </w:tcPr>
          <w:p w14:paraId="540677AA" w14:textId="77777777" w:rsidR="00611BDD" w:rsidRDefault="002E18C7">
            <w:pPr>
              <w:textAlignment w:val="bottom"/>
            </w:pPr>
            <w:r>
              <w:rPr>
                <w:rFonts w:ascii="sans-serif" w:eastAsia="sans-serif" w:hAnsi="sans-serif" w:cs="sans-serif"/>
                <w:color w:val="000000"/>
                <w:sz w:val="20"/>
                <w:szCs w:val="20"/>
              </w:rPr>
              <w:t>     Other, net</w:t>
            </w:r>
          </w:p>
        </w:tc>
        <w:tc>
          <w:tcPr>
            <w:tcW w:w="0" w:type="auto"/>
            <w:gridSpan w:val="2"/>
            <w:shd w:val="clear" w:color="auto" w:fill="E2EFD9"/>
            <w:tcMar>
              <w:top w:w="40" w:type="dxa"/>
              <w:left w:w="20" w:type="dxa"/>
              <w:bottom w:w="40" w:type="dxa"/>
              <w:right w:w="0" w:type="dxa"/>
            </w:tcMar>
            <w:vAlign w:val="bottom"/>
          </w:tcPr>
          <w:p w14:paraId="540677AB" w14:textId="77777777" w:rsidR="00611BDD" w:rsidRDefault="002E18C7">
            <w:pPr>
              <w:jc w:val="right"/>
              <w:textAlignment w:val="bottom"/>
            </w:pPr>
            <w:r>
              <w:rPr>
                <w:rFonts w:ascii="sans-serif" w:eastAsia="sans-serif" w:hAnsi="sans-serif" w:cs="sans-serif"/>
                <w:color w:val="000000"/>
                <w:sz w:val="20"/>
                <w:szCs w:val="20"/>
              </w:rPr>
              <w:t>0.1 </w:t>
            </w:r>
          </w:p>
        </w:tc>
        <w:tc>
          <w:tcPr>
            <w:tcW w:w="0" w:type="auto"/>
            <w:shd w:val="clear" w:color="auto" w:fill="E2EFD9"/>
            <w:tcMar>
              <w:top w:w="40" w:type="dxa"/>
              <w:left w:w="0" w:type="dxa"/>
              <w:bottom w:w="40" w:type="dxa"/>
              <w:right w:w="20" w:type="dxa"/>
            </w:tcMar>
            <w:vAlign w:val="bottom"/>
          </w:tcPr>
          <w:p w14:paraId="540677AC"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7AD"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7AE"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40677AF"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7B0"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7B1" w14:textId="77777777" w:rsidR="00611BDD" w:rsidRDefault="002E18C7">
            <w:pPr>
              <w:jc w:val="right"/>
              <w:textAlignment w:val="bottom"/>
            </w:pPr>
            <w:r>
              <w:rPr>
                <w:rFonts w:ascii="sans-serif" w:eastAsia="sans-serif" w:hAnsi="sans-serif" w:cs="sans-serif"/>
                <w:color w:val="000000"/>
                <w:sz w:val="20"/>
                <w:szCs w:val="20"/>
              </w:rPr>
              <w:t>1.1 </w:t>
            </w:r>
          </w:p>
        </w:tc>
        <w:tc>
          <w:tcPr>
            <w:tcW w:w="0" w:type="auto"/>
            <w:shd w:val="clear" w:color="auto" w:fill="E2EFD9"/>
            <w:tcMar>
              <w:top w:w="40" w:type="dxa"/>
              <w:left w:w="0" w:type="dxa"/>
              <w:bottom w:w="40" w:type="dxa"/>
              <w:right w:w="20" w:type="dxa"/>
            </w:tcMar>
            <w:vAlign w:val="bottom"/>
          </w:tcPr>
          <w:p w14:paraId="540677B2"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7B3"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7B4" w14:textId="77777777" w:rsidR="00611BDD" w:rsidRDefault="002E18C7">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540677B5" w14:textId="77777777" w:rsidR="00611BDD" w:rsidRDefault="00611BDD">
            <w:pPr>
              <w:jc w:val="right"/>
              <w:rPr>
                <w:rFonts w:ascii="宋体"/>
              </w:rPr>
            </w:pPr>
          </w:p>
        </w:tc>
      </w:tr>
      <w:tr w:rsidR="00611BDD" w14:paraId="540677C3" w14:textId="77777777">
        <w:tc>
          <w:tcPr>
            <w:tcW w:w="0" w:type="auto"/>
            <w:gridSpan w:val="3"/>
            <w:shd w:val="clear" w:color="auto" w:fill="FFFFFF"/>
            <w:tcMar>
              <w:top w:w="40" w:type="dxa"/>
              <w:left w:w="20" w:type="dxa"/>
              <w:bottom w:w="40" w:type="dxa"/>
              <w:right w:w="20" w:type="dxa"/>
            </w:tcMar>
            <w:vAlign w:val="bottom"/>
          </w:tcPr>
          <w:p w14:paraId="540677B7" w14:textId="77777777" w:rsidR="00611BDD" w:rsidRDefault="002E18C7">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Other income (expense), net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77B8" w14:textId="77777777" w:rsidR="00611BDD" w:rsidRDefault="002E18C7">
            <w:pPr>
              <w:jc w:val="right"/>
              <w:textAlignment w:val="bottom"/>
            </w:pPr>
            <w:r>
              <w:rPr>
                <w:rFonts w:ascii="sans-serif" w:eastAsia="sans-serif" w:hAnsi="sans-serif" w:cs="sans-serif"/>
                <w:color w:val="000000"/>
                <w:sz w:val="20"/>
                <w:szCs w:val="20"/>
              </w:rPr>
              <w:t>(0.7)</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77B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7BA"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77BB" w14:textId="77777777" w:rsidR="00611BDD" w:rsidRDefault="002E18C7">
            <w:pPr>
              <w:jc w:val="right"/>
              <w:textAlignment w:val="bottom"/>
            </w:pPr>
            <w:r>
              <w:rPr>
                <w:rFonts w:ascii="sans-serif" w:eastAsia="sans-serif" w:hAnsi="sans-serif" w:cs="sans-serif"/>
                <w:color w:val="000000"/>
                <w:sz w:val="20"/>
                <w:szCs w:val="20"/>
              </w:rPr>
              <w:t>(1.1)</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77BC"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7BD"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77BE" w14:textId="77777777" w:rsidR="00611BDD" w:rsidRDefault="002E18C7">
            <w:pPr>
              <w:jc w:val="right"/>
              <w:textAlignment w:val="bottom"/>
            </w:pPr>
            <w:r>
              <w:rPr>
                <w:rFonts w:ascii="sans-serif" w:eastAsia="sans-serif" w:hAnsi="sans-serif" w:cs="sans-serif"/>
                <w:color w:val="000000"/>
                <w:sz w:val="20"/>
                <w:szCs w:val="20"/>
              </w:rPr>
              <w:t>0.3 </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77BF"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7C0" w14:textId="77777777" w:rsidR="00611BDD" w:rsidRDefault="00611BD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40677C1" w14:textId="77777777" w:rsidR="00611BDD" w:rsidRDefault="002E18C7">
            <w:pPr>
              <w:jc w:val="right"/>
              <w:textAlignment w:val="bottom"/>
            </w:pPr>
            <w:r>
              <w:rPr>
                <w:rFonts w:ascii="sans-serif" w:eastAsia="sans-serif" w:hAnsi="sans-serif" w:cs="sans-serif"/>
                <w:color w:val="000000"/>
                <w:sz w:val="20"/>
                <w:szCs w:val="20"/>
              </w:rPr>
              <w:t>(0.5)</w:t>
            </w:r>
          </w:p>
        </w:tc>
        <w:tc>
          <w:tcPr>
            <w:tcW w:w="0" w:type="auto"/>
            <w:tcBorders>
              <w:top w:val="single" w:sz="8" w:space="0" w:color="000000"/>
            </w:tcBorders>
            <w:shd w:val="clear" w:color="auto" w:fill="FFFFFF"/>
            <w:tcMar>
              <w:top w:w="40" w:type="dxa"/>
              <w:left w:w="0" w:type="dxa"/>
              <w:bottom w:w="40" w:type="dxa"/>
              <w:right w:w="20" w:type="dxa"/>
            </w:tcMar>
            <w:vAlign w:val="bottom"/>
          </w:tcPr>
          <w:p w14:paraId="540677C2" w14:textId="77777777" w:rsidR="00611BDD" w:rsidRDefault="00611BDD">
            <w:pPr>
              <w:jc w:val="right"/>
              <w:rPr>
                <w:rFonts w:ascii="宋体"/>
              </w:rPr>
            </w:pPr>
          </w:p>
        </w:tc>
      </w:tr>
      <w:tr w:rsidR="00611BDD" w14:paraId="540677D0" w14:textId="77777777">
        <w:tc>
          <w:tcPr>
            <w:tcW w:w="0" w:type="auto"/>
            <w:gridSpan w:val="3"/>
            <w:shd w:val="clear" w:color="auto" w:fill="E2EFD9"/>
            <w:tcMar>
              <w:top w:w="40" w:type="dxa"/>
              <w:left w:w="20" w:type="dxa"/>
              <w:bottom w:w="40" w:type="dxa"/>
              <w:right w:w="20" w:type="dxa"/>
            </w:tcMar>
            <w:vAlign w:val="bottom"/>
          </w:tcPr>
          <w:p w14:paraId="540677C4" w14:textId="77777777" w:rsidR="00611BDD" w:rsidRDefault="002E18C7">
            <w:pPr>
              <w:textAlignment w:val="bottom"/>
            </w:pPr>
            <w:r>
              <w:rPr>
                <w:rFonts w:ascii="sans-serif" w:eastAsia="sans-serif" w:hAnsi="sans-serif" w:cs="sans-serif"/>
                <w:color w:val="000000"/>
                <w:sz w:val="20"/>
                <w:szCs w:val="20"/>
              </w:rPr>
              <w:t>Income before income tax</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77C5" w14:textId="77777777" w:rsidR="00611BDD" w:rsidRDefault="002E18C7">
            <w:pPr>
              <w:jc w:val="right"/>
              <w:textAlignment w:val="bottom"/>
            </w:pPr>
            <w:r>
              <w:rPr>
                <w:rFonts w:ascii="sans-serif" w:eastAsia="sans-serif" w:hAnsi="sans-serif" w:cs="sans-serif"/>
                <w:color w:val="000000"/>
                <w:sz w:val="20"/>
                <w:szCs w:val="20"/>
              </w:rPr>
              <w:t>36.9 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77C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7C7" w14:textId="77777777" w:rsidR="00611BDD" w:rsidRDefault="00611BD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77C8" w14:textId="77777777" w:rsidR="00611BDD" w:rsidRDefault="002E18C7">
            <w:pPr>
              <w:jc w:val="right"/>
              <w:textAlignment w:val="bottom"/>
            </w:pPr>
            <w:r>
              <w:rPr>
                <w:rFonts w:ascii="sans-serif" w:eastAsia="sans-serif" w:hAnsi="sans-serif" w:cs="sans-serif"/>
                <w:color w:val="000000"/>
                <w:sz w:val="20"/>
                <w:szCs w:val="20"/>
              </w:rPr>
              <w:t>15.7 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77C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7CA" w14:textId="77777777" w:rsidR="00611BDD" w:rsidRDefault="00611BD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77CB" w14:textId="77777777" w:rsidR="00611BDD" w:rsidRDefault="002E18C7">
            <w:pPr>
              <w:jc w:val="right"/>
              <w:textAlignment w:val="bottom"/>
            </w:pPr>
            <w:r>
              <w:rPr>
                <w:rFonts w:ascii="sans-serif" w:eastAsia="sans-serif" w:hAnsi="sans-serif" w:cs="sans-serif"/>
                <w:color w:val="000000"/>
                <w:sz w:val="20"/>
                <w:szCs w:val="20"/>
              </w:rPr>
              <w:t>36.5 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77CC"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7CD" w14:textId="77777777" w:rsidR="00611BDD" w:rsidRDefault="00611BDD">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540677CE" w14:textId="77777777" w:rsidR="00611BDD" w:rsidRDefault="002E18C7">
            <w:pPr>
              <w:jc w:val="right"/>
              <w:textAlignment w:val="bottom"/>
            </w:pPr>
            <w:r>
              <w:rPr>
                <w:rFonts w:ascii="sans-serif" w:eastAsia="sans-serif" w:hAnsi="sans-serif" w:cs="sans-serif"/>
                <w:color w:val="000000"/>
                <w:sz w:val="20"/>
                <w:szCs w:val="20"/>
              </w:rPr>
              <w:t>22.9 </w:t>
            </w:r>
          </w:p>
        </w:tc>
        <w:tc>
          <w:tcPr>
            <w:tcW w:w="0" w:type="auto"/>
            <w:tcBorders>
              <w:top w:val="single" w:sz="8" w:space="0" w:color="000000"/>
            </w:tcBorders>
            <w:shd w:val="clear" w:color="auto" w:fill="E2EFD9"/>
            <w:tcMar>
              <w:top w:w="40" w:type="dxa"/>
              <w:left w:w="0" w:type="dxa"/>
              <w:bottom w:w="40" w:type="dxa"/>
              <w:right w:w="20" w:type="dxa"/>
            </w:tcMar>
            <w:vAlign w:val="bottom"/>
          </w:tcPr>
          <w:p w14:paraId="540677CF" w14:textId="77777777" w:rsidR="00611BDD" w:rsidRDefault="00611BDD">
            <w:pPr>
              <w:jc w:val="right"/>
              <w:rPr>
                <w:rFonts w:ascii="宋体"/>
              </w:rPr>
            </w:pPr>
          </w:p>
        </w:tc>
      </w:tr>
      <w:tr w:rsidR="00611BDD" w14:paraId="540677DD" w14:textId="77777777">
        <w:tc>
          <w:tcPr>
            <w:tcW w:w="0" w:type="auto"/>
            <w:gridSpan w:val="3"/>
            <w:shd w:val="clear" w:color="auto" w:fill="FFFFFF"/>
            <w:tcMar>
              <w:top w:w="40" w:type="dxa"/>
              <w:left w:w="20" w:type="dxa"/>
              <w:bottom w:w="40" w:type="dxa"/>
              <w:right w:w="20" w:type="dxa"/>
            </w:tcMar>
            <w:vAlign w:val="bottom"/>
          </w:tcPr>
          <w:p w14:paraId="540677D1" w14:textId="77777777" w:rsidR="00611BDD" w:rsidRDefault="002E18C7">
            <w:pPr>
              <w:textAlignment w:val="bottom"/>
            </w:pPr>
            <w:r>
              <w:rPr>
                <w:rFonts w:ascii="sans-serif" w:eastAsia="sans-serif" w:hAnsi="sans-serif" w:cs="sans-serif"/>
                <w:color w:val="000000"/>
                <w:sz w:val="20"/>
                <w:szCs w:val="20"/>
              </w:rPr>
              <w:t>Income tax expense (benefit)</w:t>
            </w:r>
          </w:p>
        </w:tc>
        <w:tc>
          <w:tcPr>
            <w:tcW w:w="0" w:type="auto"/>
            <w:gridSpan w:val="2"/>
            <w:shd w:val="clear" w:color="auto" w:fill="FFFFFF"/>
            <w:tcMar>
              <w:top w:w="40" w:type="dxa"/>
              <w:left w:w="20" w:type="dxa"/>
              <w:bottom w:w="40" w:type="dxa"/>
              <w:right w:w="0" w:type="dxa"/>
            </w:tcMar>
            <w:vAlign w:val="bottom"/>
          </w:tcPr>
          <w:p w14:paraId="540677D2" w14:textId="77777777" w:rsidR="00611BDD" w:rsidRDefault="002E18C7">
            <w:pPr>
              <w:jc w:val="right"/>
              <w:textAlignment w:val="bottom"/>
            </w:pPr>
            <w:r>
              <w:rPr>
                <w:rFonts w:ascii="sans-serif" w:eastAsia="sans-serif" w:hAnsi="sans-serif" w:cs="sans-serif"/>
                <w:color w:val="000000"/>
                <w:sz w:val="20"/>
                <w:szCs w:val="20"/>
              </w:rPr>
              <w:t>0.3 </w:t>
            </w:r>
          </w:p>
        </w:tc>
        <w:tc>
          <w:tcPr>
            <w:tcW w:w="0" w:type="auto"/>
            <w:shd w:val="clear" w:color="auto" w:fill="FFFFFF"/>
            <w:tcMar>
              <w:top w:w="40" w:type="dxa"/>
              <w:left w:w="0" w:type="dxa"/>
              <w:bottom w:w="40" w:type="dxa"/>
              <w:right w:w="20" w:type="dxa"/>
            </w:tcMar>
            <w:vAlign w:val="bottom"/>
          </w:tcPr>
          <w:p w14:paraId="540677D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7D4"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7D5" w14:textId="77777777" w:rsidR="00611BDD" w:rsidRDefault="002E18C7">
            <w:pPr>
              <w:jc w:val="right"/>
              <w:textAlignment w:val="bottom"/>
            </w:pPr>
            <w:r>
              <w:rPr>
                <w:rFonts w:ascii="sans-serif" w:eastAsia="sans-serif" w:hAnsi="sans-serif" w:cs="sans-serif"/>
                <w:color w:val="000000"/>
                <w:sz w:val="20"/>
                <w:szCs w:val="20"/>
              </w:rPr>
              <w:t>(0.3)</w:t>
            </w:r>
          </w:p>
        </w:tc>
        <w:tc>
          <w:tcPr>
            <w:tcW w:w="0" w:type="auto"/>
            <w:shd w:val="clear" w:color="auto" w:fill="FFFFFF"/>
            <w:tcMar>
              <w:top w:w="40" w:type="dxa"/>
              <w:left w:w="0" w:type="dxa"/>
              <w:bottom w:w="40" w:type="dxa"/>
              <w:right w:w="20" w:type="dxa"/>
            </w:tcMar>
            <w:vAlign w:val="bottom"/>
          </w:tcPr>
          <w:p w14:paraId="540677D6"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7D7"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7D8" w14:textId="77777777" w:rsidR="00611BDD" w:rsidRDefault="002E18C7">
            <w:pPr>
              <w:jc w:val="right"/>
              <w:textAlignment w:val="bottom"/>
            </w:pPr>
            <w:r>
              <w:rPr>
                <w:rFonts w:ascii="sans-serif" w:eastAsia="sans-serif" w:hAnsi="sans-serif" w:cs="sans-serif"/>
                <w:color w:val="000000"/>
                <w:sz w:val="20"/>
                <w:szCs w:val="20"/>
              </w:rPr>
              <w:t>1.3 </w:t>
            </w:r>
          </w:p>
        </w:tc>
        <w:tc>
          <w:tcPr>
            <w:tcW w:w="0" w:type="auto"/>
            <w:shd w:val="clear" w:color="auto" w:fill="FFFFFF"/>
            <w:tcMar>
              <w:top w:w="40" w:type="dxa"/>
              <w:left w:w="0" w:type="dxa"/>
              <w:bottom w:w="40" w:type="dxa"/>
              <w:right w:w="20" w:type="dxa"/>
            </w:tcMar>
            <w:vAlign w:val="bottom"/>
          </w:tcPr>
          <w:p w14:paraId="540677D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7DA"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7DB" w14:textId="77777777" w:rsidR="00611BDD" w:rsidRDefault="002E18C7">
            <w:pPr>
              <w:jc w:val="right"/>
              <w:textAlignment w:val="bottom"/>
            </w:pPr>
            <w:r>
              <w:rPr>
                <w:rFonts w:ascii="sans-serif" w:eastAsia="sans-serif" w:hAnsi="sans-serif" w:cs="sans-serif"/>
                <w:color w:val="000000"/>
                <w:sz w:val="20"/>
                <w:szCs w:val="20"/>
              </w:rPr>
              <w:t>0.7 </w:t>
            </w:r>
          </w:p>
        </w:tc>
        <w:tc>
          <w:tcPr>
            <w:tcW w:w="0" w:type="auto"/>
            <w:shd w:val="clear" w:color="auto" w:fill="FFFFFF"/>
            <w:tcMar>
              <w:top w:w="40" w:type="dxa"/>
              <w:left w:w="0" w:type="dxa"/>
              <w:bottom w:w="40" w:type="dxa"/>
              <w:right w:w="20" w:type="dxa"/>
            </w:tcMar>
            <w:vAlign w:val="bottom"/>
          </w:tcPr>
          <w:p w14:paraId="540677DC" w14:textId="77777777" w:rsidR="00611BDD" w:rsidRDefault="00611BDD">
            <w:pPr>
              <w:jc w:val="right"/>
              <w:rPr>
                <w:rFonts w:ascii="宋体"/>
              </w:rPr>
            </w:pPr>
          </w:p>
        </w:tc>
      </w:tr>
      <w:tr w:rsidR="00611BDD" w14:paraId="540677EA" w14:textId="77777777">
        <w:tc>
          <w:tcPr>
            <w:tcW w:w="0" w:type="auto"/>
            <w:gridSpan w:val="3"/>
            <w:shd w:val="clear" w:color="auto" w:fill="E2EFD9"/>
            <w:tcMar>
              <w:top w:w="40" w:type="dxa"/>
              <w:left w:w="20" w:type="dxa"/>
              <w:bottom w:w="40" w:type="dxa"/>
              <w:right w:w="20" w:type="dxa"/>
            </w:tcMar>
            <w:vAlign w:val="bottom"/>
          </w:tcPr>
          <w:p w14:paraId="540677DE" w14:textId="77777777" w:rsidR="00611BDD" w:rsidRDefault="002E18C7">
            <w:pPr>
              <w:textAlignment w:val="bottom"/>
            </w:pPr>
            <w:r>
              <w:rPr>
                <w:rFonts w:ascii="sans-serif" w:eastAsia="sans-serif" w:hAnsi="sans-serif" w:cs="sans-serif"/>
                <w:color w:val="000000"/>
                <w:sz w:val="20"/>
                <w:szCs w:val="20"/>
              </w:rPr>
              <w:t>Net income</w:t>
            </w: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7DF" w14:textId="77777777" w:rsidR="00611BDD" w:rsidRDefault="002E18C7">
            <w:pPr>
              <w:jc w:val="right"/>
              <w:textAlignment w:val="bottom"/>
            </w:pPr>
            <w:r>
              <w:rPr>
                <w:rFonts w:ascii="sans-serif" w:eastAsia="sans-serif" w:hAnsi="sans-serif" w:cs="sans-serif"/>
                <w:color w:val="000000"/>
                <w:sz w:val="20"/>
                <w:szCs w:val="20"/>
              </w:rPr>
              <w:t>36.6 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7E0" w14:textId="77777777" w:rsidR="00611BDD" w:rsidRDefault="002E18C7">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40677E1" w14:textId="77777777" w:rsidR="00611BDD" w:rsidRDefault="00611BDD">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7E2" w14:textId="77777777" w:rsidR="00611BDD" w:rsidRDefault="002E18C7">
            <w:pPr>
              <w:jc w:val="right"/>
              <w:textAlignment w:val="bottom"/>
            </w:pPr>
            <w:r>
              <w:rPr>
                <w:rFonts w:ascii="sans-serif" w:eastAsia="sans-serif" w:hAnsi="sans-serif" w:cs="sans-serif"/>
                <w:color w:val="000000"/>
                <w:sz w:val="20"/>
                <w:szCs w:val="20"/>
              </w:rPr>
              <w:t>16.0 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7E3" w14:textId="77777777" w:rsidR="00611BDD" w:rsidRDefault="002E18C7">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40677E4" w14:textId="77777777" w:rsidR="00611BDD" w:rsidRDefault="00611BDD">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7E5" w14:textId="77777777" w:rsidR="00611BDD" w:rsidRDefault="002E18C7">
            <w:pPr>
              <w:jc w:val="right"/>
              <w:textAlignment w:val="bottom"/>
            </w:pPr>
            <w:r>
              <w:rPr>
                <w:rFonts w:ascii="sans-serif" w:eastAsia="sans-serif" w:hAnsi="sans-serif" w:cs="sans-serif"/>
                <w:color w:val="000000"/>
                <w:sz w:val="20"/>
                <w:szCs w:val="20"/>
              </w:rPr>
              <w:t>35.2 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7E6" w14:textId="77777777" w:rsidR="00611BDD" w:rsidRDefault="002E18C7">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40677E7" w14:textId="77777777" w:rsidR="00611BDD" w:rsidRDefault="00611BDD">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7E8" w14:textId="77777777" w:rsidR="00611BDD" w:rsidRDefault="002E18C7">
            <w:pPr>
              <w:jc w:val="right"/>
              <w:textAlignment w:val="bottom"/>
            </w:pPr>
            <w:r>
              <w:rPr>
                <w:rFonts w:ascii="sans-serif" w:eastAsia="sans-serif" w:hAnsi="sans-serif" w:cs="sans-serif"/>
                <w:color w:val="000000"/>
                <w:sz w:val="20"/>
                <w:szCs w:val="20"/>
              </w:rPr>
              <w:t>22.2 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7E9" w14:textId="77777777" w:rsidR="00611BDD" w:rsidRDefault="002E18C7">
            <w:pPr>
              <w:jc w:val="right"/>
              <w:textAlignment w:val="bottom"/>
            </w:pPr>
            <w:r>
              <w:rPr>
                <w:rFonts w:ascii="sans-serif" w:eastAsia="sans-serif" w:hAnsi="sans-serif" w:cs="sans-serif"/>
                <w:color w:val="000000"/>
                <w:sz w:val="20"/>
                <w:szCs w:val="20"/>
              </w:rPr>
              <w:t>%</w:t>
            </w:r>
          </w:p>
        </w:tc>
      </w:tr>
    </w:tbl>
    <w:p w14:paraId="540677EB" w14:textId="77777777" w:rsidR="00611BDD" w:rsidRDefault="002E18C7">
      <w:pPr>
        <w:spacing w:before="240" w:after="60"/>
        <w:jc w:val="both"/>
      </w:pPr>
      <w:r>
        <w:rPr>
          <w:rFonts w:ascii="sans-serif" w:eastAsia="sans-serif" w:hAnsi="sans-serif" w:cs="sans-serif"/>
          <w:b/>
          <w:bCs/>
          <w:color w:val="76B900"/>
          <w:sz w:val="20"/>
          <w:szCs w:val="20"/>
        </w:rPr>
        <w:t>Revenue</w:t>
      </w:r>
    </w:p>
    <w:p w14:paraId="540677EC" w14:textId="77777777" w:rsidR="00611BDD" w:rsidRDefault="002E18C7">
      <w:pPr>
        <w:spacing w:before="120" w:after="120"/>
        <w:jc w:val="both"/>
      </w:pPr>
      <w:r>
        <w:rPr>
          <w:rFonts w:ascii="sans-serif" w:eastAsia="sans-serif" w:hAnsi="sans-serif" w:cs="sans-serif"/>
          <w:b/>
          <w:bCs/>
          <w:color w:val="000000"/>
          <w:sz w:val="20"/>
          <w:szCs w:val="20"/>
        </w:rPr>
        <w:t>Revenue by Reportable Segments</w:t>
      </w:r>
    </w:p>
    <w:tbl>
      <w:tblPr>
        <w:tblW w:w="5000" w:type="pct"/>
        <w:tblCellMar>
          <w:top w:w="15" w:type="dxa"/>
          <w:left w:w="15" w:type="dxa"/>
          <w:bottom w:w="15" w:type="dxa"/>
          <w:right w:w="15" w:type="dxa"/>
        </w:tblCellMar>
        <w:tblLook w:val="04A0" w:firstRow="1" w:lastRow="0" w:firstColumn="1" w:lastColumn="0" w:noHBand="0" w:noVBand="1"/>
      </w:tblPr>
      <w:tblGrid>
        <w:gridCol w:w="63"/>
        <w:gridCol w:w="1123"/>
        <w:gridCol w:w="36"/>
        <w:gridCol w:w="122"/>
        <w:gridCol w:w="751"/>
        <w:gridCol w:w="36"/>
        <w:gridCol w:w="36"/>
        <w:gridCol w:w="36"/>
        <w:gridCol w:w="36"/>
        <w:gridCol w:w="122"/>
        <w:gridCol w:w="700"/>
        <w:gridCol w:w="36"/>
        <w:gridCol w:w="36"/>
        <w:gridCol w:w="36"/>
        <w:gridCol w:w="36"/>
        <w:gridCol w:w="122"/>
        <w:gridCol w:w="516"/>
        <w:gridCol w:w="36"/>
        <w:gridCol w:w="36"/>
        <w:gridCol w:w="36"/>
        <w:gridCol w:w="36"/>
        <w:gridCol w:w="75"/>
        <w:gridCol w:w="573"/>
        <w:gridCol w:w="163"/>
        <w:gridCol w:w="36"/>
        <w:gridCol w:w="36"/>
        <w:gridCol w:w="36"/>
        <w:gridCol w:w="122"/>
        <w:gridCol w:w="605"/>
        <w:gridCol w:w="36"/>
        <w:gridCol w:w="36"/>
        <w:gridCol w:w="36"/>
        <w:gridCol w:w="36"/>
        <w:gridCol w:w="122"/>
        <w:gridCol w:w="700"/>
        <w:gridCol w:w="36"/>
        <w:gridCol w:w="36"/>
        <w:gridCol w:w="36"/>
        <w:gridCol w:w="36"/>
        <w:gridCol w:w="122"/>
        <w:gridCol w:w="516"/>
        <w:gridCol w:w="36"/>
        <w:gridCol w:w="36"/>
        <w:gridCol w:w="36"/>
        <w:gridCol w:w="36"/>
        <w:gridCol w:w="75"/>
        <w:gridCol w:w="573"/>
        <w:gridCol w:w="163"/>
      </w:tblGrid>
      <w:tr w:rsidR="00611BDD" w14:paraId="5406781D" w14:textId="77777777">
        <w:tc>
          <w:tcPr>
            <w:tcW w:w="50" w:type="pct"/>
            <w:shd w:val="clear" w:color="auto" w:fill="auto"/>
            <w:vAlign w:val="bottom"/>
          </w:tcPr>
          <w:p w14:paraId="540677ED" w14:textId="77777777" w:rsidR="00611BDD" w:rsidRDefault="00611BDD">
            <w:pPr>
              <w:rPr>
                <w:rFonts w:ascii="宋体"/>
              </w:rPr>
            </w:pPr>
          </w:p>
        </w:tc>
        <w:tc>
          <w:tcPr>
            <w:tcW w:w="741" w:type="pct"/>
            <w:shd w:val="clear" w:color="auto" w:fill="auto"/>
            <w:vAlign w:val="bottom"/>
          </w:tcPr>
          <w:p w14:paraId="540677EE" w14:textId="77777777" w:rsidR="00611BDD" w:rsidRDefault="00611BDD">
            <w:pPr>
              <w:rPr>
                <w:rFonts w:ascii="宋体"/>
              </w:rPr>
            </w:pPr>
          </w:p>
        </w:tc>
        <w:tc>
          <w:tcPr>
            <w:tcW w:w="5" w:type="pct"/>
            <w:shd w:val="clear" w:color="auto" w:fill="auto"/>
            <w:vAlign w:val="bottom"/>
          </w:tcPr>
          <w:p w14:paraId="540677EF" w14:textId="77777777" w:rsidR="00611BDD" w:rsidRDefault="00611BDD">
            <w:pPr>
              <w:rPr>
                <w:rFonts w:ascii="宋体"/>
              </w:rPr>
            </w:pPr>
          </w:p>
        </w:tc>
        <w:tc>
          <w:tcPr>
            <w:tcW w:w="50" w:type="pct"/>
            <w:shd w:val="clear" w:color="auto" w:fill="auto"/>
            <w:vAlign w:val="bottom"/>
          </w:tcPr>
          <w:p w14:paraId="540677F0" w14:textId="77777777" w:rsidR="00611BDD" w:rsidRDefault="00611BDD">
            <w:pPr>
              <w:rPr>
                <w:rFonts w:ascii="宋体"/>
              </w:rPr>
            </w:pPr>
          </w:p>
        </w:tc>
        <w:tc>
          <w:tcPr>
            <w:tcW w:w="493" w:type="pct"/>
            <w:shd w:val="clear" w:color="auto" w:fill="auto"/>
            <w:vAlign w:val="bottom"/>
          </w:tcPr>
          <w:p w14:paraId="540677F1" w14:textId="77777777" w:rsidR="00611BDD" w:rsidRDefault="00611BDD">
            <w:pPr>
              <w:rPr>
                <w:rFonts w:ascii="宋体"/>
              </w:rPr>
            </w:pPr>
          </w:p>
        </w:tc>
        <w:tc>
          <w:tcPr>
            <w:tcW w:w="5" w:type="pct"/>
            <w:shd w:val="clear" w:color="auto" w:fill="auto"/>
            <w:vAlign w:val="bottom"/>
          </w:tcPr>
          <w:p w14:paraId="540677F2" w14:textId="77777777" w:rsidR="00611BDD" w:rsidRDefault="00611BDD">
            <w:pPr>
              <w:rPr>
                <w:rFonts w:ascii="宋体"/>
              </w:rPr>
            </w:pPr>
          </w:p>
        </w:tc>
        <w:tc>
          <w:tcPr>
            <w:tcW w:w="5" w:type="pct"/>
            <w:shd w:val="clear" w:color="auto" w:fill="auto"/>
            <w:vAlign w:val="bottom"/>
          </w:tcPr>
          <w:p w14:paraId="540677F3" w14:textId="77777777" w:rsidR="00611BDD" w:rsidRDefault="00611BDD">
            <w:pPr>
              <w:rPr>
                <w:rFonts w:ascii="宋体"/>
              </w:rPr>
            </w:pPr>
          </w:p>
        </w:tc>
        <w:tc>
          <w:tcPr>
            <w:tcW w:w="26" w:type="pct"/>
            <w:shd w:val="clear" w:color="auto" w:fill="auto"/>
            <w:vAlign w:val="bottom"/>
          </w:tcPr>
          <w:p w14:paraId="540677F4" w14:textId="77777777" w:rsidR="00611BDD" w:rsidRDefault="00611BDD">
            <w:pPr>
              <w:rPr>
                <w:rFonts w:ascii="宋体"/>
              </w:rPr>
            </w:pPr>
          </w:p>
        </w:tc>
        <w:tc>
          <w:tcPr>
            <w:tcW w:w="5" w:type="pct"/>
            <w:shd w:val="clear" w:color="auto" w:fill="auto"/>
            <w:vAlign w:val="bottom"/>
          </w:tcPr>
          <w:p w14:paraId="540677F5" w14:textId="77777777" w:rsidR="00611BDD" w:rsidRDefault="00611BDD">
            <w:pPr>
              <w:rPr>
                <w:rFonts w:ascii="宋体"/>
              </w:rPr>
            </w:pPr>
          </w:p>
        </w:tc>
        <w:tc>
          <w:tcPr>
            <w:tcW w:w="50" w:type="pct"/>
            <w:shd w:val="clear" w:color="auto" w:fill="auto"/>
            <w:vAlign w:val="bottom"/>
          </w:tcPr>
          <w:p w14:paraId="540677F6" w14:textId="77777777" w:rsidR="00611BDD" w:rsidRDefault="00611BDD">
            <w:pPr>
              <w:rPr>
                <w:rFonts w:ascii="宋体"/>
              </w:rPr>
            </w:pPr>
          </w:p>
        </w:tc>
        <w:tc>
          <w:tcPr>
            <w:tcW w:w="493" w:type="pct"/>
            <w:shd w:val="clear" w:color="auto" w:fill="auto"/>
            <w:vAlign w:val="bottom"/>
          </w:tcPr>
          <w:p w14:paraId="540677F7" w14:textId="77777777" w:rsidR="00611BDD" w:rsidRDefault="00611BDD">
            <w:pPr>
              <w:rPr>
                <w:rFonts w:ascii="宋体"/>
              </w:rPr>
            </w:pPr>
          </w:p>
        </w:tc>
        <w:tc>
          <w:tcPr>
            <w:tcW w:w="5" w:type="pct"/>
            <w:shd w:val="clear" w:color="auto" w:fill="auto"/>
            <w:vAlign w:val="bottom"/>
          </w:tcPr>
          <w:p w14:paraId="540677F8" w14:textId="77777777" w:rsidR="00611BDD" w:rsidRDefault="00611BDD">
            <w:pPr>
              <w:rPr>
                <w:rFonts w:ascii="宋体"/>
              </w:rPr>
            </w:pPr>
          </w:p>
        </w:tc>
        <w:tc>
          <w:tcPr>
            <w:tcW w:w="5" w:type="pct"/>
            <w:shd w:val="clear" w:color="auto" w:fill="auto"/>
            <w:vAlign w:val="bottom"/>
          </w:tcPr>
          <w:p w14:paraId="540677F9" w14:textId="77777777" w:rsidR="00611BDD" w:rsidRDefault="00611BDD">
            <w:pPr>
              <w:rPr>
                <w:rFonts w:ascii="宋体"/>
              </w:rPr>
            </w:pPr>
          </w:p>
        </w:tc>
        <w:tc>
          <w:tcPr>
            <w:tcW w:w="26" w:type="pct"/>
            <w:shd w:val="clear" w:color="auto" w:fill="auto"/>
            <w:vAlign w:val="bottom"/>
          </w:tcPr>
          <w:p w14:paraId="540677FA" w14:textId="77777777" w:rsidR="00611BDD" w:rsidRDefault="00611BDD">
            <w:pPr>
              <w:rPr>
                <w:rFonts w:ascii="宋体"/>
              </w:rPr>
            </w:pPr>
          </w:p>
        </w:tc>
        <w:tc>
          <w:tcPr>
            <w:tcW w:w="5" w:type="pct"/>
            <w:shd w:val="clear" w:color="auto" w:fill="auto"/>
            <w:vAlign w:val="bottom"/>
          </w:tcPr>
          <w:p w14:paraId="540677FB" w14:textId="77777777" w:rsidR="00611BDD" w:rsidRDefault="00611BDD">
            <w:pPr>
              <w:rPr>
                <w:rFonts w:ascii="宋体"/>
              </w:rPr>
            </w:pPr>
          </w:p>
        </w:tc>
        <w:tc>
          <w:tcPr>
            <w:tcW w:w="50" w:type="pct"/>
            <w:shd w:val="clear" w:color="auto" w:fill="auto"/>
            <w:vAlign w:val="bottom"/>
          </w:tcPr>
          <w:p w14:paraId="540677FC" w14:textId="77777777" w:rsidR="00611BDD" w:rsidRDefault="00611BDD">
            <w:pPr>
              <w:rPr>
                <w:rFonts w:ascii="宋体"/>
              </w:rPr>
            </w:pPr>
          </w:p>
        </w:tc>
        <w:tc>
          <w:tcPr>
            <w:tcW w:w="383" w:type="pct"/>
            <w:shd w:val="clear" w:color="auto" w:fill="auto"/>
            <w:vAlign w:val="bottom"/>
          </w:tcPr>
          <w:p w14:paraId="540677FD" w14:textId="77777777" w:rsidR="00611BDD" w:rsidRDefault="00611BDD">
            <w:pPr>
              <w:rPr>
                <w:rFonts w:ascii="宋体"/>
              </w:rPr>
            </w:pPr>
          </w:p>
        </w:tc>
        <w:tc>
          <w:tcPr>
            <w:tcW w:w="5" w:type="pct"/>
            <w:shd w:val="clear" w:color="auto" w:fill="auto"/>
            <w:vAlign w:val="bottom"/>
          </w:tcPr>
          <w:p w14:paraId="540677FE" w14:textId="77777777" w:rsidR="00611BDD" w:rsidRDefault="00611BDD">
            <w:pPr>
              <w:rPr>
                <w:rFonts w:ascii="宋体"/>
              </w:rPr>
            </w:pPr>
          </w:p>
        </w:tc>
        <w:tc>
          <w:tcPr>
            <w:tcW w:w="5" w:type="pct"/>
            <w:shd w:val="clear" w:color="auto" w:fill="auto"/>
            <w:vAlign w:val="bottom"/>
          </w:tcPr>
          <w:p w14:paraId="540677FF" w14:textId="77777777" w:rsidR="00611BDD" w:rsidRDefault="00611BDD">
            <w:pPr>
              <w:rPr>
                <w:rFonts w:ascii="宋体"/>
              </w:rPr>
            </w:pPr>
          </w:p>
        </w:tc>
        <w:tc>
          <w:tcPr>
            <w:tcW w:w="26" w:type="pct"/>
            <w:shd w:val="clear" w:color="auto" w:fill="auto"/>
            <w:vAlign w:val="bottom"/>
          </w:tcPr>
          <w:p w14:paraId="54067800" w14:textId="77777777" w:rsidR="00611BDD" w:rsidRDefault="00611BDD">
            <w:pPr>
              <w:rPr>
                <w:rFonts w:ascii="宋体"/>
              </w:rPr>
            </w:pPr>
          </w:p>
        </w:tc>
        <w:tc>
          <w:tcPr>
            <w:tcW w:w="5" w:type="pct"/>
            <w:shd w:val="clear" w:color="auto" w:fill="auto"/>
            <w:vAlign w:val="bottom"/>
          </w:tcPr>
          <w:p w14:paraId="54067801" w14:textId="77777777" w:rsidR="00611BDD" w:rsidRDefault="00611BDD">
            <w:pPr>
              <w:rPr>
                <w:rFonts w:ascii="宋体"/>
              </w:rPr>
            </w:pPr>
          </w:p>
        </w:tc>
        <w:tc>
          <w:tcPr>
            <w:tcW w:w="50" w:type="pct"/>
            <w:shd w:val="clear" w:color="auto" w:fill="auto"/>
            <w:vAlign w:val="bottom"/>
          </w:tcPr>
          <w:p w14:paraId="54067802" w14:textId="77777777" w:rsidR="00611BDD" w:rsidRDefault="00611BDD">
            <w:pPr>
              <w:rPr>
                <w:rFonts w:ascii="宋体"/>
              </w:rPr>
            </w:pPr>
          </w:p>
        </w:tc>
        <w:tc>
          <w:tcPr>
            <w:tcW w:w="383" w:type="pct"/>
            <w:shd w:val="clear" w:color="auto" w:fill="auto"/>
            <w:vAlign w:val="bottom"/>
          </w:tcPr>
          <w:p w14:paraId="54067803" w14:textId="77777777" w:rsidR="00611BDD" w:rsidRDefault="00611BDD">
            <w:pPr>
              <w:rPr>
                <w:rFonts w:ascii="宋体"/>
              </w:rPr>
            </w:pPr>
          </w:p>
        </w:tc>
        <w:tc>
          <w:tcPr>
            <w:tcW w:w="5" w:type="pct"/>
            <w:shd w:val="clear" w:color="auto" w:fill="auto"/>
            <w:vAlign w:val="bottom"/>
          </w:tcPr>
          <w:p w14:paraId="54067804" w14:textId="77777777" w:rsidR="00611BDD" w:rsidRDefault="00611BDD">
            <w:pPr>
              <w:rPr>
                <w:rFonts w:ascii="宋体"/>
              </w:rPr>
            </w:pPr>
          </w:p>
        </w:tc>
        <w:tc>
          <w:tcPr>
            <w:tcW w:w="5" w:type="pct"/>
            <w:shd w:val="clear" w:color="auto" w:fill="auto"/>
            <w:vAlign w:val="bottom"/>
          </w:tcPr>
          <w:p w14:paraId="54067805" w14:textId="77777777" w:rsidR="00611BDD" w:rsidRDefault="00611BDD">
            <w:pPr>
              <w:rPr>
                <w:rFonts w:ascii="宋体"/>
              </w:rPr>
            </w:pPr>
          </w:p>
        </w:tc>
        <w:tc>
          <w:tcPr>
            <w:tcW w:w="26" w:type="pct"/>
            <w:shd w:val="clear" w:color="auto" w:fill="auto"/>
            <w:vAlign w:val="bottom"/>
          </w:tcPr>
          <w:p w14:paraId="54067806" w14:textId="77777777" w:rsidR="00611BDD" w:rsidRDefault="00611BDD">
            <w:pPr>
              <w:rPr>
                <w:rFonts w:ascii="宋体"/>
              </w:rPr>
            </w:pPr>
          </w:p>
        </w:tc>
        <w:tc>
          <w:tcPr>
            <w:tcW w:w="5" w:type="pct"/>
            <w:shd w:val="clear" w:color="auto" w:fill="auto"/>
            <w:vAlign w:val="bottom"/>
          </w:tcPr>
          <w:p w14:paraId="54067807" w14:textId="77777777" w:rsidR="00611BDD" w:rsidRDefault="00611BDD">
            <w:pPr>
              <w:rPr>
                <w:rFonts w:ascii="宋体"/>
              </w:rPr>
            </w:pPr>
          </w:p>
        </w:tc>
        <w:tc>
          <w:tcPr>
            <w:tcW w:w="50" w:type="pct"/>
            <w:shd w:val="clear" w:color="auto" w:fill="auto"/>
            <w:vAlign w:val="bottom"/>
          </w:tcPr>
          <w:p w14:paraId="54067808" w14:textId="77777777" w:rsidR="00611BDD" w:rsidRDefault="00611BDD">
            <w:pPr>
              <w:rPr>
                <w:rFonts w:ascii="宋体"/>
              </w:rPr>
            </w:pPr>
          </w:p>
        </w:tc>
        <w:tc>
          <w:tcPr>
            <w:tcW w:w="493" w:type="pct"/>
            <w:shd w:val="clear" w:color="auto" w:fill="auto"/>
            <w:vAlign w:val="bottom"/>
          </w:tcPr>
          <w:p w14:paraId="54067809" w14:textId="77777777" w:rsidR="00611BDD" w:rsidRDefault="00611BDD">
            <w:pPr>
              <w:rPr>
                <w:rFonts w:ascii="宋体"/>
              </w:rPr>
            </w:pPr>
          </w:p>
        </w:tc>
        <w:tc>
          <w:tcPr>
            <w:tcW w:w="5" w:type="pct"/>
            <w:shd w:val="clear" w:color="auto" w:fill="auto"/>
            <w:vAlign w:val="bottom"/>
          </w:tcPr>
          <w:p w14:paraId="5406780A" w14:textId="77777777" w:rsidR="00611BDD" w:rsidRDefault="00611BDD">
            <w:pPr>
              <w:rPr>
                <w:rFonts w:ascii="宋体"/>
              </w:rPr>
            </w:pPr>
          </w:p>
        </w:tc>
        <w:tc>
          <w:tcPr>
            <w:tcW w:w="5" w:type="pct"/>
            <w:shd w:val="clear" w:color="auto" w:fill="auto"/>
            <w:vAlign w:val="bottom"/>
          </w:tcPr>
          <w:p w14:paraId="5406780B" w14:textId="77777777" w:rsidR="00611BDD" w:rsidRDefault="00611BDD">
            <w:pPr>
              <w:rPr>
                <w:rFonts w:ascii="宋体"/>
              </w:rPr>
            </w:pPr>
          </w:p>
        </w:tc>
        <w:tc>
          <w:tcPr>
            <w:tcW w:w="26" w:type="pct"/>
            <w:shd w:val="clear" w:color="auto" w:fill="auto"/>
            <w:vAlign w:val="bottom"/>
          </w:tcPr>
          <w:p w14:paraId="5406780C" w14:textId="77777777" w:rsidR="00611BDD" w:rsidRDefault="00611BDD">
            <w:pPr>
              <w:rPr>
                <w:rFonts w:ascii="宋体"/>
              </w:rPr>
            </w:pPr>
          </w:p>
        </w:tc>
        <w:tc>
          <w:tcPr>
            <w:tcW w:w="5" w:type="pct"/>
            <w:shd w:val="clear" w:color="auto" w:fill="auto"/>
            <w:vAlign w:val="bottom"/>
          </w:tcPr>
          <w:p w14:paraId="5406780D" w14:textId="77777777" w:rsidR="00611BDD" w:rsidRDefault="00611BDD">
            <w:pPr>
              <w:rPr>
                <w:rFonts w:ascii="宋体"/>
              </w:rPr>
            </w:pPr>
          </w:p>
        </w:tc>
        <w:tc>
          <w:tcPr>
            <w:tcW w:w="50" w:type="pct"/>
            <w:shd w:val="clear" w:color="auto" w:fill="auto"/>
            <w:vAlign w:val="bottom"/>
          </w:tcPr>
          <w:p w14:paraId="5406780E" w14:textId="77777777" w:rsidR="00611BDD" w:rsidRDefault="00611BDD">
            <w:pPr>
              <w:rPr>
                <w:rFonts w:ascii="宋体"/>
              </w:rPr>
            </w:pPr>
          </w:p>
        </w:tc>
        <w:tc>
          <w:tcPr>
            <w:tcW w:w="493" w:type="pct"/>
            <w:shd w:val="clear" w:color="auto" w:fill="auto"/>
            <w:vAlign w:val="bottom"/>
          </w:tcPr>
          <w:p w14:paraId="5406780F" w14:textId="77777777" w:rsidR="00611BDD" w:rsidRDefault="00611BDD">
            <w:pPr>
              <w:rPr>
                <w:rFonts w:ascii="宋体"/>
              </w:rPr>
            </w:pPr>
          </w:p>
        </w:tc>
        <w:tc>
          <w:tcPr>
            <w:tcW w:w="5" w:type="pct"/>
            <w:shd w:val="clear" w:color="auto" w:fill="auto"/>
            <w:vAlign w:val="bottom"/>
          </w:tcPr>
          <w:p w14:paraId="54067810" w14:textId="77777777" w:rsidR="00611BDD" w:rsidRDefault="00611BDD">
            <w:pPr>
              <w:rPr>
                <w:rFonts w:ascii="宋体"/>
              </w:rPr>
            </w:pPr>
          </w:p>
        </w:tc>
        <w:tc>
          <w:tcPr>
            <w:tcW w:w="5" w:type="pct"/>
            <w:shd w:val="clear" w:color="auto" w:fill="auto"/>
            <w:vAlign w:val="bottom"/>
          </w:tcPr>
          <w:p w14:paraId="54067811" w14:textId="77777777" w:rsidR="00611BDD" w:rsidRDefault="00611BDD">
            <w:pPr>
              <w:rPr>
                <w:rFonts w:ascii="宋体"/>
              </w:rPr>
            </w:pPr>
          </w:p>
        </w:tc>
        <w:tc>
          <w:tcPr>
            <w:tcW w:w="26" w:type="pct"/>
            <w:shd w:val="clear" w:color="auto" w:fill="auto"/>
            <w:vAlign w:val="bottom"/>
          </w:tcPr>
          <w:p w14:paraId="54067812" w14:textId="77777777" w:rsidR="00611BDD" w:rsidRDefault="00611BDD">
            <w:pPr>
              <w:rPr>
                <w:rFonts w:ascii="宋体"/>
              </w:rPr>
            </w:pPr>
          </w:p>
        </w:tc>
        <w:tc>
          <w:tcPr>
            <w:tcW w:w="5" w:type="pct"/>
            <w:shd w:val="clear" w:color="auto" w:fill="auto"/>
            <w:vAlign w:val="bottom"/>
          </w:tcPr>
          <w:p w14:paraId="54067813" w14:textId="77777777" w:rsidR="00611BDD" w:rsidRDefault="00611BDD">
            <w:pPr>
              <w:rPr>
                <w:rFonts w:ascii="宋体"/>
              </w:rPr>
            </w:pPr>
          </w:p>
        </w:tc>
        <w:tc>
          <w:tcPr>
            <w:tcW w:w="50" w:type="pct"/>
            <w:shd w:val="clear" w:color="auto" w:fill="auto"/>
            <w:vAlign w:val="bottom"/>
          </w:tcPr>
          <w:p w14:paraId="54067814" w14:textId="77777777" w:rsidR="00611BDD" w:rsidRDefault="00611BDD">
            <w:pPr>
              <w:rPr>
                <w:rFonts w:ascii="宋体"/>
              </w:rPr>
            </w:pPr>
          </w:p>
        </w:tc>
        <w:tc>
          <w:tcPr>
            <w:tcW w:w="383" w:type="pct"/>
            <w:shd w:val="clear" w:color="auto" w:fill="auto"/>
            <w:vAlign w:val="bottom"/>
          </w:tcPr>
          <w:p w14:paraId="54067815" w14:textId="77777777" w:rsidR="00611BDD" w:rsidRDefault="00611BDD">
            <w:pPr>
              <w:rPr>
                <w:rFonts w:ascii="宋体"/>
              </w:rPr>
            </w:pPr>
          </w:p>
        </w:tc>
        <w:tc>
          <w:tcPr>
            <w:tcW w:w="5" w:type="pct"/>
            <w:shd w:val="clear" w:color="auto" w:fill="auto"/>
            <w:vAlign w:val="bottom"/>
          </w:tcPr>
          <w:p w14:paraId="54067816" w14:textId="77777777" w:rsidR="00611BDD" w:rsidRDefault="00611BDD">
            <w:pPr>
              <w:rPr>
                <w:rFonts w:ascii="宋体"/>
              </w:rPr>
            </w:pPr>
          </w:p>
        </w:tc>
        <w:tc>
          <w:tcPr>
            <w:tcW w:w="5" w:type="pct"/>
            <w:shd w:val="clear" w:color="auto" w:fill="auto"/>
            <w:vAlign w:val="bottom"/>
          </w:tcPr>
          <w:p w14:paraId="54067817" w14:textId="77777777" w:rsidR="00611BDD" w:rsidRDefault="00611BDD">
            <w:pPr>
              <w:rPr>
                <w:rFonts w:ascii="宋体"/>
              </w:rPr>
            </w:pPr>
          </w:p>
        </w:tc>
        <w:tc>
          <w:tcPr>
            <w:tcW w:w="26" w:type="pct"/>
            <w:shd w:val="clear" w:color="auto" w:fill="auto"/>
            <w:vAlign w:val="bottom"/>
          </w:tcPr>
          <w:p w14:paraId="54067818" w14:textId="77777777" w:rsidR="00611BDD" w:rsidRDefault="00611BDD">
            <w:pPr>
              <w:rPr>
                <w:rFonts w:ascii="宋体"/>
              </w:rPr>
            </w:pPr>
          </w:p>
        </w:tc>
        <w:tc>
          <w:tcPr>
            <w:tcW w:w="5" w:type="pct"/>
            <w:shd w:val="clear" w:color="auto" w:fill="auto"/>
            <w:vAlign w:val="bottom"/>
          </w:tcPr>
          <w:p w14:paraId="54067819" w14:textId="77777777" w:rsidR="00611BDD" w:rsidRDefault="00611BDD">
            <w:pPr>
              <w:rPr>
                <w:rFonts w:ascii="宋体"/>
              </w:rPr>
            </w:pPr>
          </w:p>
        </w:tc>
        <w:tc>
          <w:tcPr>
            <w:tcW w:w="50" w:type="pct"/>
            <w:shd w:val="clear" w:color="auto" w:fill="auto"/>
            <w:vAlign w:val="bottom"/>
          </w:tcPr>
          <w:p w14:paraId="5406781A" w14:textId="77777777" w:rsidR="00611BDD" w:rsidRDefault="00611BDD">
            <w:pPr>
              <w:rPr>
                <w:rFonts w:ascii="宋体"/>
              </w:rPr>
            </w:pPr>
          </w:p>
        </w:tc>
        <w:tc>
          <w:tcPr>
            <w:tcW w:w="384" w:type="pct"/>
            <w:shd w:val="clear" w:color="auto" w:fill="auto"/>
            <w:vAlign w:val="bottom"/>
          </w:tcPr>
          <w:p w14:paraId="5406781B" w14:textId="77777777" w:rsidR="00611BDD" w:rsidRDefault="00611BDD">
            <w:pPr>
              <w:rPr>
                <w:rFonts w:ascii="宋体"/>
              </w:rPr>
            </w:pPr>
          </w:p>
        </w:tc>
        <w:tc>
          <w:tcPr>
            <w:tcW w:w="5" w:type="pct"/>
            <w:shd w:val="clear" w:color="auto" w:fill="auto"/>
            <w:vAlign w:val="bottom"/>
          </w:tcPr>
          <w:p w14:paraId="5406781C" w14:textId="77777777" w:rsidR="00611BDD" w:rsidRDefault="00611BDD">
            <w:pPr>
              <w:rPr>
                <w:rFonts w:ascii="宋体"/>
              </w:rPr>
            </w:pPr>
          </w:p>
        </w:tc>
      </w:tr>
      <w:tr w:rsidR="00611BDD" w14:paraId="54067822" w14:textId="77777777">
        <w:tc>
          <w:tcPr>
            <w:tcW w:w="0" w:type="auto"/>
            <w:gridSpan w:val="3"/>
            <w:shd w:val="clear" w:color="auto" w:fill="auto"/>
            <w:tcMar>
              <w:top w:w="0" w:type="dxa"/>
              <w:left w:w="20" w:type="dxa"/>
              <w:bottom w:w="0" w:type="dxa"/>
              <w:right w:w="20" w:type="dxa"/>
            </w:tcMar>
            <w:vAlign w:val="bottom"/>
          </w:tcPr>
          <w:p w14:paraId="5406781E" w14:textId="77777777" w:rsidR="00611BDD" w:rsidRDefault="00611BDD">
            <w:pPr>
              <w:rPr>
                <w:rFonts w:ascii="宋体"/>
              </w:rPr>
            </w:pPr>
          </w:p>
        </w:tc>
        <w:tc>
          <w:tcPr>
            <w:tcW w:w="0" w:type="auto"/>
            <w:gridSpan w:val="21"/>
            <w:shd w:val="clear" w:color="auto" w:fill="auto"/>
            <w:tcMar>
              <w:top w:w="40" w:type="dxa"/>
              <w:left w:w="20" w:type="dxa"/>
              <w:bottom w:w="40" w:type="dxa"/>
              <w:right w:w="20" w:type="dxa"/>
            </w:tcMar>
            <w:vAlign w:val="bottom"/>
          </w:tcPr>
          <w:p w14:paraId="5406781F" w14:textId="77777777" w:rsidR="00611BDD" w:rsidRDefault="002E18C7">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54067820" w14:textId="77777777" w:rsidR="00611BDD" w:rsidRDefault="00611BDD">
            <w:pPr>
              <w:rPr>
                <w:rFonts w:ascii="宋体"/>
              </w:rPr>
            </w:pPr>
          </w:p>
        </w:tc>
        <w:tc>
          <w:tcPr>
            <w:tcW w:w="0" w:type="auto"/>
            <w:gridSpan w:val="21"/>
            <w:shd w:val="clear" w:color="auto" w:fill="auto"/>
            <w:tcMar>
              <w:top w:w="40" w:type="dxa"/>
              <w:left w:w="20" w:type="dxa"/>
              <w:bottom w:w="40" w:type="dxa"/>
              <w:right w:w="20" w:type="dxa"/>
            </w:tcMar>
            <w:vAlign w:val="bottom"/>
          </w:tcPr>
          <w:p w14:paraId="54067821" w14:textId="77777777" w:rsidR="00611BDD" w:rsidRDefault="002E18C7">
            <w:pPr>
              <w:jc w:val="center"/>
              <w:textAlignment w:val="bottom"/>
            </w:pPr>
            <w:r>
              <w:rPr>
                <w:rFonts w:ascii="sans-serif" w:eastAsia="sans-serif" w:hAnsi="sans-serif" w:cs="sans-serif"/>
                <w:b/>
                <w:bCs/>
                <w:color w:val="000000"/>
                <w:sz w:val="20"/>
                <w:szCs w:val="20"/>
              </w:rPr>
              <w:t>Six Months Ended</w:t>
            </w:r>
          </w:p>
        </w:tc>
      </w:tr>
      <w:tr w:rsidR="00611BDD" w14:paraId="54067833" w14:textId="77777777">
        <w:tc>
          <w:tcPr>
            <w:tcW w:w="0" w:type="auto"/>
            <w:gridSpan w:val="3"/>
            <w:shd w:val="clear" w:color="auto" w:fill="auto"/>
            <w:tcMar>
              <w:top w:w="40" w:type="dxa"/>
              <w:left w:w="20" w:type="dxa"/>
              <w:bottom w:w="40" w:type="dxa"/>
              <w:right w:w="20" w:type="dxa"/>
            </w:tcMar>
            <w:vAlign w:val="center"/>
          </w:tcPr>
          <w:p w14:paraId="54067823" w14:textId="77777777" w:rsidR="00611BDD" w:rsidRDefault="002E18C7">
            <w:pPr>
              <w:textAlignment w:val="center"/>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4067824" w14:textId="77777777" w:rsidR="00611BDD" w:rsidRDefault="002E18C7">
            <w:pPr>
              <w:jc w:val="center"/>
              <w:textAlignment w:val="center"/>
            </w:pPr>
            <w:r>
              <w:rPr>
                <w:rFonts w:ascii="sans-serif" w:eastAsia="sans-serif" w:hAnsi="sans-serif" w:cs="sans-serif"/>
                <w:b/>
                <w:bCs/>
                <w:color w:val="000000"/>
                <w:sz w:val="20"/>
                <w:szCs w:val="20"/>
              </w:rPr>
              <w:t>August 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825"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4067826" w14:textId="77777777" w:rsidR="00611BDD" w:rsidRDefault="002E18C7">
            <w:pPr>
              <w:jc w:val="center"/>
              <w:textAlignment w:val="center"/>
            </w:pPr>
            <w:r>
              <w:rPr>
                <w:rFonts w:ascii="sans-serif" w:eastAsia="sans-serif" w:hAnsi="sans-serif" w:cs="sans-serif"/>
                <w:b/>
                <w:bCs/>
                <w:color w:val="000000"/>
                <w:sz w:val="20"/>
                <w:szCs w:val="20"/>
              </w:rPr>
              <w:t>July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827"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4067828" w14:textId="77777777" w:rsidR="00611BDD" w:rsidRDefault="002E18C7">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829"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406782A" w14:textId="77777777" w:rsidR="00611BDD" w:rsidRDefault="002E18C7">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shd w:val="clear" w:color="auto" w:fill="auto"/>
            <w:tcMar>
              <w:top w:w="0" w:type="dxa"/>
              <w:left w:w="20" w:type="dxa"/>
              <w:bottom w:w="0" w:type="dxa"/>
              <w:right w:w="20" w:type="dxa"/>
            </w:tcMar>
            <w:vAlign w:val="bottom"/>
          </w:tcPr>
          <w:p w14:paraId="5406782B"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406782C" w14:textId="77777777" w:rsidR="00611BDD" w:rsidRDefault="002E18C7">
            <w:pPr>
              <w:jc w:val="center"/>
              <w:textAlignment w:val="center"/>
            </w:pPr>
            <w:r>
              <w:rPr>
                <w:rFonts w:ascii="sans-serif" w:eastAsia="sans-serif" w:hAnsi="sans-serif" w:cs="sans-serif"/>
                <w:b/>
                <w:bCs/>
                <w:color w:val="000000"/>
                <w:sz w:val="20"/>
                <w:szCs w:val="20"/>
              </w:rPr>
              <w:t>August 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82D"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406782E" w14:textId="77777777" w:rsidR="00611BDD" w:rsidRDefault="002E18C7">
            <w:pPr>
              <w:jc w:val="center"/>
              <w:textAlignment w:val="center"/>
            </w:pPr>
            <w:r>
              <w:rPr>
                <w:rFonts w:ascii="sans-serif" w:eastAsia="sans-serif" w:hAnsi="sans-serif" w:cs="sans-serif"/>
                <w:b/>
                <w:bCs/>
                <w:color w:val="000000"/>
                <w:sz w:val="20"/>
                <w:szCs w:val="20"/>
              </w:rPr>
              <w:t>July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82F"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4067830" w14:textId="77777777" w:rsidR="00611BDD" w:rsidRDefault="002E18C7">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831"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4067832" w14:textId="77777777" w:rsidR="00611BDD" w:rsidRDefault="002E18C7">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r>
      <w:tr w:rsidR="00611BDD" w14:paraId="54067844" w14:textId="77777777">
        <w:trPr>
          <w:trHeight w:val="60"/>
        </w:trPr>
        <w:tc>
          <w:tcPr>
            <w:tcW w:w="0" w:type="auto"/>
            <w:gridSpan w:val="3"/>
            <w:shd w:val="clear" w:color="auto" w:fill="auto"/>
            <w:tcMar>
              <w:top w:w="0" w:type="dxa"/>
              <w:left w:w="20" w:type="dxa"/>
              <w:bottom w:w="0" w:type="dxa"/>
              <w:right w:w="20" w:type="dxa"/>
            </w:tcMar>
            <w:vAlign w:val="bottom"/>
          </w:tcPr>
          <w:p w14:paraId="54067834"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835"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836"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837"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838"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839"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83A"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83B"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83C"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83D"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83E"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83F"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840"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841"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842"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843" w14:textId="77777777" w:rsidR="00611BDD" w:rsidRDefault="00611BDD">
            <w:pPr>
              <w:rPr>
                <w:rFonts w:ascii="宋体"/>
              </w:rPr>
            </w:pPr>
          </w:p>
        </w:tc>
      </w:tr>
      <w:tr w:rsidR="00611BDD" w14:paraId="54067847" w14:textId="77777777">
        <w:tc>
          <w:tcPr>
            <w:tcW w:w="0" w:type="auto"/>
            <w:gridSpan w:val="3"/>
            <w:shd w:val="clear" w:color="auto" w:fill="auto"/>
            <w:tcMar>
              <w:top w:w="40" w:type="dxa"/>
              <w:left w:w="20" w:type="dxa"/>
              <w:bottom w:w="40" w:type="dxa"/>
              <w:right w:w="20" w:type="dxa"/>
            </w:tcMar>
            <w:vAlign w:val="bottom"/>
          </w:tcPr>
          <w:p w14:paraId="54067845" w14:textId="77777777" w:rsidR="00611BDD" w:rsidRDefault="002E18C7">
            <w:pPr>
              <w:textAlignment w:val="bottom"/>
            </w:pPr>
            <w:r>
              <w:rPr>
                <w:rFonts w:ascii="sans-serif" w:eastAsia="sans-serif" w:hAnsi="sans-serif" w:cs="sans-serif"/>
                <w:color w:val="000000"/>
                <w:sz w:val="20"/>
                <w:szCs w:val="20"/>
              </w:rPr>
              <w:t> </w:t>
            </w:r>
          </w:p>
        </w:tc>
        <w:tc>
          <w:tcPr>
            <w:tcW w:w="0" w:type="auto"/>
            <w:gridSpan w:val="45"/>
            <w:shd w:val="clear" w:color="auto" w:fill="auto"/>
            <w:tcMar>
              <w:top w:w="40" w:type="dxa"/>
              <w:left w:w="20" w:type="dxa"/>
              <w:bottom w:w="40" w:type="dxa"/>
              <w:right w:w="20" w:type="dxa"/>
            </w:tcMar>
            <w:vAlign w:val="bottom"/>
          </w:tcPr>
          <w:p w14:paraId="54067846" w14:textId="77777777" w:rsidR="00611BDD" w:rsidRDefault="002E18C7">
            <w:pPr>
              <w:jc w:val="center"/>
              <w:textAlignment w:val="bottom"/>
            </w:pPr>
            <w:r>
              <w:rPr>
                <w:rFonts w:ascii="sans-serif" w:eastAsia="sans-serif" w:hAnsi="sans-serif" w:cs="sans-serif"/>
                <w:i/>
                <w:iCs/>
                <w:color w:val="000000"/>
                <w:sz w:val="20"/>
                <w:szCs w:val="20"/>
              </w:rPr>
              <w:t>($ in millions)</w:t>
            </w:r>
          </w:p>
        </w:tc>
      </w:tr>
      <w:tr w:rsidR="002E18C7" w14:paraId="54067866" w14:textId="77777777">
        <w:tc>
          <w:tcPr>
            <w:tcW w:w="0" w:type="auto"/>
            <w:gridSpan w:val="3"/>
            <w:shd w:val="clear" w:color="auto" w:fill="E2EFD9"/>
            <w:tcMar>
              <w:top w:w="40" w:type="dxa"/>
              <w:left w:w="20" w:type="dxa"/>
              <w:bottom w:w="40" w:type="dxa"/>
              <w:right w:w="20" w:type="dxa"/>
            </w:tcMar>
            <w:vAlign w:val="bottom"/>
          </w:tcPr>
          <w:p w14:paraId="54067848" w14:textId="77777777" w:rsidR="00611BDD" w:rsidRDefault="002E18C7">
            <w:pPr>
              <w:textAlignment w:val="bottom"/>
            </w:pPr>
            <w:r>
              <w:rPr>
                <w:rFonts w:ascii="sans-serif" w:eastAsia="sans-serif" w:hAnsi="sans-serif" w:cs="sans-serif"/>
                <w:color w:val="000000"/>
                <w:sz w:val="20"/>
                <w:szCs w:val="20"/>
              </w:rPr>
              <w:t>Graphics</w:t>
            </w:r>
          </w:p>
        </w:tc>
        <w:tc>
          <w:tcPr>
            <w:tcW w:w="0" w:type="auto"/>
            <w:shd w:val="clear" w:color="auto" w:fill="E2EFD9"/>
            <w:tcMar>
              <w:top w:w="40" w:type="dxa"/>
              <w:left w:w="20" w:type="dxa"/>
              <w:bottom w:w="40" w:type="dxa"/>
              <w:right w:w="0" w:type="dxa"/>
            </w:tcMar>
            <w:vAlign w:val="bottom"/>
          </w:tcPr>
          <w:p w14:paraId="54067849"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84A" w14:textId="77777777" w:rsidR="00611BDD" w:rsidRDefault="002E18C7">
            <w:pPr>
              <w:jc w:val="right"/>
              <w:textAlignment w:val="bottom"/>
            </w:pPr>
            <w:r>
              <w:rPr>
                <w:rFonts w:ascii="sans-serif" w:eastAsia="sans-serif" w:hAnsi="sans-serif" w:cs="sans-serif"/>
                <w:color w:val="000000"/>
                <w:sz w:val="20"/>
                <w:szCs w:val="20"/>
              </w:rPr>
              <w:t>3,907 </w:t>
            </w:r>
          </w:p>
        </w:tc>
        <w:tc>
          <w:tcPr>
            <w:tcW w:w="0" w:type="auto"/>
            <w:shd w:val="clear" w:color="auto" w:fill="E2EFD9"/>
            <w:tcMar>
              <w:top w:w="40" w:type="dxa"/>
              <w:left w:w="0" w:type="dxa"/>
              <w:bottom w:w="40" w:type="dxa"/>
              <w:right w:w="20" w:type="dxa"/>
            </w:tcMar>
            <w:vAlign w:val="bottom"/>
          </w:tcPr>
          <w:p w14:paraId="5406784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84C"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84D"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84E" w14:textId="77777777" w:rsidR="00611BDD" w:rsidRDefault="002E18C7">
            <w:pPr>
              <w:jc w:val="right"/>
              <w:textAlignment w:val="bottom"/>
            </w:pPr>
            <w:r>
              <w:rPr>
                <w:rFonts w:ascii="sans-serif" w:eastAsia="sans-serif" w:hAnsi="sans-serif" w:cs="sans-serif"/>
                <w:color w:val="000000"/>
                <w:sz w:val="20"/>
                <w:szCs w:val="20"/>
              </w:rPr>
              <w:t>2,085 </w:t>
            </w:r>
          </w:p>
        </w:tc>
        <w:tc>
          <w:tcPr>
            <w:tcW w:w="0" w:type="auto"/>
            <w:shd w:val="clear" w:color="auto" w:fill="E2EFD9"/>
            <w:tcMar>
              <w:top w:w="40" w:type="dxa"/>
              <w:left w:w="0" w:type="dxa"/>
              <w:bottom w:w="40" w:type="dxa"/>
              <w:right w:w="20" w:type="dxa"/>
            </w:tcMar>
            <w:vAlign w:val="bottom"/>
          </w:tcPr>
          <w:p w14:paraId="5406784F"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850"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851"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852" w14:textId="77777777" w:rsidR="00611BDD" w:rsidRDefault="002E18C7">
            <w:pPr>
              <w:jc w:val="right"/>
              <w:textAlignment w:val="bottom"/>
            </w:pPr>
            <w:r>
              <w:rPr>
                <w:rFonts w:ascii="sans-serif" w:eastAsia="sans-serif" w:hAnsi="sans-serif" w:cs="sans-serif"/>
                <w:color w:val="000000"/>
                <w:sz w:val="20"/>
                <w:szCs w:val="20"/>
              </w:rPr>
              <w:t>1,822 </w:t>
            </w:r>
          </w:p>
        </w:tc>
        <w:tc>
          <w:tcPr>
            <w:tcW w:w="0" w:type="auto"/>
            <w:shd w:val="clear" w:color="auto" w:fill="E2EFD9"/>
            <w:tcMar>
              <w:top w:w="40" w:type="dxa"/>
              <w:left w:w="0" w:type="dxa"/>
              <w:bottom w:w="40" w:type="dxa"/>
              <w:right w:w="20" w:type="dxa"/>
            </w:tcMar>
            <w:vAlign w:val="bottom"/>
          </w:tcPr>
          <w:p w14:paraId="5406785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854"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855" w14:textId="77777777" w:rsidR="00611BDD" w:rsidRDefault="002E18C7">
            <w:pPr>
              <w:jc w:val="right"/>
              <w:textAlignment w:val="bottom"/>
            </w:pPr>
            <w:r>
              <w:rPr>
                <w:rFonts w:ascii="sans-serif" w:eastAsia="sans-serif" w:hAnsi="sans-serif" w:cs="sans-serif"/>
                <w:color w:val="000000"/>
                <w:sz w:val="20"/>
                <w:szCs w:val="20"/>
              </w:rPr>
              <w:t>87 </w:t>
            </w:r>
          </w:p>
        </w:tc>
        <w:tc>
          <w:tcPr>
            <w:tcW w:w="0" w:type="auto"/>
            <w:shd w:val="clear" w:color="auto" w:fill="E2EFD9"/>
            <w:tcMar>
              <w:top w:w="40" w:type="dxa"/>
              <w:left w:w="0" w:type="dxa"/>
              <w:bottom w:w="40" w:type="dxa"/>
              <w:right w:w="20" w:type="dxa"/>
            </w:tcMar>
            <w:vAlign w:val="bottom"/>
          </w:tcPr>
          <w:p w14:paraId="54067856" w14:textId="77777777" w:rsidR="00611BDD" w:rsidRDefault="002E18C7">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4067857"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858"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859" w14:textId="77777777" w:rsidR="00611BDD" w:rsidRDefault="002E18C7">
            <w:pPr>
              <w:jc w:val="right"/>
              <w:textAlignment w:val="bottom"/>
            </w:pPr>
            <w:r>
              <w:rPr>
                <w:rFonts w:ascii="sans-serif" w:eastAsia="sans-serif" w:hAnsi="sans-serif" w:cs="sans-serif"/>
                <w:color w:val="000000"/>
                <w:sz w:val="20"/>
                <w:szCs w:val="20"/>
              </w:rPr>
              <w:t>7,358 </w:t>
            </w:r>
          </w:p>
        </w:tc>
        <w:tc>
          <w:tcPr>
            <w:tcW w:w="0" w:type="auto"/>
            <w:shd w:val="clear" w:color="auto" w:fill="E2EFD9"/>
            <w:tcMar>
              <w:top w:w="40" w:type="dxa"/>
              <w:left w:w="0" w:type="dxa"/>
              <w:bottom w:w="40" w:type="dxa"/>
              <w:right w:w="20" w:type="dxa"/>
            </w:tcMar>
            <w:vAlign w:val="bottom"/>
          </w:tcPr>
          <w:p w14:paraId="5406785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85B"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85C"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85D" w14:textId="77777777" w:rsidR="00611BDD" w:rsidRDefault="002E18C7">
            <w:pPr>
              <w:jc w:val="right"/>
              <w:textAlignment w:val="bottom"/>
            </w:pPr>
            <w:r>
              <w:rPr>
                <w:rFonts w:ascii="sans-serif" w:eastAsia="sans-serif" w:hAnsi="sans-serif" w:cs="sans-serif"/>
                <w:color w:val="000000"/>
                <w:sz w:val="20"/>
                <w:szCs w:val="20"/>
              </w:rPr>
              <w:t>3,991 </w:t>
            </w:r>
          </w:p>
        </w:tc>
        <w:tc>
          <w:tcPr>
            <w:tcW w:w="0" w:type="auto"/>
            <w:shd w:val="clear" w:color="auto" w:fill="E2EFD9"/>
            <w:tcMar>
              <w:top w:w="40" w:type="dxa"/>
              <w:left w:w="0" w:type="dxa"/>
              <w:bottom w:w="40" w:type="dxa"/>
              <w:right w:w="20" w:type="dxa"/>
            </w:tcMar>
            <w:vAlign w:val="bottom"/>
          </w:tcPr>
          <w:p w14:paraId="5406785E"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85F"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860"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861" w14:textId="77777777" w:rsidR="00611BDD" w:rsidRDefault="002E18C7">
            <w:pPr>
              <w:jc w:val="right"/>
              <w:textAlignment w:val="bottom"/>
            </w:pPr>
            <w:r>
              <w:rPr>
                <w:rFonts w:ascii="sans-serif" w:eastAsia="sans-serif" w:hAnsi="sans-serif" w:cs="sans-serif"/>
                <w:color w:val="000000"/>
                <w:sz w:val="20"/>
                <w:szCs w:val="20"/>
              </w:rPr>
              <w:t>3,367 </w:t>
            </w:r>
          </w:p>
        </w:tc>
        <w:tc>
          <w:tcPr>
            <w:tcW w:w="0" w:type="auto"/>
            <w:shd w:val="clear" w:color="auto" w:fill="E2EFD9"/>
            <w:tcMar>
              <w:top w:w="40" w:type="dxa"/>
              <w:left w:w="0" w:type="dxa"/>
              <w:bottom w:w="40" w:type="dxa"/>
              <w:right w:w="20" w:type="dxa"/>
            </w:tcMar>
            <w:vAlign w:val="bottom"/>
          </w:tcPr>
          <w:p w14:paraId="54067862"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863"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864" w14:textId="77777777" w:rsidR="00611BDD" w:rsidRDefault="002E18C7">
            <w:pPr>
              <w:jc w:val="right"/>
              <w:textAlignment w:val="bottom"/>
            </w:pPr>
            <w:r>
              <w:rPr>
                <w:rFonts w:ascii="sans-serif" w:eastAsia="sans-serif" w:hAnsi="sans-serif" w:cs="sans-serif"/>
                <w:color w:val="000000"/>
                <w:sz w:val="20"/>
                <w:szCs w:val="20"/>
              </w:rPr>
              <w:t>84 </w:t>
            </w:r>
          </w:p>
        </w:tc>
        <w:tc>
          <w:tcPr>
            <w:tcW w:w="0" w:type="auto"/>
            <w:shd w:val="clear" w:color="auto" w:fill="E2EFD9"/>
            <w:tcMar>
              <w:top w:w="40" w:type="dxa"/>
              <w:left w:w="0" w:type="dxa"/>
              <w:bottom w:w="40" w:type="dxa"/>
              <w:right w:w="20" w:type="dxa"/>
            </w:tcMar>
            <w:vAlign w:val="bottom"/>
          </w:tcPr>
          <w:p w14:paraId="54067865" w14:textId="77777777" w:rsidR="00611BDD" w:rsidRDefault="002E18C7">
            <w:pPr>
              <w:jc w:val="right"/>
              <w:textAlignment w:val="bottom"/>
            </w:pPr>
            <w:r>
              <w:rPr>
                <w:rFonts w:ascii="sans-serif" w:eastAsia="sans-serif" w:hAnsi="sans-serif" w:cs="sans-serif"/>
                <w:color w:val="000000"/>
                <w:sz w:val="20"/>
                <w:szCs w:val="20"/>
              </w:rPr>
              <w:t>%</w:t>
            </w:r>
          </w:p>
        </w:tc>
      </w:tr>
      <w:tr w:rsidR="00611BDD" w14:paraId="5406787F" w14:textId="77777777">
        <w:tc>
          <w:tcPr>
            <w:tcW w:w="0" w:type="auto"/>
            <w:gridSpan w:val="3"/>
            <w:shd w:val="clear" w:color="auto" w:fill="FFFFFF"/>
            <w:tcMar>
              <w:top w:w="40" w:type="dxa"/>
              <w:left w:w="20" w:type="dxa"/>
              <w:bottom w:w="40" w:type="dxa"/>
              <w:right w:w="20" w:type="dxa"/>
            </w:tcMar>
            <w:vAlign w:val="bottom"/>
          </w:tcPr>
          <w:p w14:paraId="54067867" w14:textId="77777777" w:rsidR="00611BDD" w:rsidRDefault="002E18C7">
            <w:pPr>
              <w:textAlignment w:val="bottom"/>
            </w:pPr>
            <w:r>
              <w:rPr>
                <w:rFonts w:ascii="sans-serif" w:eastAsia="sans-serif" w:hAnsi="sans-serif" w:cs="sans-serif"/>
                <w:color w:val="000000"/>
                <w:sz w:val="20"/>
                <w:szCs w:val="20"/>
              </w:rPr>
              <w:t>Compute &amp; Networking</w:t>
            </w:r>
          </w:p>
        </w:tc>
        <w:tc>
          <w:tcPr>
            <w:tcW w:w="0" w:type="auto"/>
            <w:gridSpan w:val="2"/>
            <w:shd w:val="clear" w:color="auto" w:fill="FFFFFF"/>
            <w:tcMar>
              <w:top w:w="40" w:type="dxa"/>
              <w:left w:w="20" w:type="dxa"/>
              <w:bottom w:w="40" w:type="dxa"/>
              <w:right w:w="0" w:type="dxa"/>
            </w:tcMar>
            <w:vAlign w:val="bottom"/>
          </w:tcPr>
          <w:p w14:paraId="54067868" w14:textId="77777777" w:rsidR="00611BDD" w:rsidRDefault="002E18C7">
            <w:pPr>
              <w:jc w:val="right"/>
              <w:textAlignment w:val="bottom"/>
            </w:pPr>
            <w:r>
              <w:rPr>
                <w:rFonts w:ascii="sans-serif" w:eastAsia="sans-serif" w:hAnsi="sans-serif" w:cs="sans-serif"/>
                <w:color w:val="000000"/>
                <w:sz w:val="20"/>
                <w:szCs w:val="20"/>
              </w:rPr>
              <w:t>2,600 </w:t>
            </w:r>
          </w:p>
        </w:tc>
        <w:tc>
          <w:tcPr>
            <w:tcW w:w="0" w:type="auto"/>
            <w:shd w:val="clear" w:color="auto" w:fill="FFFFFF"/>
            <w:tcMar>
              <w:top w:w="40" w:type="dxa"/>
              <w:left w:w="0" w:type="dxa"/>
              <w:bottom w:w="40" w:type="dxa"/>
              <w:right w:w="20" w:type="dxa"/>
            </w:tcMar>
            <w:vAlign w:val="bottom"/>
          </w:tcPr>
          <w:p w14:paraId="54067869"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86A"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86B" w14:textId="77777777" w:rsidR="00611BDD" w:rsidRDefault="002E18C7">
            <w:pPr>
              <w:jc w:val="right"/>
              <w:textAlignment w:val="bottom"/>
            </w:pPr>
            <w:r>
              <w:rPr>
                <w:rFonts w:ascii="sans-serif" w:eastAsia="sans-serif" w:hAnsi="sans-serif" w:cs="sans-serif"/>
                <w:color w:val="000000"/>
                <w:sz w:val="20"/>
                <w:szCs w:val="20"/>
              </w:rPr>
              <w:t>1,781 </w:t>
            </w:r>
          </w:p>
        </w:tc>
        <w:tc>
          <w:tcPr>
            <w:tcW w:w="0" w:type="auto"/>
            <w:shd w:val="clear" w:color="auto" w:fill="FFFFFF"/>
            <w:tcMar>
              <w:top w:w="40" w:type="dxa"/>
              <w:left w:w="0" w:type="dxa"/>
              <w:bottom w:w="40" w:type="dxa"/>
              <w:right w:w="20" w:type="dxa"/>
            </w:tcMar>
            <w:vAlign w:val="bottom"/>
          </w:tcPr>
          <w:p w14:paraId="5406786C"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86D"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86E" w14:textId="77777777" w:rsidR="00611BDD" w:rsidRDefault="002E18C7">
            <w:pPr>
              <w:jc w:val="right"/>
              <w:textAlignment w:val="bottom"/>
            </w:pPr>
            <w:r>
              <w:rPr>
                <w:rFonts w:ascii="sans-serif" w:eastAsia="sans-serif" w:hAnsi="sans-serif" w:cs="sans-serif"/>
                <w:color w:val="000000"/>
                <w:sz w:val="20"/>
                <w:szCs w:val="20"/>
              </w:rPr>
              <w:t>819 </w:t>
            </w:r>
          </w:p>
        </w:tc>
        <w:tc>
          <w:tcPr>
            <w:tcW w:w="0" w:type="auto"/>
            <w:shd w:val="clear" w:color="auto" w:fill="FFFFFF"/>
            <w:tcMar>
              <w:top w:w="40" w:type="dxa"/>
              <w:left w:w="0" w:type="dxa"/>
              <w:bottom w:w="40" w:type="dxa"/>
              <w:right w:w="20" w:type="dxa"/>
            </w:tcMar>
            <w:vAlign w:val="bottom"/>
          </w:tcPr>
          <w:p w14:paraId="5406786F"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870"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871" w14:textId="77777777" w:rsidR="00611BDD" w:rsidRDefault="002E18C7">
            <w:pPr>
              <w:jc w:val="right"/>
              <w:textAlignment w:val="bottom"/>
            </w:pPr>
            <w:r>
              <w:rPr>
                <w:rFonts w:ascii="sans-serif" w:eastAsia="sans-serif" w:hAnsi="sans-serif" w:cs="sans-serif"/>
                <w:color w:val="000000"/>
                <w:sz w:val="20"/>
                <w:szCs w:val="20"/>
              </w:rPr>
              <w:t>46 </w:t>
            </w:r>
          </w:p>
        </w:tc>
        <w:tc>
          <w:tcPr>
            <w:tcW w:w="0" w:type="auto"/>
            <w:shd w:val="clear" w:color="auto" w:fill="FFFFFF"/>
            <w:tcMar>
              <w:top w:w="40" w:type="dxa"/>
              <w:left w:w="0" w:type="dxa"/>
              <w:bottom w:w="40" w:type="dxa"/>
              <w:right w:w="20" w:type="dxa"/>
            </w:tcMar>
            <w:vAlign w:val="bottom"/>
          </w:tcPr>
          <w:p w14:paraId="54067872" w14:textId="77777777" w:rsidR="00611BDD" w:rsidRDefault="002E18C7">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54067873"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874" w14:textId="77777777" w:rsidR="00611BDD" w:rsidRDefault="002E18C7">
            <w:pPr>
              <w:jc w:val="right"/>
              <w:textAlignment w:val="bottom"/>
            </w:pPr>
            <w:r>
              <w:rPr>
                <w:rFonts w:ascii="sans-serif" w:eastAsia="sans-serif" w:hAnsi="sans-serif" w:cs="sans-serif"/>
                <w:color w:val="000000"/>
                <w:sz w:val="20"/>
                <w:szCs w:val="20"/>
              </w:rPr>
              <w:t>4,810 </w:t>
            </w:r>
          </w:p>
        </w:tc>
        <w:tc>
          <w:tcPr>
            <w:tcW w:w="0" w:type="auto"/>
            <w:shd w:val="clear" w:color="auto" w:fill="FFFFFF"/>
            <w:tcMar>
              <w:top w:w="40" w:type="dxa"/>
              <w:left w:w="0" w:type="dxa"/>
              <w:bottom w:w="40" w:type="dxa"/>
              <w:right w:w="20" w:type="dxa"/>
            </w:tcMar>
            <w:vAlign w:val="bottom"/>
          </w:tcPr>
          <w:p w14:paraId="54067875"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876"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877" w14:textId="77777777" w:rsidR="00611BDD" w:rsidRDefault="002E18C7">
            <w:pPr>
              <w:jc w:val="right"/>
              <w:textAlignment w:val="bottom"/>
            </w:pPr>
            <w:r>
              <w:rPr>
                <w:rFonts w:ascii="sans-serif" w:eastAsia="sans-serif" w:hAnsi="sans-serif" w:cs="sans-serif"/>
                <w:color w:val="000000"/>
                <w:sz w:val="20"/>
                <w:szCs w:val="20"/>
              </w:rPr>
              <w:t>2,955 </w:t>
            </w:r>
          </w:p>
        </w:tc>
        <w:tc>
          <w:tcPr>
            <w:tcW w:w="0" w:type="auto"/>
            <w:shd w:val="clear" w:color="auto" w:fill="FFFFFF"/>
            <w:tcMar>
              <w:top w:w="40" w:type="dxa"/>
              <w:left w:w="0" w:type="dxa"/>
              <w:bottom w:w="40" w:type="dxa"/>
              <w:right w:w="20" w:type="dxa"/>
            </w:tcMar>
            <w:vAlign w:val="bottom"/>
          </w:tcPr>
          <w:p w14:paraId="54067878"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879"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87A" w14:textId="77777777" w:rsidR="00611BDD" w:rsidRDefault="002E18C7">
            <w:pPr>
              <w:jc w:val="right"/>
              <w:textAlignment w:val="bottom"/>
            </w:pPr>
            <w:r>
              <w:rPr>
                <w:rFonts w:ascii="sans-serif" w:eastAsia="sans-serif" w:hAnsi="sans-serif" w:cs="sans-serif"/>
                <w:color w:val="000000"/>
                <w:sz w:val="20"/>
                <w:szCs w:val="20"/>
              </w:rPr>
              <w:t>1,855 </w:t>
            </w:r>
          </w:p>
        </w:tc>
        <w:tc>
          <w:tcPr>
            <w:tcW w:w="0" w:type="auto"/>
            <w:shd w:val="clear" w:color="auto" w:fill="FFFFFF"/>
            <w:tcMar>
              <w:top w:w="40" w:type="dxa"/>
              <w:left w:w="0" w:type="dxa"/>
              <w:bottom w:w="40" w:type="dxa"/>
              <w:right w:w="20" w:type="dxa"/>
            </w:tcMar>
            <w:vAlign w:val="bottom"/>
          </w:tcPr>
          <w:p w14:paraId="5406787B"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87C"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87D" w14:textId="77777777" w:rsidR="00611BDD" w:rsidRDefault="002E18C7">
            <w:pPr>
              <w:jc w:val="right"/>
              <w:textAlignment w:val="bottom"/>
            </w:pPr>
            <w:r>
              <w:rPr>
                <w:rFonts w:ascii="sans-serif" w:eastAsia="sans-serif" w:hAnsi="sans-serif" w:cs="sans-serif"/>
                <w:color w:val="000000"/>
                <w:sz w:val="20"/>
                <w:szCs w:val="20"/>
              </w:rPr>
              <w:t>63 </w:t>
            </w:r>
          </w:p>
        </w:tc>
        <w:tc>
          <w:tcPr>
            <w:tcW w:w="0" w:type="auto"/>
            <w:shd w:val="clear" w:color="auto" w:fill="FFFFFF"/>
            <w:tcMar>
              <w:top w:w="40" w:type="dxa"/>
              <w:left w:w="0" w:type="dxa"/>
              <w:bottom w:w="40" w:type="dxa"/>
              <w:right w:w="20" w:type="dxa"/>
            </w:tcMar>
            <w:vAlign w:val="bottom"/>
          </w:tcPr>
          <w:p w14:paraId="5406787E" w14:textId="77777777" w:rsidR="00611BDD" w:rsidRDefault="002E18C7">
            <w:pPr>
              <w:jc w:val="right"/>
              <w:textAlignment w:val="bottom"/>
            </w:pPr>
            <w:r>
              <w:rPr>
                <w:rFonts w:ascii="sans-serif" w:eastAsia="sans-serif" w:hAnsi="sans-serif" w:cs="sans-serif"/>
                <w:color w:val="000000"/>
                <w:sz w:val="20"/>
                <w:szCs w:val="20"/>
              </w:rPr>
              <w:t>%</w:t>
            </w:r>
          </w:p>
        </w:tc>
      </w:tr>
      <w:tr w:rsidR="002E18C7" w14:paraId="5406789E" w14:textId="77777777">
        <w:tc>
          <w:tcPr>
            <w:tcW w:w="0" w:type="auto"/>
            <w:gridSpan w:val="3"/>
            <w:shd w:val="clear" w:color="auto" w:fill="E2EFD9"/>
            <w:tcMar>
              <w:top w:w="40" w:type="dxa"/>
              <w:left w:w="20" w:type="dxa"/>
              <w:bottom w:w="40" w:type="dxa"/>
              <w:right w:w="20" w:type="dxa"/>
            </w:tcMar>
            <w:vAlign w:val="bottom"/>
          </w:tcPr>
          <w:p w14:paraId="54067880" w14:textId="77777777" w:rsidR="00611BDD" w:rsidRDefault="002E18C7">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881"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882" w14:textId="77777777" w:rsidR="00611BDD" w:rsidRDefault="002E18C7">
            <w:pPr>
              <w:jc w:val="right"/>
              <w:textAlignment w:val="bottom"/>
            </w:pPr>
            <w:r>
              <w:rPr>
                <w:rFonts w:ascii="sans-serif" w:eastAsia="sans-serif" w:hAnsi="sans-serif" w:cs="sans-serif"/>
                <w:color w:val="000000"/>
                <w:sz w:val="20"/>
                <w:szCs w:val="20"/>
              </w:rPr>
              <w:t>6,507 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88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884"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885"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886" w14:textId="77777777" w:rsidR="00611BDD" w:rsidRDefault="002E18C7">
            <w:pPr>
              <w:jc w:val="right"/>
              <w:textAlignment w:val="bottom"/>
            </w:pPr>
            <w:r>
              <w:rPr>
                <w:rFonts w:ascii="sans-serif" w:eastAsia="sans-serif" w:hAnsi="sans-serif" w:cs="sans-serif"/>
                <w:color w:val="000000"/>
                <w:sz w:val="20"/>
                <w:szCs w:val="20"/>
              </w:rPr>
              <w:t>3,866 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887"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888"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889"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88A" w14:textId="77777777" w:rsidR="00611BDD" w:rsidRDefault="002E18C7">
            <w:pPr>
              <w:jc w:val="right"/>
              <w:textAlignment w:val="bottom"/>
            </w:pPr>
            <w:r>
              <w:rPr>
                <w:rFonts w:ascii="sans-serif" w:eastAsia="sans-serif" w:hAnsi="sans-serif" w:cs="sans-serif"/>
                <w:color w:val="000000"/>
                <w:sz w:val="20"/>
                <w:szCs w:val="20"/>
              </w:rPr>
              <w:t>2,641 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88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88C" w14:textId="77777777" w:rsidR="00611BDD" w:rsidRDefault="00611BDD">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88D" w14:textId="77777777" w:rsidR="00611BDD" w:rsidRDefault="002E18C7">
            <w:pPr>
              <w:jc w:val="right"/>
              <w:textAlignment w:val="bottom"/>
            </w:pPr>
            <w:r>
              <w:rPr>
                <w:rFonts w:ascii="sans-serif" w:eastAsia="sans-serif" w:hAnsi="sans-serif" w:cs="sans-serif"/>
                <w:color w:val="000000"/>
                <w:sz w:val="20"/>
                <w:szCs w:val="20"/>
              </w:rPr>
              <w:t>68 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88E" w14:textId="77777777" w:rsidR="00611BDD" w:rsidRDefault="002E18C7">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406788F"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890"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891" w14:textId="77777777" w:rsidR="00611BDD" w:rsidRDefault="002E18C7">
            <w:pPr>
              <w:jc w:val="right"/>
              <w:textAlignment w:val="bottom"/>
            </w:pPr>
            <w:r>
              <w:rPr>
                <w:rFonts w:ascii="sans-serif" w:eastAsia="sans-serif" w:hAnsi="sans-serif" w:cs="sans-serif"/>
                <w:color w:val="000000"/>
                <w:sz w:val="20"/>
                <w:szCs w:val="20"/>
              </w:rPr>
              <w:t>12,168 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892"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893"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894"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895" w14:textId="77777777" w:rsidR="00611BDD" w:rsidRDefault="002E18C7">
            <w:pPr>
              <w:jc w:val="right"/>
              <w:textAlignment w:val="bottom"/>
            </w:pPr>
            <w:r>
              <w:rPr>
                <w:rFonts w:ascii="sans-serif" w:eastAsia="sans-serif" w:hAnsi="sans-serif" w:cs="sans-serif"/>
                <w:color w:val="000000"/>
                <w:sz w:val="20"/>
                <w:szCs w:val="20"/>
              </w:rPr>
              <w:t>6,946 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89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897"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898"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899" w14:textId="77777777" w:rsidR="00611BDD" w:rsidRDefault="002E18C7">
            <w:pPr>
              <w:jc w:val="right"/>
              <w:textAlignment w:val="bottom"/>
            </w:pPr>
            <w:r>
              <w:rPr>
                <w:rFonts w:ascii="sans-serif" w:eastAsia="sans-serif" w:hAnsi="sans-serif" w:cs="sans-serif"/>
                <w:color w:val="000000"/>
                <w:sz w:val="20"/>
                <w:szCs w:val="20"/>
              </w:rPr>
              <w:t>5,222 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89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89B" w14:textId="77777777" w:rsidR="00611BDD" w:rsidRDefault="00611BDD">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89C" w14:textId="77777777" w:rsidR="00611BDD" w:rsidRDefault="002E18C7">
            <w:pPr>
              <w:jc w:val="right"/>
              <w:textAlignment w:val="bottom"/>
            </w:pPr>
            <w:r>
              <w:rPr>
                <w:rFonts w:ascii="sans-serif" w:eastAsia="sans-serif" w:hAnsi="sans-serif" w:cs="sans-serif"/>
                <w:color w:val="000000"/>
                <w:sz w:val="20"/>
                <w:szCs w:val="20"/>
              </w:rPr>
              <w:t>75 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89D" w14:textId="77777777" w:rsidR="00611BDD" w:rsidRDefault="002E18C7">
            <w:pPr>
              <w:jc w:val="right"/>
              <w:textAlignment w:val="bottom"/>
            </w:pPr>
            <w:r>
              <w:rPr>
                <w:rFonts w:ascii="sans-serif" w:eastAsia="sans-serif" w:hAnsi="sans-serif" w:cs="sans-serif"/>
                <w:color w:val="000000"/>
                <w:sz w:val="20"/>
                <w:szCs w:val="20"/>
              </w:rPr>
              <w:t>%</w:t>
            </w:r>
          </w:p>
        </w:tc>
      </w:tr>
    </w:tbl>
    <w:p w14:paraId="5406789F" w14:textId="77777777" w:rsidR="00611BDD" w:rsidRDefault="002E18C7">
      <w:pPr>
        <w:spacing w:before="120" w:after="120"/>
        <w:jc w:val="both"/>
      </w:pPr>
      <w:r>
        <w:rPr>
          <w:rFonts w:ascii="sans-serif" w:eastAsia="sans-serif" w:hAnsi="sans-serif" w:cs="sans-serif"/>
          <w:b/>
          <w:bCs/>
          <w:color w:val="000000"/>
          <w:sz w:val="20"/>
          <w:szCs w:val="20"/>
        </w:rPr>
        <w:t>Graphics -</w:t>
      </w:r>
      <w:r>
        <w:rPr>
          <w:rFonts w:ascii="sans-serif" w:eastAsia="sans-serif" w:hAnsi="sans-serif" w:cs="sans-serif"/>
          <w:color w:val="000000"/>
          <w:sz w:val="20"/>
          <w:szCs w:val="20"/>
        </w:rPr>
        <w:t xml:space="preserve"> Graphics segment revenue</w:t>
      </w:r>
      <w:r>
        <w:rPr>
          <w:rFonts w:ascii="sans-serif" w:eastAsia="sans-serif" w:hAnsi="sans-serif" w:cs="sans-serif"/>
          <w:color w:val="000000"/>
          <w:sz w:val="20"/>
          <w:szCs w:val="20"/>
        </w:rPr>
        <w:t xml:space="preserve"> increased 87% in the second quarter of fiscal year 2022 compared to the second quarter of fiscal year 2021 and 84% in the first half of fiscal year 2022 compared to the first half of fiscal year 2021, reflecting growth in GeForce GPUs which benefited from</w:t>
      </w:r>
      <w:r>
        <w:rPr>
          <w:rFonts w:ascii="sans-serif" w:eastAsia="sans-serif" w:hAnsi="sans-serif" w:cs="sans-serif"/>
          <w:color w:val="000000"/>
          <w:sz w:val="20"/>
          <w:szCs w:val="20"/>
        </w:rPr>
        <w:t xml:space="preserve"> the introduction of new products of our GeForce RTX 30 Series for both desktop and laptops based on the NVIDIA Ampere architecture. Additionally, revenue increased from higher sales of NVIDIA RTX workstations and game console SOCs. </w:t>
      </w:r>
    </w:p>
    <w:p w14:paraId="540678A0" w14:textId="77777777" w:rsidR="00611BDD" w:rsidRDefault="002E18C7">
      <w:pPr>
        <w:spacing w:before="120" w:after="120"/>
        <w:jc w:val="both"/>
      </w:pPr>
      <w:r>
        <w:rPr>
          <w:rFonts w:ascii="sans-serif" w:eastAsia="sans-serif" w:hAnsi="sans-serif" w:cs="sans-serif"/>
          <w:b/>
          <w:bCs/>
          <w:color w:val="000000"/>
          <w:sz w:val="20"/>
          <w:szCs w:val="20"/>
        </w:rPr>
        <w:t>Compute &amp; Networking -</w:t>
      </w:r>
      <w:r>
        <w:rPr>
          <w:rFonts w:ascii="sans-serif" w:eastAsia="sans-serif" w:hAnsi="sans-serif" w:cs="sans-serif"/>
          <w:color w:val="000000"/>
          <w:sz w:val="20"/>
          <w:szCs w:val="20"/>
        </w:rPr>
        <w:t xml:space="preserve"> Compute &amp; Networking segment revenue increased 46% for the second quarter of fiscal year 2022 compared to the second quarter of fiscal year 2021 and 63% in the first half of fiscal year 2022 compared to the first half of fiscal year 2021. Revenue increase</w:t>
      </w:r>
      <w:r>
        <w:rPr>
          <w:rFonts w:ascii="sans-serif" w:eastAsia="sans-serif" w:hAnsi="sans-serif" w:cs="sans-serif"/>
          <w:color w:val="000000"/>
          <w:sz w:val="20"/>
          <w:szCs w:val="20"/>
        </w:rPr>
        <w:t xml:space="preserve">d due to the ramp of NVIDIA Ampere GPU architecture products into vertical industries and hyperscale customers, including growth in inference. The addition of CMP products for cryptocurrency mining also drove revenue growth. The increase in the first half </w:t>
      </w:r>
      <w:r>
        <w:rPr>
          <w:rFonts w:ascii="sans-serif" w:eastAsia="sans-serif" w:hAnsi="sans-serif" w:cs="sans-serif"/>
          <w:color w:val="000000"/>
          <w:sz w:val="20"/>
          <w:szCs w:val="20"/>
        </w:rPr>
        <w:t>of fiscal year 2022 also reflects the addition of Mellanox, which we acquired on April 27, 2020.</w:t>
      </w:r>
    </w:p>
    <w:p w14:paraId="540678A1" w14:textId="77777777" w:rsidR="00611BDD" w:rsidRDefault="00611BDD">
      <w:pPr>
        <w:spacing w:before="180" w:after="180"/>
      </w:pPr>
    </w:p>
    <w:p w14:paraId="540678A2" w14:textId="77777777" w:rsidR="00611BDD" w:rsidRDefault="00611BDD">
      <w:pPr>
        <w:spacing w:after="180"/>
      </w:pPr>
    </w:p>
    <w:p w14:paraId="540678A3" w14:textId="77777777" w:rsidR="00611BDD" w:rsidRDefault="002E18C7">
      <w:pPr>
        <w:spacing w:after="180"/>
        <w:jc w:val="center"/>
      </w:pPr>
      <w:r>
        <w:rPr>
          <w:rFonts w:ascii="sans-serif" w:eastAsia="sans-serif" w:hAnsi="sans-serif" w:cs="sans-serif"/>
          <w:color w:val="000000"/>
          <w:sz w:val="20"/>
          <w:szCs w:val="20"/>
        </w:rPr>
        <w:t>28</w:t>
      </w:r>
    </w:p>
    <w:p w14:paraId="540678A4" w14:textId="77777777" w:rsidR="00611BDD" w:rsidRDefault="002E18C7">
      <w:r>
        <w:pict w14:anchorId="54067C40">
          <v:rect id="_x0000_i1052" style="width:415.3pt;height:1.5pt" o:hralign="center" o:hrstd="t" o:hr="t" fillcolor="#a0a0a0" stroked="f"/>
        </w:pict>
      </w:r>
    </w:p>
    <w:p w14:paraId="540678A5" w14:textId="77777777" w:rsidR="00611BDD" w:rsidRDefault="00611BDD">
      <w:pPr>
        <w:spacing w:after="180"/>
        <w:jc w:val="both"/>
      </w:pPr>
    </w:p>
    <w:p w14:paraId="540678A6" w14:textId="77777777" w:rsidR="00611BDD" w:rsidRDefault="00611BDD">
      <w:pPr>
        <w:spacing w:after="180"/>
        <w:jc w:val="both"/>
      </w:pPr>
    </w:p>
    <w:p w14:paraId="540678A7" w14:textId="77777777" w:rsidR="00611BDD" w:rsidRDefault="00611BDD">
      <w:pPr>
        <w:spacing w:after="180"/>
        <w:jc w:val="both"/>
      </w:pPr>
    </w:p>
    <w:p w14:paraId="540678A8" w14:textId="77777777" w:rsidR="00611BDD" w:rsidRDefault="002E18C7">
      <w:pPr>
        <w:spacing w:before="120" w:after="120"/>
      </w:pPr>
      <w:r>
        <w:rPr>
          <w:rFonts w:ascii="sans-serif" w:eastAsia="sans-serif" w:hAnsi="sans-serif" w:cs="sans-serif"/>
          <w:b/>
          <w:bCs/>
          <w:color w:val="000000"/>
          <w:sz w:val="20"/>
          <w:szCs w:val="20"/>
        </w:rPr>
        <w:t>Concentration of Revenue </w:t>
      </w:r>
    </w:p>
    <w:p w14:paraId="540678A9" w14:textId="77777777" w:rsidR="00611BDD" w:rsidRDefault="002E18C7">
      <w:pPr>
        <w:spacing w:before="120" w:after="120"/>
        <w:jc w:val="both"/>
      </w:pPr>
      <w:r>
        <w:rPr>
          <w:rFonts w:ascii="sans-serif" w:eastAsia="sans-serif" w:hAnsi="sans-serif" w:cs="sans-serif"/>
          <w:color w:val="000000"/>
          <w:sz w:val="20"/>
          <w:szCs w:val="20"/>
        </w:rPr>
        <w:t xml:space="preserve">Revenue from sales to customers outside of the United States accounted for 85% and 86% of total revenue for the </w:t>
      </w:r>
      <w:r>
        <w:rPr>
          <w:rFonts w:ascii="sans-serif" w:eastAsia="sans-serif" w:hAnsi="sans-serif" w:cs="sans-serif"/>
          <w:color w:val="000000"/>
          <w:sz w:val="20"/>
          <w:szCs w:val="20"/>
        </w:rPr>
        <w:t>second quarter and first half of fiscal year 2022, respectively, and 76% and 79% of total revenue for the second quarter and first half of fiscal year 2021, respectively. Revenue by geographic region is allocated to individual countries based on the locati</w:t>
      </w:r>
      <w:r>
        <w:rPr>
          <w:rFonts w:ascii="sans-serif" w:eastAsia="sans-serif" w:hAnsi="sans-serif" w:cs="sans-serif"/>
          <w:color w:val="000000"/>
          <w:sz w:val="20"/>
          <w:szCs w:val="20"/>
        </w:rPr>
        <w:t>on to which the products are initially billed even if the revenue is attributable to end customers in a different location.</w:t>
      </w:r>
    </w:p>
    <w:p w14:paraId="540678AA" w14:textId="77777777" w:rsidR="00611BDD" w:rsidRDefault="002E18C7">
      <w:pPr>
        <w:spacing w:before="180" w:after="120"/>
        <w:jc w:val="both"/>
      </w:pPr>
      <w:r>
        <w:rPr>
          <w:rFonts w:ascii="sans-serif" w:eastAsia="sans-serif" w:hAnsi="sans-serif" w:cs="sans-serif"/>
          <w:color w:val="000000"/>
          <w:sz w:val="20"/>
          <w:szCs w:val="20"/>
        </w:rPr>
        <w:t>No customer represented 10% or more of total revenue for the second quarter and first half of fiscal years 2022 or 2021.</w:t>
      </w:r>
    </w:p>
    <w:p w14:paraId="540678AB" w14:textId="77777777" w:rsidR="00611BDD" w:rsidRDefault="002E18C7">
      <w:pPr>
        <w:spacing w:before="240" w:after="60"/>
        <w:jc w:val="both"/>
      </w:pPr>
      <w:r>
        <w:rPr>
          <w:rFonts w:ascii="sans-serif" w:eastAsia="sans-serif" w:hAnsi="sans-serif" w:cs="sans-serif"/>
          <w:b/>
          <w:bCs/>
          <w:color w:val="76B900"/>
          <w:sz w:val="20"/>
          <w:szCs w:val="20"/>
        </w:rPr>
        <w:t>Gross Margi</w:t>
      </w:r>
      <w:r>
        <w:rPr>
          <w:rFonts w:ascii="sans-serif" w:eastAsia="sans-serif" w:hAnsi="sans-serif" w:cs="sans-serif"/>
          <w:b/>
          <w:bCs/>
          <w:color w:val="76B900"/>
          <w:sz w:val="20"/>
          <w:szCs w:val="20"/>
        </w:rPr>
        <w:t>n</w:t>
      </w:r>
    </w:p>
    <w:p w14:paraId="540678AC" w14:textId="77777777" w:rsidR="00611BDD" w:rsidRDefault="002E18C7">
      <w:pPr>
        <w:spacing w:before="120" w:after="120"/>
        <w:jc w:val="both"/>
      </w:pPr>
      <w:r>
        <w:rPr>
          <w:rFonts w:ascii="sans-serif" w:eastAsia="sans-serif" w:hAnsi="sans-serif" w:cs="sans-serif"/>
          <w:color w:val="000000"/>
          <w:sz w:val="20"/>
          <w:szCs w:val="20"/>
        </w:rPr>
        <w:t>Our overall gross margin increased to 64.8% and 64.5% for the second quarter and first half of fiscal year 2022, respectively, from 58.8% and 61.6% for the second quarter and first half of fiscal year 2021, respectively. These increases are primarily due</w:t>
      </w:r>
      <w:r>
        <w:rPr>
          <w:rFonts w:ascii="sans-serif" w:eastAsia="sans-serif" w:hAnsi="sans-serif" w:cs="sans-serif"/>
          <w:color w:val="000000"/>
          <w:sz w:val="20"/>
          <w:szCs w:val="20"/>
        </w:rPr>
        <w:t xml:space="preserve"> to the absence of a non-recurring inventory step-up expense of $161 million related to the Mellanox acquisition and higher ASPs within desktop GeForce GPUs with continued growth in high-end Ampere architecture products, partially offset by a mix shift wit</w:t>
      </w:r>
      <w:r>
        <w:rPr>
          <w:rFonts w:ascii="sans-serif" w:eastAsia="sans-serif" w:hAnsi="sans-serif" w:cs="sans-serif"/>
          <w:color w:val="000000"/>
          <w:sz w:val="20"/>
          <w:szCs w:val="20"/>
        </w:rPr>
        <w:t>hin the Compute &amp; Networking segment.</w:t>
      </w:r>
    </w:p>
    <w:p w14:paraId="540678AD" w14:textId="77777777" w:rsidR="00611BDD" w:rsidRDefault="002E18C7">
      <w:pPr>
        <w:spacing w:after="180"/>
        <w:jc w:val="both"/>
      </w:pPr>
      <w:r>
        <w:rPr>
          <w:rFonts w:ascii="sans-serif" w:eastAsia="sans-serif" w:hAnsi="sans-serif" w:cs="sans-serif"/>
          <w:color w:val="000000"/>
          <w:sz w:val="20"/>
          <w:szCs w:val="20"/>
        </w:rPr>
        <w:t>Inventory provisions totaled $73 million and $45 million for the second quarter of fiscal years 2022 and 2021, respectively. Sales of inventory that was previously written-off or -down totaled $20 million and $49 milli</w:t>
      </w:r>
      <w:r>
        <w:rPr>
          <w:rFonts w:ascii="sans-serif" w:eastAsia="sans-serif" w:hAnsi="sans-serif" w:cs="sans-serif"/>
          <w:color w:val="000000"/>
          <w:sz w:val="20"/>
          <w:szCs w:val="20"/>
        </w:rPr>
        <w:t>on for the second quarter of fiscal years 2022 and 2021, respectively. As a result, the overall net effect on our gross margin was an unfavorable impact of 0.8% and insignificant in the second quarter of fiscal years 2022 and 2021, respectively.</w:t>
      </w:r>
    </w:p>
    <w:p w14:paraId="540678AE" w14:textId="77777777" w:rsidR="00611BDD" w:rsidRDefault="002E18C7">
      <w:pPr>
        <w:spacing w:before="120" w:after="120"/>
        <w:jc w:val="both"/>
      </w:pPr>
      <w:r>
        <w:rPr>
          <w:rFonts w:ascii="sans-serif" w:eastAsia="sans-serif" w:hAnsi="sans-serif" w:cs="sans-serif"/>
          <w:color w:val="000000"/>
          <w:sz w:val="20"/>
          <w:szCs w:val="20"/>
        </w:rPr>
        <w:t xml:space="preserve">Inventory </w:t>
      </w:r>
      <w:r>
        <w:rPr>
          <w:rFonts w:ascii="sans-serif" w:eastAsia="sans-serif" w:hAnsi="sans-serif" w:cs="sans-serif"/>
          <w:color w:val="000000"/>
          <w:sz w:val="20"/>
          <w:szCs w:val="20"/>
        </w:rPr>
        <w:t>provisions totaled $131 million and $81 million for the first half of fiscal years 2022 and 2021, respectively. Sales of inventory that was previously written-off or -down totaled $41 million and $88 million for the first half of fiscal years 2022 and 2021</w:t>
      </w:r>
      <w:r>
        <w:rPr>
          <w:rFonts w:ascii="sans-serif" w:eastAsia="sans-serif" w:hAnsi="sans-serif" w:cs="sans-serif"/>
          <w:color w:val="000000"/>
          <w:sz w:val="20"/>
          <w:szCs w:val="20"/>
        </w:rPr>
        <w:t>, respectively. As a result, the overall net effect on our gross margin was an unfavorable impact of 0.7% and insignificant in the first half of fiscal years 2022 and 2021, respectively.</w:t>
      </w:r>
    </w:p>
    <w:p w14:paraId="540678AF" w14:textId="77777777" w:rsidR="00611BDD" w:rsidRDefault="002E18C7">
      <w:pPr>
        <w:spacing w:before="120" w:after="120"/>
        <w:jc w:val="both"/>
      </w:pPr>
      <w:r>
        <w:rPr>
          <w:rFonts w:ascii="sans-serif" w:eastAsia="sans-serif" w:hAnsi="sans-serif" w:cs="sans-serif"/>
          <w:color w:val="000000"/>
          <w:sz w:val="20"/>
          <w:szCs w:val="20"/>
        </w:rPr>
        <w:t>A discussion of our gross margin results for each of our reportable s</w:t>
      </w:r>
      <w:r>
        <w:rPr>
          <w:rFonts w:ascii="sans-serif" w:eastAsia="sans-serif" w:hAnsi="sans-serif" w:cs="sans-serif"/>
          <w:color w:val="000000"/>
          <w:sz w:val="20"/>
          <w:szCs w:val="20"/>
        </w:rPr>
        <w:t>egments is as follows:</w:t>
      </w:r>
    </w:p>
    <w:p w14:paraId="540678B0" w14:textId="77777777" w:rsidR="00611BDD" w:rsidRDefault="002E18C7">
      <w:pPr>
        <w:pBdr>
          <w:left w:val="none" w:sz="0" w:space="0" w:color="auto"/>
        </w:pBdr>
        <w:spacing w:before="120" w:after="120"/>
        <w:jc w:val="both"/>
      </w:pPr>
      <w:r>
        <w:rPr>
          <w:rFonts w:ascii="sans-serif" w:eastAsia="sans-serif" w:hAnsi="sans-serif" w:cs="sans-serif"/>
          <w:b/>
          <w:bCs/>
          <w:color w:val="000000"/>
          <w:sz w:val="20"/>
          <w:szCs w:val="20"/>
        </w:rPr>
        <w:t>Graphics -</w:t>
      </w:r>
      <w:r>
        <w:rPr>
          <w:rFonts w:ascii="sans-serif" w:eastAsia="sans-serif" w:hAnsi="sans-serif" w:cs="sans-serif"/>
          <w:color w:val="000000"/>
          <w:sz w:val="20"/>
          <w:szCs w:val="20"/>
        </w:rPr>
        <w:t xml:space="preserve"> The gross margin of our Graphics segment increased during the second quarter and first half of fiscal year 2022 compared to the second quarter and first half of fiscal year 2021, primarily driven by higher ASPs within desk</w:t>
      </w:r>
      <w:r>
        <w:rPr>
          <w:rFonts w:ascii="sans-serif" w:eastAsia="sans-serif" w:hAnsi="sans-serif" w:cs="sans-serif"/>
          <w:color w:val="000000"/>
          <w:sz w:val="20"/>
          <w:szCs w:val="20"/>
        </w:rPr>
        <w:t xml:space="preserve">top GeForce GPUs with continued growth in high-end Ampere architecture products. </w:t>
      </w:r>
    </w:p>
    <w:p w14:paraId="540678B1" w14:textId="77777777" w:rsidR="00611BDD" w:rsidRDefault="002E18C7">
      <w:pPr>
        <w:pBdr>
          <w:left w:val="none" w:sz="0" w:space="0" w:color="auto"/>
        </w:pBdr>
        <w:spacing w:before="120" w:after="120"/>
        <w:jc w:val="both"/>
      </w:pPr>
      <w:r>
        <w:rPr>
          <w:rFonts w:ascii="sans-serif" w:eastAsia="sans-serif" w:hAnsi="sans-serif" w:cs="sans-serif"/>
          <w:b/>
          <w:bCs/>
          <w:color w:val="000000"/>
          <w:sz w:val="20"/>
          <w:szCs w:val="20"/>
        </w:rPr>
        <w:t>Compute &amp; Networking -</w:t>
      </w:r>
      <w:r>
        <w:rPr>
          <w:rFonts w:ascii="sans-serif" w:eastAsia="sans-serif" w:hAnsi="sans-serif" w:cs="sans-serif"/>
          <w:color w:val="000000"/>
          <w:sz w:val="20"/>
          <w:szCs w:val="20"/>
        </w:rPr>
        <w:t> The gross margin of our Compute &amp; Networking segment decreased during the second quarter and first half of fiscal year 2022 compared to the second quar</w:t>
      </w:r>
      <w:r>
        <w:rPr>
          <w:rFonts w:ascii="sans-serif" w:eastAsia="sans-serif" w:hAnsi="sans-serif" w:cs="sans-serif"/>
          <w:color w:val="000000"/>
          <w:sz w:val="20"/>
          <w:szCs w:val="20"/>
        </w:rPr>
        <w:t xml:space="preserve">ter and first half of fiscal year 2021, primarily driven by a shift in product mix. </w:t>
      </w:r>
    </w:p>
    <w:p w14:paraId="540678B2" w14:textId="77777777" w:rsidR="00611BDD" w:rsidRDefault="002E18C7">
      <w:pPr>
        <w:spacing w:before="240" w:after="60"/>
        <w:jc w:val="both"/>
      </w:pPr>
      <w:r>
        <w:rPr>
          <w:rFonts w:ascii="sans-serif" w:eastAsia="sans-serif" w:hAnsi="sans-serif" w:cs="sans-serif"/>
          <w:b/>
          <w:bCs/>
          <w:color w:val="76B900"/>
          <w:sz w:val="20"/>
          <w:szCs w:val="20"/>
        </w:rPr>
        <w:t>Operating Expenses</w:t>
      </w:r>
    </w:p>
    <w:tbl>
      <w:tblPr>
        <w:tblW w:w="5000" w:type="pct"/>
        <w:tblCellMar>
          <w:top w:w="15" w:type="dxa"/>
          <w:left w:w="15" w:type="dxa"/>
          <w:bottom w:w="15" w:type="dxa"/>
          <w:right w:w="15" w:type="dxa"/>
        </w:tblCellMar>
        <w:tblLook w:val="04A0" w:firstRow="1" w:lastRow="0" w:firstColumn="1" w:lastColumn="0" w:noHBand="0" w:noVBand="1"/>
      </w:tblPr>
      <w:tblGrid>
        <w:gridCol w:w="62"/>
        <w:gridCol w:w="1204"/>
        <w:gridCol w:w="37"/>
        <w:gridCol w:w="122"/>
        <w:gridCol w:w="571"/>
        <w:gridCol w:w="163"/>
        <w:gridCol w:w="36"/>
        <w:gridCol w:w="36"/>
        <w:gridCol w:w="36"/>
        <w:gridCol w:w="122"/>
        <w:gridCol w:w="501"/>
        <w:gridCol w:w="163"/>
        <w:gridCol w:w="36"/>
        <w:gridCol w:w="36"/>
        <w:gridCol w:w="36"/>
        <w:gridCol w:w="123"/>
        <w:gridCol w:w="565"/>
        <w:gridCol w:w="36"/>
        <w:gridCol w:w="36"/>
        <w:gridCol w:w="36"/>
        <w:gridCol w:w="36"/>
        <w:gridCol w:w="82"/>
        <w:gridCol w:w="565"/>
        <w:gridCol w:w="163"/>
        <w:gridCol w:w="36"/>
        <w:gridCol w:w="36"/>
        <w:gridCol w:w="36"/>
        <w:gridCol w:w="122"/>
        <w:gridCol w:w="501"/>
        <w:gridCol w:w="163"/>
        <w:gridCol w:w="36"/>
        <w:gridCol w:w="36"/>
        <w:gridCol w:w="36"/>
        <w:gridCol w:w="122"/>
        <w:gridCol w:w="501"/>
        <w:gridCol w:w="163"/>
        <w:gridCol w:w="36"/>
        <w:gridCol w:w="36"/>
        <w:gridCol w:w="36"/>
        <w:gridCol w:w="123"/>
        <w:gridCol w:w="560"/>
        <w:gridCol w:w="36"/>
        <w:gridCol w:w="36"/>
        <w:gridCol w:w="36"/>
        <w:gridCol w:w="36"/>
        <w:gridCol w:w="87"/>
        <w:gridCol w:w="560"/>
        <w:gridCol w:w="163"/>
      </w:tblGrid>
      <w:tr w:rsidR="00611BDD" w14:paraId="540678E3" w14:textId="77777777">
        <w:tc>
          <w:tcPr>
            <w:tcW w:w="50" w:type="pct"/>
            <w:shd w:val="clear" w:color="auto" w:fill="auto"/>
            <w:vAlign w:val="bottom"/>
          </w:tcPr>
          <w:p w14:paraId="540678B3" w14:textId="77777777" w:rsidR="00611BDD" w:rsidRDefault="00611BDD">
            <w:pPr>
              <w:rPr>
                <w:rFonts w:ascii="宋体"/>
              </w:rPr>
            </w:pPr>
          </w:p>
        </w:tc>
        <w:tc>
          <w:tcPr>
            <w:tcW w:w="924" w:type="pct"/>
            <w:shd w:val="clear" w:color="auto" w:fill="auto"/>
            <w:vAlign w:val="bottom"/>
          </w:tcPr>
          <w:p w14:paraId="540678B4" w14:textId="77777777" w:rsidR="00611BDD" w:rsidRDefault="00611BDD">
            <w:pPr>
              <w:rPr>
                <w:rFonts w:ascii="宋体"/>
              </w:rPr>
            </w:pPr>
          </w:p>
        </w:tc>
        <w:tc>
          <w:tcPr>
            <w:tcW w:w="5" w:type="pct"/>
            <w:shd w:val="clear" w:color="auto" w:fill="auto"/>
            <w:vAlign w:val="bottom"/>
          </w:tcPr>
          <w:p w14:paraId="540678B5" w14:textId="77777777" w:rsidR="00611BDD" w:rsidRDefault="00611BDD">
            <w:pPr>
              <w:rPr>
                <w:rFonts w:ascii="宋体"/>
              </w:rPr>
            </w:pPr>
          </w:p>
        </w:tc>
        <w:tc>
          <w:tcPr>
            <w:tcW w:w="50" w:type="pct"/>
            <w:shd w:val="clear" w:color="auto" w:fill="auto"/>
            <w:vAlign w:val="bottom"/>
          </w:tcPr>
          <w:p w14:paraId="540678B6" w14:textId="77777777" w:rsidR="00611BDD" w:rsidRDefault="00611BDD">
            <w:pPr>
              <w:rPr>
                <w:rFonts w:ascii="宋体"/>
              </w:rPr>
            </w:pPr>
          </w:p>
        </w:tc>
        <w:tc>
          <w:tcPr>
            <w:tcW w:w="493" w:type="pct"/>
            <w:shd w:val="clear" w:color="auto" w:fill="auto"/>
            <w:vAlign w:val="bottom"/>
          </w:tcPr>
          <w:p w14:paraId="540678B7" w14:textId="77777777" w:rsidR="00611BDD" w:rsidRDefault="00611BDD">
            <w:pPr>
              <w:rPr>
                <w:rFonts w:ascii="宋体"/>
              </w:rPr>
            </w:pPr>
          </w:p>
        </w:tc>
        <w:tc>
          <w:tcPr>
            <w:tcW w:w="5" w:type="pct"/>
            <w:shd w:val="clear" w:color="auto" w:fill="auto"/>
            <w:vAlign w:val="bottom"/>
          </w:tcPr>
          <w:p w14:paraId="540678B8" w14:textId="77777777" w:rsidR="00611BDD" w:rsidRDefault="00611BDD">
            <w:pPr>
              <w:rPr>
                <w:rFonts w:ascii="宋体"/>
              </w:rPr>
            </w:pPr>
          </w:p>
        </w:tc>
        <w:tc>
          <w:tcPr>
            <w:tcW w:w="5" w:type="pct"/>
            <w:shd w:val="clear" w:color="auto" w:fill="auto"/>
            <w:vAlign w:val="bottom"/>
          </w:tcPr>
          <w:p w14:paraId="540678B9" w14:textId="77777777" w:rsidR="00611BDD" w:rsidRDefault="00611BDD">
            <w:pPr>
              <w:rPr>
                <w:rFonts w:ascii="宋体"/>
              </w:rPr>
            </w:pPr>
          </w:p>
        </w:tc>
        <w:tc>
          <w:tcPr>
            <w:tcW w:w="26" w:type="pct"/>
            <w:shd w:val="clear" w:color="auto" w:fill="auto"/>
            <w:vAlign w:val="bottom"/>
          </w:tcPr>
          <w:p w14:paraId="540678BA" w14:textId="77777777" w:rsidR="00611BDD" w:rsidRDefault="00611BDD">
            <w:pPr>
              <w:rPr>
                <w:rFonts w:ascii="宋体"/>
              </w:rPr>
            </w:pPr>
          </w:p>
        </w:tc>
        <w:tc>
          <w:tcPr>
            <w:tcW w:w="5" w:type="pct"/>
            <w:shd w:val="clear" w:color="auto" w:fill="auto"/>
            <w:vAlign w:val="bottom"/>
          </w:tcPr>
          <w:p w14:paraId="540678BB" w14:textId="77777777" w:rsidR="00611BDD" w:rsidRDefault="00611BDD">
            <w:pPr>
              <w:rPr>
                <w:rFonts w:ascii="宋体"/>
              </w:rPr>
            </w:pPr>
          </w:p>
        </w:tc>
        <w:tc>
          <w:tcPr>
            <w:tcW w:w="50" w:type="pct"/>
            <w:shd w:val="clear" w:color="auto" w:fill="auto"/>
            <w:vAlign w:val="bottom"/>
          </w:tcPr>
          <w:p w14:paraId="540678BC" w14:textId="77777777" w:rsidR="00611BDD" w:rsidRDefault="00611BDD">
            <w:pPr>
              <w:rPr>
                <w:rFonts w:ascii="宋体"/>
              </w:rPr>
            </w:pPr>
          </w:p>
        </w:tc>
        <w:tc>
          <w:tcPr>
            <w:tcW w:w="493" w:type="pct"/>
            <w:shd w:val="clear" w:color="auto" w:fill="auto"/>
            <w:vAlign w:val="bottom"/>
          </w:tcPr>
          <w:p w14:paraId="540678BD" w14:textId="77777777" w:rsidR="00611BDD" w:rsidRDefault="00611BDD">
            <w:pPr>
              <w:rPr>
                <w:rFonts w:ascii="宋体"/>
              </w:rPr>
            </w:pPr>
          </w:p>
        </w:tc>
        <w:tc>
          <w:tcPr>
            <w:tcW w:w="5" w:type="pct"/>
            <w:shd w:val="clear" w:color="auto" w:fill="auto"/>
            <w:vAlign w:val="bottom"/>
          </w:tcPr>
          <w:p w14:paraId="540678BE" w14:textId="77777777" w:rsidR="00611BDD" w:rsidRDefault="00611BDD">
            <w:pPr>
              <w:rPr>
                <w:rFonts w:ascii="宋体"/>
              </w:rPr>
            </w:pPr>
          </w:p>
        </w:tc>
        <w:tc>
          <w:tcPr>
            <w:tcW w:w="5" w:type="pct"/>
            <w:shd w:val="clear" w:color="auto" w:fill="auto"/>
            <w:vAlign w:val="bottom"/>
          </w:tcPr>
          <w:p w14:paraId="540678BF" w14:textId="77777777" w:rsidR="00611BDD" w:rsidRDefault="00611BDD">
            <w:pPr>
              <w:rPr>
                <w:rFonts w:ascii="宋体"/>
              </w:rPr>
            </w:pPr>
          </w:p>
        </w:tc>
        <w:tc>
          <w:tcPr>
            <w:tcW w:w="26" w:type="pct"/>
            <w:shd w:val="clear" w:color="auto" w:fill="auto"/>
            <w:vAlign w:val="bottom"/>
          </w:tcPr>
          <w:p w14:paraId="540678C0" w14:textId="77777777" w:rsidR="00611BDD" w:rsidRDefault="00611BDD">
            <w:pPr>
              <w:rPr>
                <w:rFonts w:ascii="宋体"/>
              </w:rPr>
            </w:pPr>
          </w:p>
        </w:tc>
        <w:tc>
          <w:tcPr>
            <w:tcW w:w="5" w:type="pct"/>
            <w:shd w:val="clear" w:color="auto" w:fill="auto"/>
            <w:vAlign w:val="bottom"/>
          </w:tcPr>
          <w:p w14:paraId="540678C1" w14:textId="77777777" w:rsidR="00611BDD" w:rsidRDefault="00611BDD">
            <w:pPr>
              <w:rPr>
                <w:rFonts w:ascii="宋体"/>
              </w:rPr>
            </w:pPr>
          </w:p>
        </w:tc>
        <w:tc>
          <w:tcPr>
            <w:tcW w:w="50" w:type="pct"/>
            <w:shd w:val="clear" w:color="auto" w:fill="auto"/>
            <w:vAlign w:val="bottom"/>
          </w:tcPr>
          <w:p w14:paraId="540678C2" w14:textId="77777777" w:rsidR="00611BDD" w:rsidRDefault="00611BDD">
            <w:pPr>
              <w:rPr>
                <w:rFonts w:ascii="宋体"/>
              </w:rPr>
            </w:pPr>
          </w:p>
        </w:tc>
        <w:tc>
          <w:tcPr>
            <w:tcW w:w="347" w:type="pct"/>
            <w:shd w:val="clear" w:color="auto" w:fill="auto"/>
            <w:vAlign w:val="bottom"/>
          </w:tcPr>
          <w:p w14:paraId="540678C3" w14:textId="77777777" w:rsidR="00611BDD" w:rsidRDefault="00611BDD">
            <w:pPr>
              <w:rPr>
                <w:rFonts w:ascii="宋体"/>
              </w:rPr>
            </w:pPr>
          </w:p>
        </w:tc>
        <w:tc>
          <w:tcPr>
            <w:tcW w:w="5" w:type="pct"/>
            <w:shd w:val="clear" w:color="auto" w:fill="auto"/>
            <w:vAlign w:val="bottom"/>
          </w:tcPr>
          <w:p w14:paraId="540678C4" w14:textId="77777777" w:rsidR="00611BDD" w:rsidRDefault="00611BDD">
            <w:pPr>
              <w:rPr>
                <w:rFonts w:ascii="宋体"/>
              </w:rPr>
            </w:pPr>
          </w:p>
        </w:tc>
        <w:tc>
          <w:tcPr>
            <w:tcW w:w="5" w:type="pct"/>
            <w:shd w:val="clear" w:color="auto" w:fill="auto"/>
            <w:vAlign w:val="bottom"/>
          </w:tcPr>
          <w:p w14:paraId="540678C5" w14:textId="77777777" w:rsidR="00611BDD" w:rsidRDefault="00611BDD">
            <w:pPr>
              <w:rPr>
                <w:rFonts w:ascii="宋体"/>
              </w:rPr>
            </w:pPr>
          </w:p>
        </w:tc>
        <w:tc>
          <w:tcPr>
            <w:tcW w:w="26" w:type="pct"/>
            <w:shd w:val="clear" w:color="auto" w:fill="auto"/>
            <w:vAlign w:val="bottom"/>
          </w:tcPr>
          <w:p w14:paraId="540678C6" w14:textId="77777777" w:rsidR="00611BDD" w:rsidRDefault="00611BDD">
            <w:pPr>
              <w:rPr>
                <w:rFonts w:ascii="宋体"/>
              </w:rPr>
            </w:pPr>
          </w:p>
        </w:tc>
        <w:tc>
          <w:tcPr>
            <w:tcW w:w="5" w:type="pct"/>
            <w:shd w:val="clear" w:color="auto" w:fill="auto"/>
            <w:vAlign w:val="bottom"/>
          </w:tcPr>
          <w:p w14:paraId="540678C7" w14:textId="77777777" w:rsidR="00611BDD" w:rsidRDefault="00611BDD">
            <w:pPr>
              <w:rPr>
                <w:rFonts w:ascii="宋体"/>
              </w:rPr>
            </w:pPr>
          </w:p>
        </w:tc>
        <w:tc>
          <w:tcPr>
            <w:tcW w:w="50" w:type="pct"/>
            <w:shd w:val="clear" w:color="auto" w:fill="auto"/>
            <w:vAlign w:val="bottom"/>
          </w:tcPr>
          <w:p w14:paraId="540678C8" w14:textId="77777777" w:rsidR="00611BDD" w:rsidRDefault="00611BDD">
            <w:pPr>
              <w:rPr>
                <w:rFonts w:ascii="宋体"/>
              </w:rPr>
            </w:pPr>
          </w:p>
        </w:tc>
        <w:tc>
          <w:tcPr>
            <w:tcW w:w="347" w:type="pct"/>
            <w:shd w:val="clear" w:color="auto" w:fill="auto"/>
            <w:vAlign w:val="bottom"/>
          </w:tcPr>
          <w:p w14:paraId="540678C9" w14:textId="77777777" w:rsidR="00611BDD" w:rsidRDefault="00611BDD">
            <w:pPr>
              <w:rPr>
                <w:rFonts w:ascii="宋体"/>
              </w:rPr>
            </w:pPr>
          </w:p>
        </w:tc>
        <w:tc>
          <w:tcPr>
            <w:tcW w:w="5" w:type="pct"/>
            <w:shd w:val="clear" w:color="auto" w:fill="auto"/>
            <w:vAlign w:val="bottom"/>
          </w:tcPr>
          <w:p w14:paraId="540678CA" w14:textId="77777777" w:rsidR="00611BDD" w:rsidRDefault="00611BDD">
            <w:pPr>
              <w:rPr>
                <w:rFonts w:ascii="宋体"/>
              </w:rPr>
            </w:pPr>
          </w:p>
        </w:tc>
        <w:tc>
          <w:tcPr>
            <w:tcW w:w="5" w:type="pct"/>
            <w:shd w:val="clear" w:color="auto" w:fill="auto"/>
            <w:vAlign w:val="bottom"/>
          </w:tcPr>
          <w:p w14:paraId="540678CB" w14:textId="77777777" w:rsidR="00611BDD" w:rsidRDefault="00611BDD">
            <w:pPr>
              <w:rPr>
                <w:rFonts w:ascii="宋体"/>
              </w:rPr>
            </w:pPr>
          </w:p>
        </w:tc>
        <w:tc>
          <w:tcPr>
            <w:tcW w:w="26" w:type="pct"/>
            <w:shd w:val="clear" w:color="auto" w:fill="auto"/>
            <w:vAlign w:val="bottom"/>
          </w:tcPr>
          <w:p w14:paraId="540678CC" w14:textId="77777777" w:rsidR="00611BDD" w:rsidRDefault="00611BDD">
            <w:pPr>
              <w:rPr>
                <w:rFonts w:ascii="宋体"/>
              </w:rPr>
            </w:pPr>
          </w:p>
        </w:tc>
        <w:tc>
          <w:tcPr>
            <w:tcW w:w="5" w:type="pct"/>
            <w:shd w:val="clear" w:color="auto" w:fill="auto"/>
            <w:vAlign w:val="bottom"/>
          </w:tcPr>
          <w:p w14:paraId="540678CD" w14:textId="77777777" w:rsidR="00611BDD" w:rsidRDefault="00611BDD">
            <w:pPr>
              <w:rPr>
                <w:rFonts w:ascii="宋体"/>
              </w:rPr>
            </w:pPr>
          </w:p>
        </w:tc>
        <w:tc>
          <w:tcPr>
            <w:tcW w:w="50" w:type="pct"/>
            <w:shd w:val="clear" w:color="auto" w:fill="auto"/>
            <w:vAlign w:val="bottom"/>
          </w:tcPr>
          <w:p w14:paraId="540678CE" w14:textId="77777777" w:rsidR="00611BDD" w:rsidRDefault="00611BDD">
            <w:pPr>
              <w:rPr>
                <w:rFonts w:ascii="宋体"/>
              </w:rPr>
            </w:pPr>
          </w:p>
        </w:tc>
        <w:tc>
          <w:tcPr>
            <w:tcW w:w="500" w:type="pct"/>
            <w:shd w:val="clear" w:color="auto" w:fill="auto"/>
            <w:vAlign w:val="bottom"/>
          </w:tcPr>
          <w:p w14:paraId="540678CF" w14:textId="77777777" w:rsidR="00611BDD" w:rsidRDefault="00611BDD">
            <w:pPr>
              <w:rPr>
                <w:rFonts w:ascii="宋体"/>
              </w:rPr>
            </w:pPr>
          </w:p>
        </w:tc>
        <w:tc>
          <w:tcPr>
            <w:tcW w:w="5" w:type="pct"/>
            <w:shd w:val="clear" w:color="auto" w:fill="auto"/>
            <w:vAlign w:val="bottom"/>
          </w:tcPr>
          <w:p w14:paraId="540678D0" w14:textId="77777777" w:rsidR="00611BDD" w:rsidRDefault="00611BDD">
            <w:pPr>
              <w:rPr>
                <w:rFonts w:ascii="宋体"/>
              </w:rPr>
            </w:pPr>
          </w:p>
        </w:tc>
        <w:tc>
          <w:tcPr>
            <w:tcW w:w="5" w:type="pct"/>
            <w:shd w:val="clear" w:color="auto" w:fill="auto"/>
            <w:vAlign w:val="bottom"/>
          </w:tcPr>
          <w:p w14:paraId="540678D1" w14:textId="77777777" w:rsidR="00611BDD" w:rsidRDefault="00611BDD">
            <w:pPr>
              <w:rPr>
                <w:rFonts w:ascii="宋体"/>
              </w:rPr>
            </w:pPr>
          </w:p>
        </w:tc>
        <w:tc>
          <w:tcPr>
            <w:tcW w:w="26" w:type="pct"/>
            <w:shd w:val="clear" w:color="auto" w:fill="auto"/>
            <w:vAlign w:val="bottom"/>
          </w:tcPr>
          <w:p w14:paraId="540678D2" w14:textId="77777777" w:rsidR="00611BDD" w:rsidRDefault="00611BDD">
            <w:pPr>
              <w:rPr>
                <w:rFonts w:ascii="宋体"/>
              </w:rPr>
            </w:pPr>
          </w:p>
        </w:tc>
        <w:tc>
          <w:tcPr>
            <w:tcW w:w="5" w:type="pct"/>
            <w:shd w:val="clear" w:color="auto" w:fill="auto"/>
            <w:vAlign w:val="bottom"/>
          </w:tcPr>
          <w:p w14:paraId="540678D3" w14:textId="77777777" w:rsidR="00611BDD" w:rsidRDefault="00611BDD">
            <w:pPr>
              <w:rPr>
                <w:rFonts w:ascii="宋体"/>
              </w:rPr>
            </w:pPr>
          </w:p>
        </w:tc>
        <w:tc>
          <w:tcPr>
            <w:tcW w:w="50" w:type="pct"/>
            <w:shd w:val="clear" w:color="auto" w:fill="auto"/>
            <w:vAlign w:val="bottom"/>
          </w:tcPr>
          <w:p w14:paraId="540678D4" w14:textId="77777777" w:rsidR="00611BDD" w:rsidRDefault="00611BDD">
            <w:pPr>
              <w:rPr>
                <w:rFonts w:ascii="宋体"/>
              </w:rPr>
            </w:pPr>
          </w:p>
        </w:tc>
        <w:tc>
          <w:tcPr>
            <w:tcW w:w="493" w:type="pct"/>
            <w:shd w:val="clear" w:color="auto" w:fill="auto"/>
            <w:vAlign w:val="bottom"/>
          </w:tcPr>
          <w:p w14:paraId="540678D5" w14:textId="77777777" w:rsidR="00611BDD" w:rsidRDefault="00611BDD">
            <w:pPr>
              <w:rPr>
                <w:rFonts w:ascii="宋体"/>
              </w:rPr>
            </w:pPr>
          </w:p>
        </w:tc>
        <w:tc>
          <w:tcPr>
            <w:tcW w:w="5" w:type="pct"/>
            <w:shd w:val="clear" w:color="auto" w:fill="auto"/>
            <w:vAlign w:val="bottom"/>
          </w:tcPr>
          <w:p w14:paraId="540678D6" w14:textId="77777777" w:rsidR="00611BDD" w:rsidRDefault="00611BDD">
            <w:pPr>
              <w:rPr>
                <w:rFonts w:ascii="宋体"/>
              </w:rPr>
            </w:pPr>
          </w:p>
        </w:tc>
        <w:tc>
          <w:tcPr>
            <w:tcW w:w="5" w:type="pct"/>
            <w:shd w:val="clear" w:color="auto" w:fill="auto"/>
            <w:vAlign w:val="bottom"/>
          </w:tcPr>
          <w:p w14:paraId="540678D7" w14:textId="77777777" w:rsidR="00611BDD" w:rsidRDefault="00611BDD">
            <w:pPr>
              <w:rPr>
                <w:rFonts w:ascii="宋体"/>
              </w:rPr>
            </w:pPr>
          </w:p>
        </w:tc>
        <w:tc>
          <w:tcPr>
            <w:tcW w:w="26" w:type="pct"/>
            <w:shd w:val="clear" w:color="auto" w:fill="auto"/>
            <w:vAlign w:val="bottom"/>
          </w:tcPr>
          <w:p w14:paraId="540678D8" w14:textId="77777777" w:rsidR="00611BDD" w:rsidRDefault="00611BDD">
            <w:pPr>
              <w:rPr>
                <w:rFonts w:ascii="宋体"/>
              </w:rPr>
            </w:pPr>
          </w:p>
        </w:tc>
        <w:tc>
          <w:tcPr>
            <w:tcW w:w="5" w:type="pct"/>
            <w:shd w:val="clear" w:color="auto" w:fill="auto"/>
            <w:vAlign w:val="bottom"/>
          </w:tcPr>
          <w:p w14:paraId="540678D9" w14:textId="77777777" w:rsidR="00611BDD" w:rsidRDefault="00611BDD">
            <w:pPr>
              <w:rPr>
                <w:rFonts w:ascii="宋体"/>
              </w:rPr>
            </w:pPr>
          </w:p>
        </w:tc>
        <w:tc>
          <w:tcPr>
            <w:tcW w:w="50" w:type="pct"/>
            <w:shd w:val="clear" w:color="auto" w:fill="auto"/>
            <w:vAlign w:val="bottom"/>
          </w:tcPr>
          <w:p w14:paraId="540678DA" w14:textId="77777777" w:rsidR="00611BDD" w:rsidRDefault="00611BDD">
            <w:pPr>
              <w:rPr>
                <w:rFonts w:ascii="宋体"/>
              </w:rPr>
            </w:pPr>
          </w:p>
        </w:tc>
        <w:tc>
          <w:tcPr>
            <w:tcW w:w="325" w:type="pct"/>
            <w:shd w:val="clear" w:color="auto" w:fill="auto"/>
            <w:vAlign w:val="bottom"/>
          </w:tcPr>
          <w:p w14:paraId="540678DB" w14:textId="77777777" w:rsidR="00611BDD" w:rsidRDefault="00611BDD">
            <w:pPr>
              <w:rPr>
                <w:rFonts w:ascii="宋体"/>
              </w:rPr>
            </w:pPr>
          </w:p>
        </w:tc>
        <w:tc>
          <w:tcPr>
            <w:tcW w:w="5" w:type="pct"/>
            <w:shd w:val="clear" w:color="auto" w:fill="auto"/>
            <w:vAlign w:val="bottom"/>
          </w:tcPr>
          <w:p w14:paraId="540678DC" w14:textId="77777777" w:rsidR="00611BDD" w:rsidRDefault="00611BDD">
            <w:pPr>
              <w:rPr>
                <w:rFonts w:ascii="宋体"/>
              </w:rPr>
            </w:pPr>
          </w:p>
        </w:tc>
        <w:tc>
          <w:tcPr>
            <w:tcW w:w="5" w:type="pct"/>
            <w:shd w:val="clear" w:color="auto" w:fill="auto"/>
            <w:vAlign w:val="bottom"/>
          </w:tcPr>
          <w:p w14:paraId="540678DD" w14:textId="77777777" w:rsidR="00611BDD" w:rsidRDefault="00611BDD">
            <w:pPr>
              <w:rPr>
                <w:rFonts w:ascii="宋体"/>
              </w:rPr>
            </w:pPr>
          </w:p>
        </w:tc>
        <w:tc>
          <w:tcPr>
            <w:tcW w:w="26" w:type="pct"/>
            <w:shd w:val="clear" w:color="auto" w:fill="auto"/>
            <w:vAlign w:val="bottom"/>
          </w:tcPr>
          <w:p w14:paraId="540678DE" w14:textId="77777777" w:rsidR="00611BDD" w:rsidRDefault="00611BDD">
            <w:pPr>
              <w:rPr>
                <w:rFonts w:ascii="宋体"/>
              </w:rPr>
            </w:pPr>
          </w:p>
        </w:tc>
        <w:tc>
          <w:tcPr>
            <w:tcW w:w="5" w:type="pct"/>
            <w:shd w:val="clear" w:color="auto" w:fill="auto"/>
            <w:vAlign w:val="bottom"/>
          </w:tcPr>
          <w:p w14:paraId="540678DF" w14:textId="77777777" w:rsidR="00611BDD" w:rsidRDefault="00611BDD">
            <w:pPr>
              <w:rPr>
                <w:rFonts w:ascii="宋体"/>
              </w:rPr>
            </w:pPr>
          </w:p>
        </w:tc>
        <w:tc>
          <w:tcPr>
            <w:tcW w:w="50" w:type="pct"/>
            <w:shd w:val="clear" w:color="auto" w:fill="auto"/>
            <w:vAlign w:val="bottom"/>
          </w:tcPr>
          <w:p w14:paraId="540678E0" w14:textId="77777777" w:rsidR="00611BDD" w:rsidRDefault="00611BDD">
            <w:pPr>
              <w:rPr>
                <w:rFonts w:ascii="宋体"/>
              </w:rPr>
            </w:pPr>
          </w:p>
        </w:tc>
        <w:tc>
          <w:tcPr>
            <w:tcW w:w="325" w:type="pct"/>
            <w:shd w:val="clear" w:color="auto" w:fill="auto"/>
            <w:vAlign w:val="bottom"/>
          </w:tcPr>
          <w:p w14:paraId="540678E1" w14:textId="77777777" w:rsidR="00611BDD" w:rsidRDefault="00611BDD">
            <w:pPr>
              <w:rPr>
                <w:rFonts w:ascii="宋体"/>
              </w:rPr>
            </w:pPr>
          </w:p>
        </w:tc>
        <w:tc>
          <w:tcPr>
            <w:tcW w:w="5" w:type="pct"/>
            <w:shd w:val="clear" w:color="auto" w:fill="auto"/>
            <w:vAlign w:val="bottom"/>
          </w:tcPr>
          <w:p w14:paraId="540678E2" w14:textId="77777777" w:rsidR="00611BDD" w:rsidRDefault="00611BDD">
            <w:pPr>
              <w:rPr>
                <w:rFonts w:ascii="宋体"/>
              </w:rPr>
            </w:pPr>
          </w:p>
        </w:tc>
      </w:tr>
      <w:tr w:rsidR="00611BDD" w14:paraId="540678E8" w14:textId="77777777">
        <w:tc>
          <w:tcPr>
            <w:tcW w:w="0" w:type="auto"/>
            <w:gridSpan w:val="3"/>
            <w:shd w:val="clear" w:color="auto" w:fill="auto"/>
            <w:tcMar>
              <w:top w:w="40" w:type="dxa"/>
              <w:left w:w="20" w:type="dxa"/>
              <w:bottom w:w="40" w:type="dxa"/>
              <w:right w:w="20" w:type="dxa"/>
            </w:tcMar>
            <w:vAlign w:val="center"/>
          </w:tcPr>
          <w:p w14:paraId="540678E4" w14:textId="77777777" w:rsidR="00611BDD" w:rsidRDefault="002E18C7">
            <w:pPr>
              <w:textAlignment w:val="center"/>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center"/>
          </w:tcPr>
          <w:p w14:paraId="540678E5" w14:textId="77777777" w:rsidR="00611BDD" w:rsidRDefault="002E18C7">
            <w:pPr>
              <w:jc w:val="center"/>
              <w:textAlignment w:val="center"/>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540678E6" w14:textId="77777777" w:rsidR="00611BDD" w:rsidRDefault="00611BDD">
            <w:pPr>
              <w:rPr>
                <w:rFonts w:ascii="宋体"/>
              </w:rPr>
            </w:pPr>
          </w:p>
        </w:tc>
        <w:tc>
          <w:tcPr>
            <w:tcW w:w="0" w:type="auto"/>
            <w:gridSpan w:val="21"/>
            <w:shd w:val="clear" w:color="auto" w:fill="auto"/>
            <w:tcMar>
              <w:top w:w="40" w:type="dxa"/>
              <w:left w:w="20" w:type="dxa"/>
              <w:bottom w:w="40" w:type="dxa"/>
              <w:right w:w="20" w:type="dxa"/>
            </w:tcMar>
            <w:vAlign w:val="center"/>
          </w:tcPr>
          <w:p w14:paraId="540678E7" w14:textId="77777777" w:rsidR="00611BDD" w:rsidRDefault="002E18C7">
            <w:pPr>
              <w:jc w:val="center"/>
              <w:textAlignment w:val="center"/>
            </w:pPr>
            <w:r>
              <w:rPr>
                <w:rFonts w:ascii="sans-serif" w:eastAsia="sans-serif" w:hAnsi="sans-serif" w:cs="sans-serif"/>
                <w:b/>
                <w:bCs/>
                <w:color w:val="000000"/>
                <w:sz w:val="20"/>
                <w:szCs w:val="20"/>
              </w:rPr>
              <w:t>Six Months Ended</w:t>
            </w:r>
          </w:p>
        </w:tc>
      </w:tr>
      <w:tr w:rsidR="00611BDD" w14:paraId="540678F9" w14:textId="77777777">
        <w:tc>
          <w:tcPr>
            <w:tcW w:w="0" w:type="auto"/>
            <w:gridSpan w:val="3"/>
            <w:shd w:val="clear" w:color="auto" w:fill="auto"/>
            <w:tcMar>
              <w:top w:w="40" w:type="dxa"/>
              <w:left w:w="20" w:type="dxa"/>
              <w:bottom w:w="40" w:type="dxa"/>
              <w:right w:w="20" w:type="dxa"/>
            </w:tcMar>
            <w:vAlign w:val="center"/>
          </w:tcPr>
          <w:p w14:paraId="540678E9" w14:textId="77777777" w:rsidR="00611BDD" w:rsidRDefault="002E18C7">
            <w:pPr>
              <w:textAlignment w:val="center"/>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40678EA" w14:textId="77777777" w:rsidR="00611BDD" w:rsidRDefault="002E18C7">
            <w:pPr>
              <w:jc w:val="center"/>
              <w:textAlignment w:val="center"/>
            </w:pPr>
            <w:r>
              <w:rPr>
                <w:rFonts w:ascii="sans-serif" w:eastAsia="sans-serif" w:hAnsi="sans-serif" w:cs="sans-serif"/>
                <w:b/>
                <w:bCs/>
                <w:color w:val="000000"/>
                <w:sz w:val="20"/>
                <w:szCs w:val="20"/>
              </w:rPr>
              <w:t>August 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8EB"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40678EC" w14:textId="77777777" w:rsidR="00611BDD" w:rsidRDefault="002E18C7">
            <w:pPr>
              <w:jc w:val="center"/>
              <w:textAlignment w:val="center"/>
            </w:pPr>
            <w:r>
              <w:rPr>
                <w:rFonts w:ascii="sans-serif" w:eastAsia="sans-serif" w:hAnsi="sans-serif" w:cs="sans-serif"/>
                <w:b/>
                <w:bCs/>
                <w:color w:val="000000"/>
                <w:sz w:val="20"/>
                <w:szCs w:val="20"/>
              </w:rPr>
              <w:t>July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8ED"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40678EE" w14:textId="77777777" w:rsidR="00611BDD" w:rsidRDefault="002E18C7">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8EF"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40678F0" w14:textId="77777777" w:rsidR="00611BDD" w:rsidRDefault="002E18C7">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shd w:val="clear" w:color="auto" w:fill="auto"/>
            <w:tcMar>
              <w:top w:w="0" w:type="dxa"/>
              <w:left w:w="20" w:type="dxa"/>
              <w:bottom w:w="0" w:type="dxa"/>
              <w:right w:w="20" w:type="dxa"/>
            </w:tcMar>
            <w:vAlign w:val="bottom"/>
          </w:tcPr>
          <w:p w14:paraId="540678F1"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40678F2" w14:textId="77777777" w:rsidR="00611BDD" w:rsidRDefault="002E18C7">
            <w:pPr>
              <w:jc w:val="center"/>
              <w:textAlignment w:val="center"/>
            </w:pPr>
            <w:r>
              <w:rPr>
                <w:rFonts w:ascii="sans-serif" w:eastAsia="sans-serif" w:hAnsi="sans-serif" w:cs="sans-serif"/>
                <w:b/>
                <w:bCs/>
                <w:color w:val="000000"/>
                <w:sz w:val="20"/>
                <w:szCs w:val="20"/>
              </w:rPr>
              <w:t>August 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8F3"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40678F4" w14:textId="77777777" w:rsidR="00611BDD" w:rsidRDefault="002E18C7">
            <w:pPr>
              <w:jc w:val="center"/>
              <w:textAlignment w:val="center"/>
            </w:pPr>
            <w:r>
              <w:rPr>
                <w:rFonts w:ascii="sans-serif" w:eastAsia="sans-serif" w:hAnsi="sans-serif" w:cs="sans-serif"/>
                <w:b/>
                <w:bCs/>
                <w:color w:val="000000"/>
                <w:sz w:val="20"/>
                <w:szCs w:val="20"/>
              </w:rPr>
              <w:t>July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8F5"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40678F6" w14:textId="77777777" w:rsidR="00611BDD" w:rsidRDefault="002E18C7">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8F7"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40678F8" w14:textId="77777777" w:rsidR="00611BDD" w:rsidRDefault="002E18C7">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r>
      <w:tr w:rsidR="00611BDD" w14:paraId="5406790A" w14:textId="77777777">
        <w:trPr>
          <w:trHeight w:val="60"/>
        </w:trPr>
        <w:tc>
          <w:tcPr>
            <w:tcW w:w="0" w:type="auto"/>
            <w:gridSpan w:val="3"/>
            <w:shd w:val="clear" w:color="auto" w:fill="auto"/>
            <w:tcMar>
              <w:top w:w="0" w:type="dxa"/>
              <w:left w:w="20" w:type="dxa"/>
              <w:bottom w:w="0" w:type="dxa"/>
              <w:right w:w="20" w:type="dxa"/>
            </w:tcMar>
            <w:vAlign w:val="bottom"/>
          </w:tcPr>
          <w:p w14:paraId="540678FA"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8FB"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8FC"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8FD"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8FE"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8FF"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900"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901"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902"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903"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904"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905"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906"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907"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908"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909" w14:textId="77777777" w:rsidR="00611BDD" w:rsidRDefault="00611BDD">
            <w:pPr>
              <w:rPr>
                <w:rFonts w:ascii="宋体"/>
              </w:rPr>
            </w:pPr>
          </w:p>
        </w:tc>
      </w:tr>
      <w:tr w:rsidR="00611BDD" w14:paraId="5406790D" w14:textId="77777777">
        <w:tc>
          <w:tcPr>
            <w:tcW w:w="0" w:type="auto"/>
            <w:gridSpan w:val="3"/>
            <w:shd w:val="clear" w:color="auto" w:fill="auto"/>
            <w:tcMar>
              <w:top w:w="40" w:type="dxa"/>
              <w:left w:w="20" w:type="dxa"/>
              <w:bottom w:w="40" w:type="dxa"/>
              <w:right w:w="20" w:type="dxa"/>
            </w:tcMar>
            <w:vAlign w:val="bottom"/>
          </w:tcPr>
          <w:p w14:paraId="5406790B" w14:textId="77777777" w:rsidR="00611BDD" w:rsidRDefault="002E18C7">
            <w:pPr>
              <w:textAlignment w:val="bottom"/>
            </w:pPr>
            <w:r>
              <w:rPr>
                <w:rFonts w:ascii="sans-serif" w:eastAsia="sans-serif" w:hAnsi="sans-serif" w:cs="sans-serif"/>
                <w:color w:val="000000"/>
                <w:sz w:val="20"/>
                <w:szCs w:val="20"/>
              </w:rPr>
              <w:t> </w:t>
            </w:r>
          </w:p>
        </w:tc>
        <w:tc>
          <w:tcPr>
            <w:tcW w:w="0" w:type="auto"/>
            <w:gridSpan w:val="45"/>
            <w:shd w:val="clear" w:color="auto" w:fill="auto"/>
            <w:tcMar>
              <w:top w:w="40" w:type="dxa"/>
              <w:left w:w="20" w:type="dxa"/>
              <w:bottom w:w="40" w:type="dxa"/>
              <w:right w:w="20" w:type="dxa"/>
            </w:tcMar>
            <w:vAlign w:val="bottom"/>
          </w:tcPr>
          <w:p w14:paraId="5406790C" w14:textId="77777777" w:rsidR="00611BDD" w:rsidRDefault="002E18C7">
            <w:pPr>
              <w:jc w:val="center"/>
              <w:textAlignment w:val="bottom"/>
            </w:pPr>
            <w:r>
              <w:rPr>
                <w:rFonts w:ascii="sans-serif" w:eastAsia="sans-serif" w:hAnsi="sans-serif" w:cs="sans-serif"/>
                <w:i/>
                <w:iCs/>
                <w:color w:val="000000"/>
                <w:sz w:val="20"/>
                <w:szCs w:val="20"/>
              </w:rPr>
              <w:t>($ in millions)</w:t>
            </w:r>
          </w:p>
        </w:tc>
      </w:tr>
      <w:tr w:rsidR="002E18C7" w14:paraId="5406792C" w14:textId="77777777">
        <w:tc>
          <w:tcPr>
            <w:tcW w:w="0" w:type="auto"/>
            <w:gridSpan w:val="3"/>
            <w:shd w:val="clear" w:color="auto" w:fill="E2EFD9"/>
            <w:tcMar>
              <w:top w:w="40" w:type="dxa"/>
              <w:left w:w="20" w:type="dxa"/>
              <w:bottom w:w="40" w:type="dxa"/>
              <w:right w:w="20" w:type="dxa"/>
            </w:tcMar>
            <w:vAlign w:val="bottom"/>
          </w:tcPr>
          <w:p w14:paraId="5406790E" w14:textId="77777777" w:rsidR="00611BDD" w:rsidRDefault="002E18C7">
            <w:pPr>
              <w:textAlignment w:val="bottom"/>
            </w:pPr>
            <w:r>
              <w:rPr>
                <w:rFonts w:ascii="sans-serif" w:eastAsia="sans-serif" w:hAnsi="sans-serif" w:cs="sans-serif"/>
                <w:color w:val="000000"/>
                <w:sz w:val="20"/>
                <w:szCs w:val="20"/>
              </w:rPr>
              <w:t>Research and development expenses</w:t>
            </w:r>
          </w:p>
        </w:tc>
        <w:tc>
          <w:tcPr>
            <w:tcW w:w="0" w:type="auto"/>
            <w:shd w:val="clear" w:color="auto" w:fill="E2EFD9"/>
            <w:tcMar>
              <w:top w:w="40" w:type="dxa"/>
              <w:left w:w="20" w:type="dxa"/>
              <w:bottom w:w="40" w:type="dxa"/>
              <w:right w:w="0" w:type="dxa"/>
            </w:tcMar>
            <w:vAlign w:val="bottom"/>
          </w:tcPr>
          <w:p w14:paraId="5406790F"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910" w14:textId="77777777" w:rsidR="00611BDD" w:rsidRDefault="002E18C7">
            <w:pPr>
              <w:jc w:val="right"/>
              <w:textAlignment w:val="bottom"/>
            </w:pPr>
            <w:r>
              <w:rPr>
                <w:rFonts w:ascii="sans-serif" w:eastAsia="sans-serif" w:hAnsi="sans-serif" w:cs="sans-serif"/>
                <w:color w:val="000000"/>
                <w:sz w:val="20"/>
                <w:szCs w:val="20"/>
              </w:rPr>
              <w:t>1,245 </w:t>
            </w:r>
          </w:p>
        </w:tc>
        <w:tc>
          <w:tcPr>
            <w:tcW w:w="0" w:type="auto"/>
            <w:shd w:val="clear" w:color="auto" w:fill="E2EFD9"/>
            <w:tcMar>
              <w:top w:w="40" w:type="dxa"/>
              <w:left w:w="0" w:type="dxa"/>
              <w:bottom w:w="40" w:type="dxa"/>
              <w:right w:w="20" w:type="dxa"/>
            </w:tcMar>
            <w:vAlign w:val="bottom"/>
          </w:tcPr>
          <w:p w14:paraId="54067911"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912"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913"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914" w14:textId="77777777" w:rsidR="00611BDD" w:rsidRDefault="002E18C7">
            <w:pPr>
              <w:jc w:val="right"/>
              <w:textAlignment w:val="bottom"/>
            </w:pPr>
            <w:r>
              <w:rPr>
                <w:rFonts w:ascii="sans-serif" w:eastAsia="sans-serif" w:hAnsi="sans-serif" w:cs="sans-serif"/>
                <w:color w:val="000000"/>
                <w:sz w:val="20"/>
                <w:szCs w:val="20"/>
              </w:rPr>
              <w:t>997 </w:t>
            </w:r>
          </w:p>
        </w:tc>
        <w:tc>
          <w:tcPr>
            <w:tcW w:w="0" w:type="auto"/>
            <w:shd w:val="clear" w:color="auto" w:fill="E2EFD9"/>
            <w:tcMar>
              <w:top w:w="40" w:type="dxa"/>
              <w:left w:w="0" w:type="dxa"/>
              <w:bottom w:w="40" w:type="dxa"/>
              <w:right w:w="20" w:type="dxa"/>
            </w:tcMar>
            <w:vAlign w:val="bottom"/>
          </w:tcPr>
          <w:p w14:paraId="54067915"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916"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917"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918" w14:textId="77777777" w:rsidR="00611BDD" w:rsidRDefault="002E18C7">
            <w:pPr>
              <w:jc w:val="right"/>
              <w:textAlignment w:val="bottom"/>
            </w:pPr>
            <w:r>
              <w:rPr>
                <w:rFonts w:ascii="sans-serif" w:eastAsia="sans-serif" w:hAnsi="sans-serif" w:cs="sans-serif"/>
                <w:color w:val="000000"/>
                <w:sz w:val="20"/>
                <w:szCs w:val="20"/>
              </w:rPr>
              <w:t>248 </w:t>
            </w:r>
          </w:p>
        </w:tc>
        <w:tc>
          <w:tcPr>
            <w:tcW w:w="0" w:type="auto"/>
            <w:shd w:val="clear" w:color="auto" w:fill="E2EFD9"/>
            <w:tcMar>
              <w:top w:w="40" w:type="dxa"/>
              <w:left w:w="0" w:type="dxa"/>
              <w:bottom w:w="40" w:type="dxa"/>
              <w:right w:w="20" w:type="dxa"/>
            </w:tcMar>
            <w:vAlign w:val="bottom"/>
          </w:tcPr>
          <w:p w14:paraId="54067919"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91A"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91B" w14:textId="77777777" w:rsidR="00611BDD" w:rsidRDefault="002E18C7">
            <w:pPr>
              <w:jc w:val="right"/>
              <w:textAlignment w:val="bottom"/>
            </w:pPr>
            <w:r>
              <w:rPr>
                <w:rFonts w:ascii="sans-serif" w:eastAsia="sans-serif" w:hAnsi="sans-serif" w:cs="sans-serif"/>
                <w:color w:val="000000"/>
                <w:sz w:val="20"/>
                <w:szCs w:val="20"/>
              </w:rPr>
              <w:t>25 </w:t>
            </w:r>
          </w:p>
        </w:tc>
        <w:tc>
          <w:tcPr>
            <w:tcW w:w="0" w:type="auto"/>
            <w:shd w:val="clear" w:color="auto" w:fill="E2EFD9"/>
            <w:tcMar>
              <w:top w:w="40" w:type="dxa"/>
              <w:left w:w="0" w:type="dxa"/>
              <w:bottom w:w="40" w:type="dxa"/>
              <w:right w:w="20" w:type="dxa"/>
            </w:tcMar>
            <w:vAlign w:val="bottom"/>
          </w:tcPr>
          <w:p w14:paraId="5406791C" w14:textId="77777777" w:rsidR="00611BDD" w:rsidRDefault="002E18C7">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406791D"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91E"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91F" w14:textId="77777777" w:rsidR="00611BDD" w:rsidRDefault="002E18C7">
            <w:pPr>
              <w:jc w:val="right"/>
              <w:textAlignment w:val="bottom"/>
            </w:pPr>
            <w:r>
              <w:rPr>
                <w:rFonts w:ascii="sans-serif" w:eastAsia="sans-serif" w:hAnsi="sans-serif" w:cs="sans-serif"/>
                <w:color w:val="000000"/>
                <w:sz w:val="20"/>
                <w:szCs w:val="20"/>
              </w:rPr>
              <w:t>2,398 </w:t>
            </w:r>
          </w:p>
        </w:tc>
        <w:tc>
          <w:tcPr>
            <w:tcW w:w="0" w:type="auto"/>
            <w:shd w:val="clear" w:color="auto" w:fill="E2EFD9"/>
            <w:tcMar>
              <w:top w:w="40" w:type="dxa"/>
              <w:left w:w="0" w:type="dxa"/>
              <w:bottom w:w="40" w:type="dxa"/>
              <w:right w:w="20" w:type="dxa"/>
            </w:tcMar>
            <w:vAlign w:val="bottom"/>
          </w:tcPr>
          <w:p w14:paraId="54067920"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921"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922"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923" w14:textId="77777777" w:rsidR="00611BDD" w:rsidRDefault="002E18C7">
            <w:pPr>
              <w:jc w:val="right"/>
              <w:textAlignment w:val="bottom"/>
            </w:pPr>
            <w:r>
              <w:rPr>
                <w:rFonts w:ascii="sans-serif" w:eastAsia="sans-serif" w:hAnsi="sans-serif" w:cs="sans-serif"/>
                <w:color w:val="000000"/>
                <w:sz w:val="20"/>
                <w:szCs w:val="20"/>
              </w:rPr>
              <w:t>1,732 </w:t>
            </w:r>
          </w:p>
        </w:tc>
        <w:tc>
          <w:tcPr>
            <w:tcW w:w="0" w:type="auto"/>
            <w:shd w:val="clear" w:color="auto" w:fill="E2EFD9"/>
            <w:tcMar>
              <w:top w:w="40" w:type="dxa"/>
              <w:left w:w="0" w:type="dxa"/>
              <w:bottom w:w="40" w:type="dxa"/>
              <w:right w:w="20" w:type="dxa"/>
            </w:tcMar>
            <w:vAlign w:val="bottom"/>
          </w:tcPr>
          <w:p w14:paraId="54067924"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925"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926"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927" w14:textId="77777777" w:rsidR="00611BDD" w:rsidRDefault="002E18C7">
            <w:pPr>
              <w:jc w:val="right"/>
              <w:textAlignment w:val="bottom"/>
            </w:pPr>
            <w:r>
              <w:rPr>
                <w:rFonts w:ascii="sans-serif" w:eastAsia="sans-serif" w:hAnsi="sans-serif" w:cs="sans-serif"/>
                <w:color w:val="000000"/>
                <w:sz w:val="20"/>
                <w:szCs w:val="20"/>
              </w:rPr>
              <w:t>666 </w:t>
            </w:r>
          </w:p>
        </w:tc>
        <w:tc>
          <w:tcPr>
            <w:tcW w:w="0" w:type="auto"/>
            <w:shd w:val="clear" w:color="auto" w:fill="E2EFD9"/>
            <w:tcMar>
              <w:top w:w="40" w:type="dxa"/>
              <w:left w:w="0" w:type="dxa"/>
              <w:bottom w:w="40" w:type="dxa"/>
              <w:right w:w="20" w:type="dxa"/>
            </w:tcMar>
            <w:vAlign w:val="bottom"/>
          </w:tcPr>
          <w:p w14:paraId="54067928"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929"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92A" w14:textId="77777777" w:rsidR="00611BDD" w:rsidRDefault="002E18C7">
            <w:pPr>
              <w:jc w:val="right"/>
              <w:textAlignment w:val="bottom"/>
            </w:pPr>
            <w:r>
              <w:rPr>
                <w:rFonts w:ascii="sans-serif" w:eastAsia="sans-serif" w:hAnsi="sans-serif" w:cs="sans-serif"/>
                <w:color w:val="000000"/>
                <w:sz w:val="20"/>
                <w:szCs w:val="20"/>
              </w:rPr>
              <w:t>38 </w:t>
            </w:r>
          </w:p>
        </w:tc>
        <w:tc>
          <w:tcPr>
            <w:tcW w:w="0" w:type="auto"/>
            <w:shd w:val="clear" w:color="auto" w:fill="E2EFD9"/>
            <w:tcMar>
              <w:top w:w="40" w:type="dxa"/>
              <w:left w:w="0" w:type="dxa"/>
              <w:bottom w:w="40" w:type="dxa"/>
              <w:right w:w="20" w:type="dxa"/>
            </w:tcMar>
            <w:vAlign w:val="bottom"/>
          </w:tcPr>
          <w:p w14:paraId="5406792B" w14:textId="77777777" w:rsidR="00611BDD" w:rsidRDefault="002E18C7">
            <w:pPr>
              <w:jc w:val="right"/>
              <w:textAlignment w:val="bottom"/>
            </w:pPr>
            <w:r>
              <w:rPr>
                <w:rFonts w:ascii="sans-serif" w:eastAsia="sans-serif" w:hAnsi="sans-serif" w:cs="sans-serif"/>
                <w:color w:val="000000"/>
                <w:sz w:val="20"/>
                <w:szCs w:val="20"/>
              </w:rPr>
              <w:t>%</w:t>
            </w:r>
          </w:p>
        </w:tc>
      </w:tr>
      <w:tr w:rsidR="00611BDD" w14:paraId="54067941" w14:textId="77777777">
        <w:tc>
          <w:tcPr>
            <w:tcW w:w="0" w:type="auto"/>
            <w:gridSpan w:val="3"/>
            <w:shd w:val="clear" w:color="auto" w:fill="FFFFFF"/>
            <w:tcMar>
              <w:top w:w="40" w:type="dxa"/>
              <w:left w:w="20" w:type="dxa"/>
              <w:bottom w:w="40" w:type="dxa"/>
              <w:right w:w="20" w:type="dxa"/>
            </w:tcMar>
            <w:vAlign w:val="bottom"/>
          </w:tcPr>
          <w:p w14:paraId="5406792D" w14:textId="77777777" w:rsidR="00611BDD" w:rsidRDefault="002E18C7">
            <w:pPr>
              <w:textAlignment w:val="bottom"/>
            </w:pPr>
            <w:r>
              <w:rPr>
                <w:rFonts w:ascii="sans-serif" w:eastAsia="sans-serif" w:hAnsi="sans-serif" w:cs="sans-serif"/>
                <w:i/>
                <w:iCs/>
                <w:color w:val="000000"/>
                <w:sz w:val="20"/>
                <w:szCs w:val="20"/>
              </w:rPr>
              <w:t>% of net revenue</w:t>
            </w:r>
          </w:p>
        </w:tc>
        <w:tc>
          <w:tcPr>
            <w:tcW w:w="0" w:type="auto"/>
            <w:gridSpan w:val="2"/>
            <w:shd w:val="clear" w:color="auto" w:fill="FFFFFF"/>
            <w:tcMar>
              <w:top w:w="40" w:type="dxa"/>
              <w:left w:w="20" w:type="dxa"/>
              <w:bottom w:w="40" w:type="dxa"/>
              <w:right w:w="0" w:type="dxa"/>
            </w:tcMar>
            <w:vAlign w:val="bottom"/>
          </w:tcPr>
          <w:p w14:paraId="5406792E" w14:textId="77777777" w:rsidR="00611BDD" w:rsidRDefault="002E18C7">
            <w:pPr>
              <w:jc w:val="right"/>
              <w:textAlignment w:val="bottom"/>
            </w:pPr>
            <w:r>
              <w:rPr>
                <w:rFonts w:ascii="sans-serif" w:eastAsia="sans-serif" w:hAnsi="sans-serif" w:cs="sans-serif"/>
                <w:i/>
                <w:iCs/>
                <w:color w:val="000000"/>
                <w:sz w:val="20"/>
                <w:szCs w:val="20"/>
              </w:rPr>
              <w:t>19 </w:t>
            </w:r>
          </w:p>
        </w:tc>
        <w:tc>
          <w:tcPr>
            <w:tcW w:w="0" w:type="auto"/>
            <w:shd w:val="clear" w:color="auto" w:fill="FFFFFF"/>
            <w:tcMar>
              <w:top w:w="40" w:type="dxa"/>
              <w:left w:w="0" w:type="dxa"/>
              <w:bottom w:w="40" w:type="dxa"/>
              <w:right w:w="20" w:type="dxa"/>
            </w:tcMar>
            <w:vAlign w:val="bottom"/>
          </w:tcPr>
          <w:p w14:paraId="5406792F" w14:textId="77777777" w:rsidR="00611BDD" w:rsidRDefault="002E18C7">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4067930"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931" w14:textId="77777777" w:rsidR="00611BDD" w:rsidRDefault="002E18C7">
            <w:pPr>
              <w:jc w:val="right"/>
              <w:textAlignment w:val="bottom"/>
            </w:pPr>
            <w:r>
              <w:rPr>
                <w:rFonts w:ascii="sans-serif" w:eastAsia="sans-serif" w:hAnsi="sans-serif" w:cs="sans-serif"/>
                <w:i/>
                <w:iCs/>
                <w:color w:val="000000"/>
                <w:sz w:val="20"/>
                <w:szCs w:val="20"/>
              </w:rPr>
              <w:t>26 </w:t>
            </w:r>
          </w:p>
        </w:tc>
        <w:tc>
          <w:tcPr>
            <w:tcW w:w="0" w:type="auto"/>
            <w:shd w:val="clear" w:color="auto" w:fill="FFFFFF"/>
            <w:tcMar>
              <w:top w:w="40" w:type="dxa"/>
              <w:left w:w="0" w:type="dxa"/>
              <w:bottom w:w="40" w:type="dxa"/>
              <w:right w:w="20" w:type="dxa"/>
            </w:tcMar>
            <w:vAlign w:val="bottom"/>
          </w:tcPr>
          <w:p w14:paraId="54067932" w14:textId="77777777" w:rsidR="00611BDD" w:rsidRDefault="002E18C7">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4067933"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934"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935"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936"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937"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938" w14:textId="77777777" w:rsidR="00611BDD" w:rsidRDefault="002E18C7">
            <w:pPr>
              <w:jc w:val="right"/>
              <w:textAlignment w:val="bottom"/>
            </w:pPr>
            <w:r>
              <w:rPr>
                <w:rFonts w:ascii="sans-serif" w:eastAsia="sans-serif" w:hAnsi="sans-serif" w:cs="sans-serif"/>
                <w:i/>
                <w:iCs/>
                <w:color w:val="000000"/>
                <w:sz w:val="20"/>
                <w:szCs w:val="20"/>
              </w:rPr>
              <w:t>20 </w:t>
            </w:r>
          </w:p>
        </w:tc>
        <w:tc>
          <w:tcPr>
            <w:tcW w:w="0" w:type="auto"/>
            <w:shd w:val="clear" w:color="auto" w:fill="FFFFFF"/>
            <w:tcMar>
              <w:top w:w="40" w:type="dxa"/>
              <w:left w:w="0" w:type="dxa"/>
              <w:bottom w:w="40" w:type="dxa"/>
              <w:right w:w="20" w:type="dxa"/>
            </w:tcMar>
            <w:vAlign w:val="bottom"/>
          </w:tcPr>
          <w:p w14:paraId="54067939" w14:textId="77777777" w:rsidR="00611BDD" w:rsidRDefault="002E18C7">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406793A"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93B" w14:textId="77777777" w:rsidR="00611BDD" w:rsidRDefault="002E18C7">
            <w:pPr>
              <w:jc w:val="right"/>
              <w:textAlignment w:val="bottom"/>
            </w:pPr>
            <w:r>
              <w:rPr>
                <w:rFonts w:ascii="sans-serif" w:eastAsia="sans-serif" w:hAnsi="sans-serif" w:cs="sans-serif"/>
                <w:i/>
                <w:iCs/>
                <w:color w:val="000000"/>
                <w:sz w:val="20"/>
                <w:szCs w:val="20"/>
              </w:rPr>
              <w:t>25 </w:t>
            </w:r>
          </w:p>
        </w:tc>
        <w:tc>
          <w:tcPr>
            <w:tcW w:w="0" w:type="auto"/>
            <w:shd w:val="clear" w:color="auto" w:fill="FFFFFF"/>
            <w:tcMar>
              <w:top w:w="40" w:type="dxa"/>
              <w:left w:w="0" w:type="dxa"/>
              <w:bottom w:w="40" w:type="dxa"/>
              <w:right w:w="20" w:type="dxa"/>
            </w:tcMar>
            <w:vAlign w:val="bottom"/>
          </w:tcPr>
          <w:p w14:paraId="5406793C" w14:textId="77777777" w:rsidR="00611BDD" w:rsidRDefault="002E18C7">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406793D"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93E"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93F"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940" w14:textId="77777777" w:rsidR="00611BDD" w:rsidRDefault="00611BDD">
            <w:pPr>
              <w:rPr>
                <w:rFonts w:ascii="宋体"/>
              </w:rPr>
            </w:pPr>
          </w:p>
        </w:tc>
      </w:tr>
      <w:tr w:rsidR="00611BDD" w14:paraId="5406795A" w14:textId="77777777">
        <w:tc>
          <w:tcPr>
            <w:tcW w:w="0" w:type="auto"/>
            <w:gridSpan w:val="3"/>
            <w:shd w:val="clear" w:color="auto" w:fill="E2EFD9"/>
            <w:tcMar>
              <w:top w:w="40" w:type="dxa"/>
              <w:left w:w="20" w:type="dxa"/>
              <w:bottom w:w="40" w:type="dxa"/>
              <w:right w:w="20" w:type="dxa"/>
            </w:tcMar>
            <w:vAlign w:val="bottom"/>
          </w:tcPr>
          <w:p w14:paraId="54067942" w14:textId="77777777" w:rsidR="00611BDD" w:rsidRDefault="002E18C7">
            <w:pPr>
              <w:textAlignment w:val="bottom"/>
            </w:pPr>
            <w:r>
              <w:rPr>
                <w:rFonts w:ascii="sans-serif" w:eastAsia="sans-serif" w:hAnsi="sans-serif" w:cs="sans-serif"/>
                <w:color w:val="000000"/>
                <w:sz w:val="20"/>
                <w:szCs w:val="20"/>
              </w:rPr>
              <w:t>Sales, general and administrative expenses</w:t>
            </w:r>
          </w:p>
        </w:tc>
        <w:tc>
          <w:tcPr>
            <w:tcW w:w="0" w:type="auto"/>
            <w:gridSpan w:val="2"/>
            <w:shd w:val="clear" w:color="auto" w:fill="E2EFD9"/>
            <w:tcMar>
              <w:top w:w="40" w:type="dxa"/>
              <w:left w:w="20" w:type="dxa"/>
              <w:bottom w:w="40" w:type="dxa"/>
              <w:right w:w="0" w:type="dxa"/>
            </w:tcMar>
            <w:vAlign w:val="bottom"/>
          </w:tcPr>
          <w:p w14:paraId="54067943" w14:textId="77777777" w:rsidR="00611BDD" w:rsidRDefault="002E18C7">
            <w:pPr>
              <w:jc w:val="right"/>
              <w:textAlignment w:val="bottom"/>
            </w:pPr>
            <w:r>
              <w:rPr>
                <w:rFonts w:ascii="sans-serif" w:eastAsia="sans-serif" w:hAnsi="sans-serif" w:cs="sans-serif"/>
                <w:color w:val="000000"/>
                <w:sz w:val="20"/>
                <w:szCs w:val="20"/>
              </w:rPr>
              <w:t>526 </w:t>
            </w:r>
          </w:p>
        </w:tc>
        <w:tc>
          <w:tcPr>
            <w:tcW w:w="0" w:type="auto"/>
            <w:shd w:val="clear" w:color="auto" w:fill="E2EFD9"/>
            <w:tcMar>
              <w:top w:w="40" w:type="dxa"/>
              <w:left w:w="0" w:type="dxa"/>
              <w:bottom w:w="40" w:type="dxa"/>
              <w:right w:w="20" w:type="dxa"/>
            </w:tcMar>
            <w:vAlign w:val="bottom"/>
          </w:tcPr>
          <w:p w14:paraId="54067944"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945"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946" w14:textId="77777777" w:rsidR="00611BDD" w:rsidRDefault="002E18C7">
            <w:pPr>
              <w:jc w:val="right"/>
              <w:textAlignment w:val="bottom"/>
            </w:pPr>
            <w:r>
              <w:rPr>
                <w:rFonts w:ascii="sans-serif" w:eastAsia="sans-serif" w:hAnsi="sans-serif" w:cs="sans-serif"/>
                <w:color w:val="000000"/>
                <w:sz w:val="20"/>
                <w:szCs w:val="20"/>
              </w:rPr>
              <w:t>627 </w:t>
            </w:r>
          </w:p>
        </w:tc>
        <w:tc>
          <w:tcPr>
            <w:tcW w:w="0" w:type="auto"/>
            <w:shd w:val="clear" w:color="auto" w:fill="E2EFD9"/>
            <w:tcMar>
              <w:top w:w="40" w:type="dxa"/>
              <w:left w:w="0" w:type="dxa"/>
              <w:bottom w:w="40" w:type="dxa"/>
              <w:right w:w="20" w:type="dxa"/>
            </w:tcMar>
            <w:vAlign w:val="bottom"/>
          </w:tcPr>
          <w:p w14:paraId="54067947"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948"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949" w14:textId="77777777" w:rsidR="00611BDD" w:rsidRDefault="002E18C7">
            <w:pPr>
              <w:jc w:val="right"/>
              <w:textAlignment w:val="bottom"/>
            </w:pPr>
            <w:r>
              <w:rPr>
                <w:rFonts w:ascii="sans-serif" w:eastAsia="sans-serif" w:hAnsi="sans-serif" w:cs="sans-serif"/>
                <w:color w:val="000000"/>
                <w:sz w:val="20"/>
                <w:szCs w:val="20"/>
              </w:rPr>
              <w:t>(101)</w:t>
            </w:r>
          </w:p>
        </w:tc>
        <w:tc>
          <w:tcPr>
            <w:tcW w:w="0" w:type="auto"/>
            <w:shd w:val="clear" w:color="auto" w:fill="E2EFD9"/>
            <w:tcMar>
              <w:top w:w="40" w:type="dxa"/>
              <w:left w:w="0" w:type="dxa"/>
              <w:bottom w:w="40" w:type="dxa"/>
              <w:right w:w="20" w:type="dxa"/>
            </w:tcMar>
            <w:vAlign w:val="bottom"/>
          </w:tcPr>
          <w:p w14:paraId="5406794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94B"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94C" w14:textId="77777777" w:rsidR="00611BDD" w:rsidRDefault="002E18C7">
            <w:pPr>
              <w:jc w:val="right"/>
              <w:textAlignment w:val="bottom"/>
            </w:pPr>
            <w:r>
              <w:rPr>
                <w:rFonts w:ascii="sans-serif" w:eastAsia="sans-serif" w:hAnsi="sans-serif" w:cs="sans-serif"/>
                <w:color w:val="000000"/>
                <w:sz w:val="20"/>
                <w:szCs w:val="20"/>
              </w:rPr>
              <w:t>(16)</w:t>
            </w:r>
          </w:p>
        </w:tc>
        <w:tc>
          <w:tcPr>
            <w:tcW w:w="0" w:type="auto"/>
            <w:shd w:val="clear" w:color="auto" w:fill="E2EFD9"/>
            <w:tcMar>
              <w:top w:w="40" w:type="dxa"/>
              <w:left w:w="0" w:type="dxa"/>
              <w:bottom w:w="40" w:type="dxa"/>
              <w:right w:w="20" w:type="dxa"/>
            </w:tcMar>
            <w:vAlign w:val="bottom"/>
          </w:tcPr>
          <w:p w14:paraId="5406794D" w14:textId="77777777" w:rsidR="00611BDD" w:rsidRDefault="002E18C7">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406794E"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94F" w14:textId="77777777" w:rsidR="00611BDD" w:rsidRDefault="002E18C7">
            <w:pPr>
              <w:jc w:val="right"/>
              <w:textAlignment w:val="bottom"/>
            </w:pPr>
            <w:r>
              <w:rPr>
                <w:rFonts w:ascii="sans-serif" w:eastAsia="sans-serif" w:hAnsi="sans-serif" w:cs="sans-serif"/>
                <w:color w:val="000000"/>
                <w:sz w:val="20"/>
                <w:szCs w:val="20"/>
              </w:rPr>
              <w:t>1,046 </w:t>
            </w:r>
          </w:p>
        </w:tc>
        <w:tc>
          <w:tcPr>
            <w:tcW w:w="0" w:type="auto"/>
            <w:shd w:val="clear" w:color="auto" w:fill="E2EFD9"/>
            <w:tcMar>
              <w:top w:w="40" w:type="dxa"/>
              <w:left w:w="0" w:type="dxa"/>
              <w:bottom w:w="40" w:type="dxa"/>
              <w:right w:w="20" w:type="dxa"/>
            </w:tcMar>
            <w:vAlign w:val="bottom"/>
          </w:tcPr>
          <w:p w14:paraId="54067950"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951"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952" w14:textId="77777777" w:rsidR="00611BDD" w:rsidRDefault="002E18C7">
            <w:pPr>
              <w:jc w:val="right"/>
              <w:textAlignment w:val="bottom"/>
            </w:pPr>
            <w:r>
              <w:rPr>
                <w:rFonts w:ascii="sans-serif" w:eastAsia="sans-serif" w:hAnsi="sans-serif" w:cs="sans-serif"/>
                <w:color w:val="000000"/>
                <w:sz w:val="20"/>
                <w:szCs w:val="20"/>
              </w:rPr>
              <w:t>920 </w:t>
            </w:r>
          </w:p>
        </w:tc>
        <w:tc>
          <w:tcPr>
            <w:tcW w:w="0" w:type="auto"/>
            <w:shd w:val="clear" w:color="auto" w:fill="E2EFD9"/>
            <w:tcMar>
              <w:top w:w="40" w:type="dxa"/>
              <w:left w:w="0" w:type="dxa"/>
              <w:bottom w:w="40" w:type="dxa"/>
              <w:right w:w="20" w:type="dxa"/>
            </w:tcMar>
            <w:vAlign w:val="bottom"/>
          </w:tcPr>
          <w:p w14:paraId="5406795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954"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955" w14:textId="77777777" w:rsidR="00611BDD" w:rsidRDefault="002E18C7">
            <w:pPr>
              <w:jc w:val="right"/>
              <w:textAlignment w:val="bottom"/>
            </w:pPr>
            <w:r>
              <w:rPr>
                <w:rFonts w:ascii="sans-serif" w:eastAsia="sans-serif" w:hAnsi="sans-serif" w:cs="sans-serif"/>
                <w:color w:val="000000"/>
                <w:sz w:val="20"/>
                <w:szCs w:val="20"/>
              </w:rPr>
              <w:t>126 </w:t>
            </w:r>
          </w:p>
        </w:tc>
        <w:tc>
          <w:tcPr>
            <w:tcW w:w="0" w:type="auto"/>
            <w:shd w:val="clear" w:color="auto" w:fill="E2EFD9"/>
            <w:tcMar>
              <w:top w:w="40" w:type="dxa"/>
              <w:left w:w="0" w:type="dxa"/>
              <w:bottom w:w="40" w:type="dxa"/>
              <w:right w:w="20" w:type="dxa"/>
            </w:tcMar>
            <w:vAlign w:val="bottom"/>
          </w:tcPr>
          <w:p w14:paraId="5406795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957" w14:textId="77777777" w:rsidR="00611BDD" w:rsidRDefault="00611BDD">
            <w:pPr>
              <w:rPr>
                <w:rFonts w:ascii="宋体"/>
              </w:rPr>
            </w:pPr>
          </w:p>
        </w:tc>
        <w:tc>
          <w:tcPr>
            <w:tcW w:w="0" w:type="auto"/>
            <w:gridSpan w:val="2"/>
            <w:shd w:val="clear" w:color="auto" w:fill="E2EFD9"/>
            <w:tcMar>
              <w:top w:w="40" w:type="dxa"/>
              <w:left w:w="20" w:type="dxa"/>
              <w:bottom w:w="40" w:type="dxa"/>
              <w:right w:w="0" w:type="dxa"/>
            </w:tcMar>
            <w:vAlign w:val="bottom"/>
          </w:tcPr>
          <w:p w14:paraId="54067958" w14:textId="77777777" w:rsidR="00611BDD" w:rsidRDefault="002E18C7">
            <w:pPr>
              <w:jc w:val="right"/>
              <w:textAlignment w:val="bottom"/>
            </w:pPr>
            <w:r>
              <w:rPr>
                <w:rFonts w:ascii="sans-serif" w:eastAsia="sans-serif" w:hAnsi="sans-serif" w:cs="sans-serif"/>
                <w:color w:val="000000"/>
                <w:sz w:val="20"/>
                <w:szCs w:val="20"/>
              </w:rPr>
              <w:t>14 </w:t>
            </w:r>
          </w:p>
        </w:tc>
        <w:tc>
          <w:tcPr>
            <w:tcW w:w="0" w:type="auto"/>
            <w:shd w:val="clear" w:color="auto" w:fill="E2EFD9"/>
            <w:tcMar>
              <w:top w:w="40" w:type="dxa"/>
              <w:left w:w="0" w:type="dxa"/>
              <w:bottom w:w="40" w:type="dxa"/>
              <w:right w:w="20" w:type="dxa"/>
            </w:tcMar>
            <w:vAlign w:val="bottom"/>
          </w:tcPr>
          <w:p w14:paraId="54067959" w14:textId="77777777" w:rsidR="00611BDD" w:rsidRDefault="002E18C7">
            <w:pPr>
              <w:jc w:val="right"/>
              <w:textAlignment w:val="bottom"/>
            </w:pPr>
            <w:r>
              <w:rPr>
                <w:rFonts w:ascii="sans-serif" w:eastAsia="sans-serif" w:hAnsi="sans-serif" w:cs="sans-serif"/>
                <w:color w:val="000000"/>
                <w:sz w:val="20"/>
                <w:szCs w:val="20"/>
              </w:rPr>
              <w:t>%</w:t>
            </w:r>
          </w:p>
        </w:tc>
      </w:tr>
      <w:tr w:rsidR="00611BDD" w14:paraId="5406796F" w14:textId="77777777">
        <w:tc>
          <w:tcPr>
            <w:tcW w:w="0" w:type="auto"/>
            <w:gridSpan w:val="3"/>
            <w:shd w:val="clear" w:color="auto" w:fill="FFFFFF"/>
            <w:tcMar>
              <w:top w:w="40" w:type="dxa"/>
              <w:left w:w="20" w:type="dxa"/>
              <w:bottom w:w="40" w:type="dxa"/>
              <w:right w:w="20" w:type="dxa"/>
            </w:tcMar>
            <w:vAlign w:val="bottom"/>
          </w:tcPr>
          <w:p w14:paraId="5406795B" w14:textId="77777777" w:rsidR="00611BDD" w:rsidRDefault="002E18C7">
            <w:pPr>
              <w:textAlignment w:val="bottom"/>
            </w:pPr>
            <w:r>
              <w:rPr>
                <w:rFonts w:ascii="sans-serif" w:eastAsia="sans-serif" w:hAnsi="sans-serif" w:cs="sans-serif"/>
                <w:i/>
                <w:iCs/>
                <w:color w:val="000000"/>
                <w:sz w:val="20"/>
                <w:szCs w:val="20"/>
              </w:rPr>
              <w:t>% of net revenue</w:t>
            </w:r>
          </w:p>
        </w:tc>
        <w:tc>
          <w:tcPr>
            <w:tcW w:w="0" w:type="auto"/>
            <w:gridSpan w:val="2"/>
            <w:shd w:val="clear" w:color="auto" w:fill="FFFFFF"/>
            <w:tcMar>
              <w:top w:w="40" w:type="dxa"/>
              <w:left w:w="20" w:type="dxa"/>
              <w:bottom w:w="40" w:type="dxa"/>
              <w:right w:w="0" w:type="dxa"/>
            </w:tcMar>
            <w:vAlign w:val="bottom"/>
          </w:tcPr>
          <w:p w14:paraId="5406795C" w14:textId="77777777" w:rsidR="00611BDD" w:rsidRDefault="002E18C7">
            <w:pPr>
              <w:jc w:val="right"/>
              <w:textAlignment w:val="bottom"/>
            </w:pPr>
            <w:r>
              <w:rPr>
                <w:rFonts w:ascii="sans-serif" w:eastAsia="sans-serif" w:hAnsi="sans-serif" w:cs="sans-serif"/>
                <w:i/>
                <w:iCs/>
                <w:color w:val="000000"/>
                <w:sz w:val="20"/>
                <w:szCs w:val="20"/>
              </w:rPr>
              <w:t>8 </w:t>
            </w:r>
          </w:p>
        </w:tc>
        <w:tc>
          <w:tcPr>
            <w:tcW w:w="0" w:type="auto"/>
            <w:shd w:val="clear" w:color="auto" w:fill="FFFFFF"/>
            <w:tcMar>
              <w:top w:w="40" w:type="dxa"/>
              <w:left w:w="0" w:type="dxa"/>
              <w:bottom w:w="40" w:type="dxa"/>
              <w:right w:w="20" w:type="dxa"/>
            </w:tcMar>
            <w:vAlign w:val="bottom"/>
          </w:tcPr>
          <w:p w14:paraId="5406795D" w14:textId="77777777" w:rsidR="00611BDD" w:rsidRDefault="002E18C7">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406795E"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95F" w14:textId="77777777" w:rsidR="00611BDD" w:rsidRDefault="002E18C7">
            <w:pPr>
              <w:jc w:val="right"/>
              <w:textAlignment w:val="bottom"/>
            </w:pPr>
            <w:r>
              <w:rPr>
                <w:rFonts w:ascii="sans-serif" w:eastAsia="sans-serif" w:hAnsi="sans-serif" w:cs="sans-serif"/>
                <w:i/>
                <w:iCs/>
                <w:color w:val="000000"/>
                <w:sz w:val="20"/>
                <w:szCs w:val="20"/>
              </w:rPr>
              <w:t>16 </w:t>
            </w:r>
          </w:p>
        </w:tc>
        <w:tc>
          <w:tcPr>
            <w:tcW w:w="0" w:type="auto"/>
            <w:shd w:val="clear" w:color="auto" w:fill="FFFFFF"/>
            <w:tcMar>
              <w:top w:w="40" w:type="dxa"/>
              <w:left w:w="0" w:type="dxa"/>
              <w:bottom w:w="40" w:type="dxa"/>
              <w:right w:w="20" w:type="dxa"/>
            </w:tcMar>
            <w:vAlign w:val="bottom"/>
          </w:tcPr>
          <w:p w14:paraId="54067960" w14:textId="77777777" w:rsidR="00611BDD" w:rsidRDefault="002E18C7">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4067961"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962"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963"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964"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965"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966" w14:textId="77777777" w:rsidR="00611BDD" w:rsidRDefault="002E18C7">
            <w:pPr>
              <w:jc w:val="right"/>
              <w:textAlignment w:val="bottom"/>
            </w:pPr>
            <w:r>
              <w:rPr>
                <w:rFonts w:ascii="sans-serif" w:eastAsia="sans-serif" w:hAnsi="sans-serif" w:cs="sans-serif"/>
                <w:i/>
                <w:iCs/>
                <w:color w:val="000000"/>
                <w:sz w:val="20"/>
                <w:szCs w:val="20"/>
              </w:rPr>
              <w:t>9 </w:t>
            </w:r>
          </w:p>
        </w:tc>
        <w:tc>
          <w:tcPr>
            <w:tcW w:w="0" w:type="auto"/>
            <w:shd w:val="clear" w:color="auto" w:fill="FFFFFF"/>
            <w:tcMar>
              <w:top w:w="40" w:type="dxa"/>
              <w:left w:w="0" w:type="dxa"/>
              <w:bottom w:w="40" w:type="dxa"/>
              <w:right w:w="20" w:type="dxa"/>
            </w:tcMar>
            <w:vAlign w:val="bottom"/>
          </w:tcPr>
          <w:p w14:paraId="54067967" w14:textId="77777777" w:rsidR="00611BDD" w:rsidRDefault="002E18C7">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4067968"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969" w14:textId="77777777" w:rsidR="00611BDD" w:rsidRDefault="002E18C7">
            <w:pPr>
              <w:jc w:val="right"/>
              <w:textAlignment w:val="bottom"/>
            </w:pPr>
            <w:r>
              <w:rPr>
                <w:rFonts w:ascii="sans-serif" w:eastAsia="sans-serif" w:hAnsi="sans-serif" w:cs="sans-serif"/>
                <w:i/>
                <w:iCs/>
                <w:color w:val="000000"/>
                <w:sz w:val="20"/>
                <w:szCs w:val="20"/>
              </w:rPr>
              <w:t>13 </w:t>
            </w:r>
          </w:p>
        </w:tc>
        <w:tc>
          <w:tcPr>
            <w:tcW w:w="0" w:type="auto"/>
            <w:shd w:val="clear" w:color="auto" w:fill="FFFFFF"/>
            <w:tcMar>
              <w:top w:w="40" w:type="dxa"/>
              <w:left w:w="0" w:type="dxa"/>
              <w:bottom w:w="40" w:type="dxa"/>
              <w:right w:w="20" w:type="dxa"/>
            </w:tcMar>
            <w:vAlign w:val="bottom"/>
          </w:tcPr>
          <w:p w14:paraId="5406796A" w14:textId="77777777" w:rsidR="00611BDD" w:rsidRDefault="002E18C7">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406796B"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96C"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96D" w14:textId="77777777" w:rsidR="00611BDD" w:rsidRDefault="00611BDD">
            <w:pPr>
              <w:rPr>
                <w:rFonts w:ascii="宋体"/>
              </w:rPr>
            </w:pPr>
          </w:p>
        </w:tc>
        <w:tc>
          <w:tcPr>
            <w:tcW w:w="0" w:type="auto"/>
            <w:gridSpan w:val="3"/>
            <w:shd w:val="clear" w:color="auto" w:fill="FFFFFF"/>
            <w:tcMar>
              <w:top w:w="0" w:type="dxa"/>
              <w:left w:w="20" w:type="dxa"/>
              <w:bottom w:w="0" w:type="dxa"/>
              <w:right w:w="20" w:type="dxa"/>
            </w:tcMar>
            <w:vAlign w:val="bottom"/>
          </w:tcPr>
          <w:p w14:paraId="5406796E" w14:textId="77777777" w:rsidR="00611BDD" w:rsidRDefault="00611BDD">
            <w:pPr>
              <w:rPr>
                <w:rFonts w:ascii="宋体"/>
              </w:rPr>
            </w:pPr>
          </w:p>
        </w:tc>
      </w:tr>
      <w:tr w:rsidR="002E18C7" w14:paraId="5406798E" w14:textId="77777777">
        <w:tc>
          <w:tcPr>
            <w:tcW w:w="0" w:type="auto"/>
            <w:gridSpan w:val="3"/>
            <w:shd w:val="clear" w:color="auto" w:fill="E2EFD9"/>
            <w:tcMar>
              <w:top w:w="40" w:type="dxa"/>
              <w:left w:w="155" w:type="dxa"/>
              <w:bottom w:w="40" w:type="dxa"/>
              <w:right w:w="20" w:type="dxa"/>
            </w:tcMar>
            <w:vAlign w:val="bottom"/>
          </w:tcPr>
          <w:p w14:paraId="54067970" w14:textId="77777777" w:rsidR="00611BDD" w:rsidRDefault="002E18C7">
            <w:pPr>
              <w:textAlignment w:val="bottom"/>
            </w:pPr>
            <w:r>
              <w:rPr>
                <w:rFonts w:ascii="sans-serif" w:eastAsia="sans-serif" w:hAnsi="sans-serif" w:cs="sans-serif"/>
                <w:color w:val="000000"/>
                <w:sz w:val="20"/>
                <w:szCs w:val="20"/>
              </w:rPr>
              <w:t>Total operating expenses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971"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972" w14:textId="77777777" w:rsidR="00611BDD" w:rsidRDefault="002E18C7">
            <w:pPr>
              <w:jc w:val="right"/>
              <w:textAlignment w:val="bottom"/>
            </w:pPr>
            <w:r>
              <w:rPr>
                <w:rFonts w:ascii="sans-serif" w:eastAsia="sans-serif" w:hAnsi="sans-serif" w:cs="sans-serif"/>
                <w:color w:val="000000"/>
                <w:sz w:val="20"/>
                <w:szCs w:val="20"/>
              </w:rPr>
              <w:t>1,771 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973"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974"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975"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976" w14:textId="77777777" w:rsidR="00611BDD" w:rsidRDefault="002E18C7">
            <w:pPr>
              <w:jc w:val="right"/>
              <w:textAlignment w:val="bottom"/>
            </w:pPr>
            <w:r>
              <w:rPr>
                <w:rFonts w:ascii="sans-serif" w:eastAsia="sans-serif" w:hAnsi="sans-serif" w:cs="sans-serif"/>
                <w:color w:val="000000"/>
                <w:sz w:val="20"/>
                <w:szCs w:val="20"/>
              </w:rPr>
              <w:t>1,624 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977"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978"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979"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97A" w14:textId="77777777" w:rsidR="00611BDD" w:rsidRDefault="002E18C7">
            <w:pPr>
              <w:jc w:val="right"/>
              <w:textAlignment w:val="bottom"/>
            </w:pPr>
            <w:r>
              <w:rPr>
                <w:rFonts w:ascii="sans-serif" w:eastAsia="sans-serif" w:hAnsi="sans-serif" w:cs="sans-serif"/>
                <w:color w:val="000000"/>
                <w:sz w:val="20"/>
                <w:szCs w:val="20"/>
              </w:rPr>
              <w:t>147 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97B"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97C" w14:textId="77777777" w:rsidR="00611BDD" w:rsidRDefault="00611BDD">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97D" w14:textId="77777777" w:rsidR="00611BDD" w:rsidRDefault="002E18C7">
            <w:pPr>
              <w:jc w:val="right"/>
              <w:textAlignment w:val="bottom"/>
            </w:pPr>
            <w:r>
              <w:rPr>
                <w:rFonts w:ascii="sans-serif" w:eastAsia="sans-serif" w:hAnsi="sans-serif" w:cs="sans-serif"/>
                <w:color w:val="000000"/>
                <w:sz w:val="20"/>
                <w:szCs w:val="20"/>
              </w:rPr>
              <w:t>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97E" w14:textId="77777777" w:rsidR="00611BDD" w:rsidRDefault="002E18C7">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5406797F"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980"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981" w14:textId="77777777" w:rsidR="00611BDD" w:rsidRDefault="002E18C7">
            <w:pPr>
              <w:jc w:val="right"/>
              <w:textAlignment w:val="bottom"/>
            </w:pPr>
            <w:r>
              <w:rPr>
                <w:rFonts w:ascii="sans-serif" w:eastAsia="sans-serif" w:hAnsi="sans-serif" w:cs="sans-serif"/>
                <w:color w:val="000000"/>
                <w:sz w:val="20"/>
                <w:szCs w:val="20"/>
              </w:rPr>
              <w:t>3,444 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982"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983"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984"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985" w14:textId="77777777" w:rsidR="00611BDD" w:rsidRDefault="002E18C7">
            <w:pPr>
              <w:jc w:val="right"/>
              <w:textAlignment w:val="bottom"/>
            </w:pPr>
            <w:r>
              <w:rPr>
                <w:rFonts w:ascii="sans-serif" w:eastAsia="sans-serif" w:hAnsi="sans-serif" w:cs="sans-serif"/>
                <w:color w:val="000000"/>
                <w:sz w:val="20"/>
                <w:szCs w:val="20"/>
              </w:rPr>
              <w:t>2,652 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986"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987"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988"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989" w14:textId="77777777" w:rsidR="00611BDD" w:rsidRDefault="002E18C7">
            <w:pPr>
              <w:jc w:val="right"/>
              <w:textAlignment w:val="bottom"/>
            </w:pPr>
            <w:r>
              <w:rPr>
                <w:rFonts w:ascii="sans-serif" w:eastAsia="sans-serif" w:hAnsi="sans-serif" w:cs="sans-serif"/>
                <w:color w:val="000000"/>
                <w:sz w:val="20"/>
                <w:szCs w:val="20"/>
              </w:rPr>
              <w:t>792 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98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98B" w14:textId="77777777" w:rsidR="00611BDD" w:rsidRDefault="00611BDD">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98C" w14:textId="77777777" w:rsidR="00611BDD" w:rsidRDefault="002E18C7">
            <w:pPr>
              <w:jc w:val="right"/>
              <w:textAlignment w:val="bottom"/>
            </w:pPr>
            <w:r>
              <w:rPr>
                <w:rFonts w:ascii="sans-serif" w:eastAsia="sans-serif" w:hAnsi="sans-serif" w:cs="sans-serif"/>
                <w:color w:val="000000"/>
                <w:sz w:val="20"/>
                <w:szCs w:val="20"/>
              </w:rPr>
              <w:t>30 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98D" w14:textId="77777777" w:rsidR="00611BDD" w:rsidRDefault="002E18C7">
            <w:pPr>
              <w:jc w:val="right"/>
              <w:textAlignment w:val="bottom"/>
            </w:pPr>
            <w:r>
              <w:rPr>
                <w:rFonts w:ascii="sans-serif" w:eastAsia="sans-serif" w:hAnsi="sans-serif" w:cs="sans-serif"/>
                <w:color w:val="000000"/>
                <w:sz w:val="20"/>
                <w:szCs w:val="20"/>
              </w:rPr>
              <w:t>%</w:t>
            </w:r>
          </w:p>
        </w:tc>
      </w:tr>
    </w:tbl>
    <w:p w14:paraId="5406798F" w14:textId="77777777" w:rsidR="00611BDD" w:rsidRDefault="002E18C7">
      <w:pPr>
        <w:spacing w:before="360" w:after="120"/>
        <w:jc w:val="both"/>
      </w:pPr>
      <w:r>
        <w:rPr>
          <w:rFonts w:ascii="sans-serif" w:eastAsia="sans-serif" w:hAnsi="sans-serif" w:cs="sans-serif"/>
          <w:b/>
          <w:bCs/>
          <w:color w:val="000000"/>
          <w:sz w:val="20"/>
          <w:szCs w:val="20"/>
        </w:rPr>
        <w:t>Research and Development</w:t>
      </w:r>
    </w:p>
    <w:p w14:paraId="54067990" w14:textId="77777777" w:rsidR="00611BDD" w:rsidRDefault="002E18C7">
      <w:pPr>
        <w:spacing w:before="120" w:after="120"/>
        <w:jc w:val="both"/>
      </w:pPr>
      <w:r>
        <w:rPr>
          <w:rFonts w:ascii="sans-serif" w:eastAsia="sans-serif" w:hAnsi="sans-serif" w:cs="sans-serif"/>
          <w:color w:val="000000"/>
          <w:sz w:val="20"/>
          <w:szCs w:val="20"/>
        </w:rPr>
        <w:t>Resear</w:t>
      </w:r>
      <w:r>
        <w:rPr>
          <w:rFonts w:ascii="sans-serif" w:eastAsia="sans-serif" w:hAnsi="sans-serif" w:cs="sans-serif"/>
          <w:color w:val="000000"/>
          <w:sz w:val="20"/>
          <w:szCs w:val="20"/>
        </w:rPr>
        <w:t>ch and development expenses increased by 25% during the second quarter of fiscal year 2022 compared to the second quarter of fiscal year 2021, primarily driven by employee additions and higher employee compensation, including stock-based compensation and i</w:t>
      </w:r>
      <w:r>
        <w:rPr>
          <w:rFonts w:ascii="sans-serif" w:eastAsia="sans-serif" w:hAnsi="sans-serif" w:cs="sans-serif"/>
          <w:color w:val="000000"/>
          <w:sz w:val="20"/>
          <w:szCs w:val="20"/>
        </w:rPr>
        <w:t xml:space="preserve">nfrastructure costs. </w:t>
      </w:r>
    </w:p>
    <w:p w14:paraId="54067991" w14:textId="77777777" w:rsidR="00611BDD" w:rsidRDefault="002E18C7">
      <w:pPr>
        <w:spacing w:after="180"/>
        <w:jc w:val="center"/>
      </w:pPr>
      <w:r>
        <w:rPr>
          <w:rFonts w:ascii="sans-serif" w:eastAsia="sans-serif" w:hAnsi="sans-serif" w:cs="sans-serif"/>
          <w:color w:val="000000"/>
          <w:sz w:val="20"/>
          <w:szCs w:val="20"/>
        </w:rPr>
        <w:t>29</w:t>
      </w:r>
    </w:p>
    <w:p w14:paraId="54067992" w14:textId="77777777" w:rsidR="00611BDD" w:rsidRDefault="002E18C7">
      <w:r>
        <w:pict w14:anchorId="54067C41">
          <v:rect id="_x0000_i1053" style="width:415.3pt;height:1.5pt" o:hralign="center" o:hrstd="t" o:hr="t" fillcolor="#a0a0a0" stroked="f"/>
        </w:pict>
      </w:r>
    </w:p>
    <w:p w14:paraId="54067993" w14:textId="77777777" w:rsidR="00611BDD" w:rsidRDefault="00611BDD">
      <w:pPr>
        <w:spacing w:after="180"/>
        <w:jc w:val="both"/>
      </w:pPr>
    </w:p>
    <w:p w14:paraId="54067994" w14:textId="77777777" w:rsidR="00611BDD" w:rsidRDefault="00611BDD">
      <w:pPr>
        <w:spacing w:after="180"/>
        <w:jc w:val="both"/>
      </w:pPr>
    </w:p>
    <w:p w14:paraId="54067995" w14:textId="77777777" w:rsidR="00611BDD" w:rsidRDefault="00611BDD">
      <w:pPr>
        <w:spacing w:after="180"/>
        <w:jc w:val="both"/>
      </w:pPr>
    </w:p>
    <w:p w14:paraId="54067996" w14:textId="77777777" w:rsidR="00611BDD" w:rsidRDefault="002E18C7">
      <w:pPr>
        <w:spacing w:before="120" w:after="120"/>
        <w:jc w:val="both"/>
      </w:pPr>
      <w:r>
        <w:rPr>
          <w:rFonts w:ascii="sans-serif" w:eastAsia="sans-serif" w:hAnsi="sans-serif" w:cs="sans-serif"/>
          <w:color w:val="000000"/>
          <w:sz w:val="20"/>
          <w:szCs w:val="20"/>
        </w:rPr>
        <w:t>Research and development expenses increased by 38% during the first half of fiscal year 2022 compared to the first half of fiscal year 2021, primarily driven by employee additions and higher employee compensation, including st</w:t>
      </w:r>
      <w:r>
        <w:rPr>
          <w:rFonts w:ascii="sans-serif" w:eastAsia="sans-serif" w:hAnsi="sans-serif" w:cs="sans-serif"/>
          <w:color w:val="000000"/>
          <w:sz w:val="20"/>
          <w:szCs w:val="20"/>
        </w:rPr>
        <w:t xml:space="preserve">ock-based compensation and infrastructure costs, and the acquisition of Mellanox. </w:t>
      </w:r>
    </w:p>
    <w:p w14:paraId="54067997" w14:textId="77777777" w:rsidR="00611BDD" w:rsidRDefault="002E18C7">
      <w:pPr>
        <w:spacing w:before="120" w:after="120"/>
        <w:jc w:val="both"/>
      </w:pPr>
      <w:r>
        <w:rPr>
          <w:rFonts w:ascii="sans-serif" w:eastAsia="sans-serif" w:hAnsi="sans-serif" w:cs="sans-serif"/>
          <w:b/>
          <w:bCs/>
          <w:color w:val="000000"/>
          <w:sz w:val="20"/>
          <w:szCs w:val="20"/>
        </w:rPr>
        <w:t>Sales, General and Administrative</w:t>
      </w:r>
    </w:p>
    <w:p w14:paraId="54067998" w14:textId="77777777" w:rsidR="00611BDD" w:rsidRDefault="002E18C7">
      <w:pPr>
        <w:spacing w:before="120" w:after="120"/>
        <w:jc w:val="both"/>
      </w:pPr>
      <w:r>
        <w:rPr>
          <w:rFonts w:ascii="sans-serif" w:eastAsia="sans-serif" w:hAnsi="sans-serif" w:cs="sans-serif"/>
          <w:color w:val="000000"/>
          <w:sz w:val="20"/>
          <w:szCs w:val="20"/>
        </w:rPr>
        <w:t>Sales, general and administrative expenses decreased by 16% during the second quarter of fiscal year 2022 compared to the second quarter of</w:t>
      </w:r>
      <w:r>
        <w:rPr>
          <w:rFonts w:ascii="sans-serif" w:eastAsia="sans-serif" w:hAnsi="sans-serif" w:cs="sans-serif"/>
          <w:color w:val="000000"/>
          <w:sz w:val="20"/>
          <w:szCs w:val="20"/>
        </w:rPr>
        <w:t xml:space="preserve"> fiscal year 2021, primarily driven by lower amortization of intangible assets, partially offset by the impact of employee additions and higher employee compensation, including stock-based compensation, and costs related to the pending acquisition of Arm. </w:t>
      </w:r>
    </w:p>
    <w:p w14:paraId="54067999" w14:textId="77777777" w:rsidR="00611BDD" w:rsidRDefault="002E18C7">
      <w:pPr>
        <w:spacing w:before="120" w:after="120"/>
        <w:jc w:val="both"/>
      </w:pPr>
      <w:r>
        <w:rPr>
          <w:rFonts w:ascii="sans-serif" w:eastAsia="sans-serif" w:hAnsi="sans-serif" w:cs="sans-serif"/>
          <w:color w:val="000000"/>
          <w:sz w:val="20"/>
          <w:szCs w:val="20"/>
        </w:rPr>
        <w:t>Sales, general and administrative expenses increased by 14% during the first half of fiscal year 2022 compared to the first half of fiscal year 2021, primarily driven by employee additions and higher employee compensation, including stock-based compensati</w:t>
      </w:r>
      <w:r>
        <w:rPr>
          <w:rFonts w:ascii="sans-serif" w:eastAsia="sans-serif" w:hAnsi="sans-serif" w:cs="sans-serif"/>
          <w:color w:val="000000"/>
          <w:sz w:val="20"/>
          <w:szCs w:val="20"/>
        </w:rPr>
        <w:t xml:space="preserve">on, the acquisition of Mellanox, and costs related to the pending acquisition of Arm, partially offset by lower amortization of intangible assets. </w:t>
      </w:r>
    </w:p>
    <w:p w14:paraId="5406799A" w14:textId="77777777" w:rsidR="00611BDD" w:rsidRDefault="002E18C7">
      <w:pPr>
        <w:spacing w:before="240"/>
      </w:pPr>
      <w:r>
        <w:rPr>
          <w:rFonts w:ascii="sans-serif" w:eastAsia="sans-serif" w:hAnsi="sans-serif" w:cs="sans-serif"/>
          <w:b/>
          <w:bCs/>
          <w:color w:val="76B900"/>
          <w:sz w:val="20"/>
          <w:szCs w:val="20"/>
        </w:rPr>
        <w:t>Other Income (Expense), Net</w:t>
      </w:r>
    </w:p>
    <w:p w14:paraId="5406799B" w14:textId="77777777" w:rsidR="00611BDD" w:rsidRDefault="002E18C7">
      <w:pPr>
        <w:spacing w:before="120" w:after="120"/>
        <w:jc w:val="both"/>
      </w:pPr>
      <w:r>
        <w:rPr>
          <w:rFonts w:ascii="sans-serif" w:eastAsia="sans-serif" w:hAnsi="sans-serif" w:cs="sans-serif"/>
          <w:color w:val="000000"/>
          <w:sz w:val="20"/>
          <w:szCs w:val="20"/>
        </w:rPr>
        <w:t>Interest income consists of interest earned on cash, cash equivalents and market</w:t>
      </w:r>
      <w:r>
        <w:rPr>
          <w:rFonts w:ascii="sans-serif" w:eastAsia="sans-serif" w:hAnsi="sans-serif" w:cs="sans-serif"/>
          <w:color w:val="000000"/>
          <w:sz w:val="20"/>
          <w:szCs w:val="20"/>
        </w:rPr>
        <w:t>able securities. Interest income was $6 million and $13 million during the second quarter of fiscal years 2022 and 2021, respectively, and $13 million and $44 million during the first half of fiscal years 2022 and 2021, respectively. The decrease in intere</w:t>
      </w:r>
      <w:r>
        <w:rPr>
          <w:rFonts w:ascii="sans-serif" w:eastAsia="sans-serif" w:hAnsi="sans-serif" w:cs="sans-serif"/>
          <w:color w:val="000000"/>
          <w:sz w:val="20"/>
          <w:szCs w:val="20"/>
        </w:rPr>
        <w:t>st income was primarily due to lower interest rates earned on our investments.</w:t>
      </w:r>
    </w:p>
    <w:p w14:paraId="5406799C" w14:textId="77777777" w:rsidR="00611BDD" w:rsidRDefault="002E18C7">
      <w:pPr>
        <w:spacing w:before="120" w:after="120"/>
        <w:jc w:val="both"/>
      </w:pPr>
      <w:r>
        <w:rPr>
          <w:rFonts w:ascii="sans-serif" w:eastAsia="sans-serif" w:hAnsi="sans-serif" w:cs="sans-serif"/>
          <w:color w:val="000000"/>
          <w:sz w:val="20"/>
          <w:szCs w:val="20"/>
        </w:rPr>
        <w:t>Interest expense is primarily comprised of coupon interest and debt discount amortization related to our September 2016 Notes, March 2020 Notes, and June 2021 Notes. Interest ex</w:t>
      </w:r>
      <w:r>
        <w:rPr>
          <w:rFonts w:ascii="sans-serif" w:eastAsia="sans-serif" w:hAnsi="sans-serif" w:cs="sans-serif"/>
          <w:color w:val="000000"/>
          <w:sz w:val="20"/>
          <w:szCs w:val="20"/>
        </w:rPr>
        <w:t>pense was $60 million and $54 million during the second quarter of fiscal years 2022 and 2021, respectively, and $113 million and $78 million during the first half of fiscal years 2022 and 2021, respectively.</w:t>
      </w:r>
    </w:p>
    <w:p w14:paraId="5406799D" w14:textId="77777777" w:rsidR="00611BDD" w:rsidRDefault="002E18C7">
      <w:pPr>
        <w:spacing w:before="120" w:after="120"/>
        <w:jc w:val="both"/>
      </w:pPr>
      <w:r>
        <w:rPr>
          <w:rFonts w:ascii="sans-serif" w:eastAsia="sans-serif" w:hAnsi="sans-serif" w:cs="sans-serif"/>
          <w:color w:val="000000"/>
          <w:sz w:val="20"/>
          <w:szCs w:val="20"/>
        </w:rPr>
        <w:t>Other, net, consists primarily of realized or unrealized gains and losses from non-affiliated and equity investments and the impact of changes in foreign currency rates. Other, net, was an income of $4 million and $138 million during the second quarter and</w:t>
      </w:r>
      <w:r>
        <w:rPr>
          <w:rFonts w:ascii="sans-serif" w:eastAsia="sans-serif" w:hAnsi="sans-serif" w:cs="sans-serif"/>
          <w:color w:val="000000"/>
          <w:sz w:val="20"/>
          <w:szCs w:val="20"/>
        </w:rPr>
        <w:t xml:space="preserve"> first half of fiscal year 2022, respectively, and not significant during the second quarter and first half of fiscal year 2021. The increase during the first half of fiscal year 2022 was primarily due to an unrealized gain from an equity investment. Refer</w:t>
      </w:r>
      <w:r>
        <w:rPr>
          <w:rFonts w:ascii="sans-serif" w:eastAsia="sans-serif" w:hAnsi="sans-serif" w:cs="sans-serif"/>
          <w:color w:val="000000"/>
          <w:sz w:val="20"/>
          <w:szCs w:val="20"/>
        </w:rPr>
        <w:t xml:space="preserve"> to Note 8 of the Notes to Condensed Consolidated Financial Statements for additional information regarding our equity investment. </w:t>
      </w:r>
    </w:p>
    <w:p w14:paraId="5406799E" w14:textId="77777777" w:rsidR="00611BDD" w:rsidRDefault="002E18C7">
      <w:pPr>
        <w:spacing w:before="240" w:after="60"/>
        <w:jc w:val="both"/>
      </w:pPr>
      <w:r>
        <w:rPr>
          <w:rFonts w:ascii="sans-serif" w:eastAsia="sans-serif" w:hAnsi="sans-serif" w:cs="sans-serif"/>
          <w:b/>
          <w:bCs/>
          <w:color w:val="76B900"/>
          <w:sz w:val="20"/>
          <w:szCs w:val="20"/>
        </w:rPr>
        <w:t>Income Taxes</w:t>
      </w:r>
    </w:p>
    <w:p w14:paraId="5406799F" w14:textId="77777777" w:rsidR="00611BDD" w:rsidRDefault="002E18C7">
      <w:pPr>
        <w:spacing w:after="180"/>
        <w:jc w:val="both"/>
      </w:pPr>
      <w:r>
        <w:rPr>
          <w:rFonts w:ascii="sans-serif" w:eastAsia="sans-serif" w:hAnsi="sans-serif" w:cs="sans-serif"/>
          <w:color w:val="000000"/>
          <w:sz w:val="20"/>
          <w:szCs w:val="20"/>
        </w:rPr>
        <w:t>We recognized an income tax expense of $20 million and $153 million for the second quarter and first half of fi</w:t>
      </w:r>
      <w:r>
        <w:rPr>
          <w:rFonts w:ascii="sans-serif" w:eastAsia="sans-serif" w:hAnsi="sans-serif" w:cs="sans-serif"/>
          <w:color w:val="000000"/>
          <w:sz w:val="20"/>
          <w:szCs w:val="20"/>
        </w:rPr>
        <w:t xml:space="preserve">scal year 2022, respectively, and an income tax benefit of $13 million and an income tax expense of $52 million for the second quarter and first half of fiscal year 2021, respectively. The income tax expense as a percentage of income before income tax was </w:t>
      </w:r>
      <w:r>
        <w:rPr>
          <w:rFonts w:ascii="sans-serif" w:eastAsia="sans-serif" w:hAnsi="sans-serif" w:cs="sans-serif"/>
          <w:color w:val="000000"/>
          <w:sz w:val="20"/>
          <w:szCs w:val="20"/>
        </w:rPr>
        <w:t>0.9% and 3.4% for the second quarter and first half of fiscal year 2022, respectively, and 3.3% for the first half of fiscal year 2021. The income tax benefit as a percentage of income before income tax was 2.0% for the second quarter of fiscal year 2021.</w:t>
      </w:r>
    </w:p>
    <w:p w14:paraId="540679A0" w14:textId="77777777" w:rsidR="00611BDD" w:rsidRDefault="002E18C7">
      <w:pPr>
        <w:spacing w:after="180"/>
        <w:jc w:val="both"/>
      </w:pPr>
      <w:r>
        <w:rPr>
          <w:rFonts w:ascii="sans-serif" w:eastAsia="sans-serif" w:hAnsi="sans-serif" w:cs="sans-serif"/>
          <w:color w:val="000000"/>
          <w:sz w:val="20"/>
          <w:szCs w:val="20"/>
        </w:rPr>
        <w:t xml:space="preserve">The increase in our effective tax rate for the second quarter and first half of fiscal year 2022 as compared to the same periods of fiscal year 2021 was primarily due to a decreased impact of tax benefits from stock-based compensation and the U.S. federal </w:t>
      </w:r>
      <w:r>
        <w:rPr>
          <w:rFonts w:ascii="sans-serif" w:eastAsia="sans-serif" w:hAnsi="sans-serif" w:cs="sans-serif"/>
          <w:color w:val="000000"/>
          <w:sz w:val="20"/>
          <w:szCs w:val="20"/>
        </w:rPr>
        <w:t>research tax credit, and an increase in the amount of earnings subject to U.S. tax, partially offset by the discrete benefit of the Domestication. Refer to Note 6 of the Notes to Condensed Consolidated Financial Statements for further information, includin</w:t>
      </w:r>
      <w:r>
        <w:rPr>
          <w:rFonts w:ascii="sans-serif" w:eastAsia="sans-serif" w:hAnsi="sans-serif" w:cs="sans-serif"/>
          <w:color w:val="000000"/>
          <w:sz w:val="20"/>
          <w:szCs w:val="20"/>
        </w:rPr>
        <w:t>g the Domestication.</w:t>
      </w:r>
    </w:p>
    <w:p w14:paraId="540679A1" w14:textId="77777777" w:rsidR="00611BDD" w:rsidRDefault="002E18C7">
      <w:pPr>
        <w:spacing w:before="240" w:after="120"/>
        <w:jc w:val="both"/>
      </w:pPr>
      <w:r>
        <w:rPr>
          <w:rFonts w:ascii="sans-serif" w:eastAsia="sans-serif" w:hAnsi="sans-serif" w:cs="sans-serif"/>
          <w:b/>
          <w:bCs/>
          <w:color w:val="76B900"/>
          <w:sz w:val="22"/>
          <w:szCs w:val="22"/>
        </w:rPr>
        <w:t>Liquidity and Capital Resources </w:t>
      </w:r>
    </w:p>
    <w:tbl>
      <w:tblPr>
        <w:tblW w:w="4985" w:type="pct"/>
        <w:tblCellMar>
          <w:top w:w="15" w:type="dxa"/>
          <w:left w:w="15" w:type="dxa"/>
          <w:bottom w:w="15" w:type="dxa"/>
          <w:right w:w="15" w:type="dxa"/>
        </w:tblCellMar>
        <w:tblLook w:val="04A0" w:firstRow="1" w:lastRow="0" w:firstColumn="1" w:lastColumn="0" w:noHBand="0" w:noVBand="1"/>
      </w:tblPr>
      <w:tblGrid>
        <w:gridCol w:w="40"/>
        <w:gridCol w:w="5266"/>
        <w:gridCol w:w="36"/>
        <w:gridCol w:w="122"/>
        <w:gridCol w:w="1290"/>
        <w:gridCol w:w="36"/>
        <w:gridCol w:w="36"/>
        <w:gridCol w:w="36"/>
        <w:gridCol w:w="36"/>
        <w:gridCol w:w="122"/>
        <w:gridCol w:w="1255"/>
        <w:gridCol w:w="36"/>
      </w:tblGrid>
      <w:tr w:rsidR="00611BDD" w14:paraId="540679AE" w14:textId="77777777">
        <w:tc>
          <w:tcPr>
            <w:tcW w:w="50" w:type="pct"/>
            <w:shd w:val="clear" w:color="auto" w:fill="auto"/>
            <w:vAlign w:val="bottom"/>
          </w:tcPr>
          <w:p w14:paraId="540679A2" w14:textId="77777777" w:rsidR="00611BDD" w:rsidRDefault="00611BDD">
            <w:pPr>
              <w:rPr>
                <w:rFonts w:ascii="宋体"/>
              </w:rPr>
            </w:pPr>
          </w:p>
        </w:tc>
        <w:tc>
          <w:tcPr>
            <w:tcW w:w="3192" w:type="pct"/>
            <w:shd w:val="clear" w:color="auto" w:fill="auto"/>
            <w:vAlign w:val="bottom"/>
          </w:tcPr>
          <w:p w14:paraId="540679A3" w14:textId="77777777" w:rsidR="00611BDD" w:rsidRDefault="00611BDD">
            <w:pPr>
              <w:rPr>
                <w:rFonts w:ascii="宋体"/>
              </w:rPr>
            </w:pPr>
          </w:p>
        </w:tc>
        <w:tc>
          <w:tcPr>
            <w:tcW w:w="5" w:type="pct"/>
            <w:shd w:val="clear" w:color="auto" w:fill="auto"/>
            <w:vAlign w:val="bottom"/>
          </w:tcPr>
          <w:p w14:paraId="540679A4" w14:textId="77777777" w:rsidR="00611BDD" w:rsidRDefault="00611BDD">
            <w:pPr>
              <w:rPr>
                <w:rFonts w:ascii="宋体"/>
              </w:rPr>
            </w:pPr>
          </w:p>
        </w:tc>
        <w:tc>
          <w:tcPr>
            <w:tcW w:w="50" w:type="pct"/>
            <w:shd w:val="clear" w:color="auto" w:fill="auto"/>
            <w:vAlign w:val="bottom"/>
          </w:tcPr>
          <w:p w14:paraId="540679A5" w14:textId="77777777" w:rsidR="00611BDD" w:rsidRDefault="00611BDD">
            <w:pPr>
              <w:rPr>
                <w:rFonts w:ascii="宋体"/>
              </w:rPr>
            </w:pPr>
          </w:p>
        </w:tc>
        <w:tc>
          <w:tcPr>
            <w:tcW w:w="802" w:type="pct"/>
            <w:shd w:val="clear" w:color="auto" w:fill="auto"/>
            <w:vAlign w:val="bottom"/>
          </w:tcPr>
          <w:p w14:paraId="540679A6" w14:textId="77777777" w:rsidR="00611BDD" w:rsidRDefault="00611BDD">
            <w:pPr>
              <w:rPr>
                <w:rFonts w:ascii="宋体"/>
              </w:rPr>
            </w:pPr>
          </w:p>
        </w:tc>
        <w:tc>
          <w:tcPr>
            <w:tcW w:w="5" w:type="pct"/>
            <w:shd w:val="clear" w:color="auto" w:fill="auto"/>
            <w:vAlign w:val="bottom"/>
          </w:tcPr>
          <w:p w14:paraId="540679A7" w14:textId="77777777" w:rsidR="00611BDD" w:rsidRDefault="00611BDD">
            <w:pPr>
              <w:rPr>
                <w:rFonts w:ascii="宋体"/>
              </w:rPr>
            </w:pPr>
          </w:p>
        </w:tc>
        <w:tc>
          <w:tcPr>
            <w:tcW w:w="5" w:type="pct"/>
            <w:shd w:val="clear" w:color="auto" w:fill="auto"/>
            <w:vAlign w:val="bottom"/>
          </w:tcPr>
          <w:p w14:paraId="540679A8" w14:textId="77777777" w:rsidR="00611BDD" w:rsidRDefault="00611BDD">
            <w:pPr>
              <w:rPr>
                <w:rFonts w:ascii="宋体"/>
              </w:rPr>
            </w:pPr>
          </w:p>
        </w:tc>
        <w:tc>
          <w:tcPr>
            <w:tcW w:w="26" w:type="pct"/>
            <w:shd w:val="clear" w:color="auto" w:fill="auto"/>
            <w:vAlign w:val="bottom"/>
          </w:tcPr>
          <w:p w14:paraId="540679A9" w14:textId="77777777" w:rsidR="00611BDD" w:rsidRDefault="00611BDD">
            <w:pPr>
              <w:rPr>
                <w:rFonts w:ascii="宋体"/>
              </w:rPr>
            </w:pPr>
          </w:p>
        </w:tc>
        <w:tc>
          <w:tcPr>
            <w:tcW w:w="5" w:type="pct"/>
            <w:shd w:val="clear" w:color="auto" w:fill="auto"/>
            <w:vAlign w:val="bottom"/>
          </w:tcPr>
          <w:p w14:paraId="540679AA" w14:textId="77777777" w:rsidR="00611BDD" w:rsidRDefault="00611BDD">
            <w:pPr>
              <w:rPr>
                <w:rFonts w:ascii="宋体"/>
              </w:rPr>
            </w:pPr>
          </w:p>
        </w:tc>
        <w:tc>
          <w:tcPr>
            <w:tcW w:w="50" w:type="pct"/>
            <w:shd w:val="clear" w:color="auto" w:fill="auto"/>
            <w:vAlign w:val="bottom"/>
          </w:tcPr>
          <w:p w14:paraId="540679AB" w14:textId="77777777" w:rsidR="00611BDD" w:rsidRDefault="00611BDD">
            <w:pPr>
              <w:rPr>
                <w:rFonts w:ascii="宋体"/>
              </w:rPr>
            </w:pPr>
          </w:p>
        </w:tc>
        <w:tc>
          <w:tcPr>
            <w:tcW w:w="802" w:type="pct"/>
            <w:shd w:val="clear" w:color="auto" w:fill="auto"/>
            <w:vAlign w:val="bottom"/>
          </w:tcPr>
          <w:p w14:paraId="540679AC" w14:textId="77777777" w:rsidR="00611BDD" w:rsidRDefault="00611BDD">
            <w:pPr>
              <w:rPr>
                <w:rFonts w:ascii="宋体"/>
              </w:rPr>
            </w:pPr>
          </w:p>
        </w:tc>
        <w:tc>
          <w:tcPr>
            <w:tcW w:w="5" w:type="pct"/>
            <w:shd w:val="clear" w:color="auto" w:fill="auto"/>
            <w:vAlign w:val="bottom"/>
          </w:tcPr>
          <w:p w14:paraId="540679AD" w14:textId="77777777" w:rsidR="00611BDD" w:rsidRDefault="00611BDD">
            <w:pPr>
              <w:rPr>
                <w:rFonts w:ascii="宋体"/>
              </w:rPr>
            </w:pPr>
          </w:p>
        </w:tc>
      </w:tr>
      <w:tr w:rsidR="00611BDD" w14:paraId="540679B3" w14:textId="77777777">
        <w:tc>
          <w:tcPr>
            <w:tcW w:w="0" w:type="auto"/>
            <w:gridSpan w:val="3"/>
            <w:shd w:val="clear" w:color="auto" w:fill="auto"/>
            <w:tcMar>
              <w:top w:w="40" w:type="dxa"/>
              <w:left w:w="20" w:type="dxa"/>
              <w:bottom w:w="40" w:type="dxa"/>
              <w:right w:w="20" w:type="dxa"/>
            </w:tcMar>
            <w:vAlign w:val="bottom"/>
          </w:tcPr>
          <w:p w14:paraId="540679AF" w14:textId="77777777" w:rsidR="00611BDD" w:rsidRDefault="002E18C7">
            <w:pPr>
              <w:textAlignment w:val="bottom"/>
            </w:pPr>
            <w:r>
              <w:rPr>
                <w:rFonts w:ascii="sans-serif" w:eastAsia="sans-serif" w:hAnsi="sans-serif" w:cs="sans-serif"/>
                <w:color w:val="000000"/>
                <w:sz w:val="18"/>
                <w:szCs w:val="18"/>
              </w:rPr>
              <w:t> </w:t>
            </w:r>
          </w:p>
        </w:tc>
        <w:tc>
          <w:tcPr>
            <w:tcW w:w="0" w:type="auto"/>
            <w:gridSpan w:val="3"/>
            <w:shd w:val="clear" w:color="auto" w:fill="auto"/>
            <w:tcMar>
              <w:top w:w="40" w:type="dxa"/>
              <w:left w:w="20" w:type="dxa"/>
              <w:bottom w:w="40" w:type="dxa"/>
              <w:right w:w="20" w:type="dxa"/>
            </w:tcMar>
            <w:vAlign w:val="bottom"/>
          </w:tcPr>
          <w:p w14:paraId="540679B0" w14:textId="77777777" w:rsidR="00611BDD" w:rsidRDefault="002E18C7">
            <w:pPr>
              <w:jc w:val="center"/>
              <w:textAlignment w:val="bottom"/>
            </w:pPr>
            <w:r>
              <w:rPr>
                <w:rFonts w:ascii="sans-serif" w:eastAsia="sans-serif" w:hAnsi="sans-serif" w:cs="sans-serif"/>
                <w:b/>
                <w:bCs/>
                <w:color w:val="000000"/>
                <w:sz w:val="20"/>
                <w:szCs w:val="20"/>
              </w:rPr>
              <w:t>August 1, 2021</w:t>
            </w:r>
          </w:p>
        </w:tc>
        <w:tc>
          <w:tcPr>
            <w:tcW w:w="0" w:type="auto"/>
            <w:gridSpan w:val="3"/>
            <w:shd w:val="clear" w:color="auto" w:fill="auto"/>
            <w:tcMar>
              <w:top w:w="0" w:type="dxa"/>
              <w:left w:w="20" w:type="dxa"/>
              <w:bottom w:w="0" w:type="dxa"/>
              <w:right w:w="20" w:type="dxa"/>
            </w:tcMar>
            <w:vAlign w:val="bottom"/>
          </w:tcPr>
          <w:p w14:paraId="540679B1"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9B2" w14:textId="77777777" w:rsidR="00611BDD" w:rsidRDefault="002E18C7">
            <w:pPr>
              <w:jc w:val="center"/>
              <w:textAlignment w:val="bottom"/>
            </w:pPr>
            <w:r>
              <w:rPr>
                <w:rFonts w:ascii="sans-serif" w:eastAsia="sans-serif" w:hAnsi="sans-serif" w:cs="sans-serif"/>
                <w:b/>
                <w:bCs/>
                <w:color w:val="000000"/>
                <w:sz w:val="20"/>
                <w:szCs w:val="20"/>
              </w:rPr>
              <w:t>January 31, 2021</w:t>
            </w:r>
          </w:p>
        </w:tc>
      </w:tr>
      <w:tr w:rsidR="00611BDD" w14:paraId="540679B8" w14:textId="77777777">
        <w:trPr>
          <w:trHeight w:val="60"/>
        </w:trPr>
        <w:tc>
          <w:tcPr>
            <w:tcW w:w="0" w:type="auto"/>
            <w:gridSpan w:val="3"/>
            <w:shd w:val="clear" w:color="auto" w:fill="auto"/>
            <w:tcMar>
              <w:top w:w="0" w:type="dxa"/>
              <w:left w:w="20" w:type="dxa"/>
              <w:bottom w:w="0" w:type="dxa"/>
              <w:right w:w="20" w:type="dxa"/>
            </w:tcMar>
            <w:vAlign w:val="bottom"/>
          </w:tcPr>
          <w:p w14:paraId="540679B4"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9B5"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9B6"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9B7" w14:textId="77777777" w:rsidR="00611BDD" w:rsidRDefault="00611BDD">
            <w:pPr>
              <w:rPr>
                <w:rFonts w:ascii="宋体"/>
              </w:rPr>
            </w:pPr>
          </w:p>
        </w:tc>
      </w:tr>
      <w:tr w:rsidR="00611BDD" w14:paraId="540679BB" w14:textId="77777777">
        <w:tc>
          <w:tcPr>
            <w:tcW w:w="0" w:type="auto"/>
            <w:gridSpan w:val="3"/>
            <w:shd w:val="clear" w:color="auto" w:fill="auto"/>
            <w:tcMar>
              <w:top w:w="40" w:type="dxa"/>
              <w:left w:w="20" w:type="dxa"/>
              <w:bottom w:w="40" w:type="dxa"/>
              <w:right w:w="20" w:type="dxa"/>
            </w:tcMar>
            <w:vAlign w:val="bottom"/>
          </w:tcPr>
          <w:p w14:paraId="540679B9" w14:textId="77777777" w:rsidR="00611BDD" w:rsidRDefault="002E18C7">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540679BA" w14:textId="77777777" w:rsidR="00611BDD" w:rsidRDefault="002E18C7">
            <w:pPr>
              <w:jc w:val="center"/>
              <w:textAlignment w:val="bottom"/>
            </w:pPr>
            <w:r>
              <w:rPr>
                <w:rFonts w:ascii="sans-serif" w:eastAsia="sans-serif" w:hAnsi="sans-serif" w:cs="sans-serif"/>
                <w:i/>
                <w:iCs/>
                <w:color w:val="000000"/>
                <w:sz w:val="20"/>
                <w:szCs w:val="20"/>
              </w:rPr>
              <w:t>(In millions)</w:t>
            </w:r>
          </w:p>
        </w:tc>
      </w:tr>
      <w:tr w:rsidR="00611BDD" w14:paraId="540679C4" w14:textId="77777777">
        <w:tc>
          <w:tcPr>
            <w:tcW w:w="0" w:type="auto"/>
            <w:gridSpan w:val="3"/>
            <w:shd w:val="clear" w:color="auto" w:fill="E2EFD9"/>
            <w:tcMar>
              <w:top w:w="40" w:type="dxa"/>
              <w:left w:w="20" w:type="dxa"/>
              <w:bottom w:w="40" w:type="dxa"/>
              <w:right w:w="20" w:type="dxa"/>
            </w:tcMar>
            <w:vAlign w:val="bottom"/>
          </w:tcPr>
          <w:p w14:paraId="540679BC" w14:textId="77777777" w:rsidR="00611BDD" w:rsidRDefault="002E18C7">
            <w:pPr>
              <w:textAlignment w:val="bottom"/>
            </w:pPr>
            <w:r>
              <w:rPr>
                <w:rFonts w:ascii="sans-serif" w:eastAsia="sans-serif" w:hAnsi="sans-serif" w:cs="sans-serif"/>
                <w:color w:val="000000"/>
                <w:sz w:val="20"/>
                <w:szCs w:val="20"/>
              </w:rPr>
              <w:t>Cash and cash equivalents</w:t>
            </w:r>
          </w:p>
        </w:tc>
        <w:tc>
          <w:tcPr>
            <w:tcW w:w="0" w:type="auto"/>
            <w:shd w:val="clear" w:color="auto" w:fill="E2EFD9"/>
            <w:tcMar>
              <w:top w:w="40" w:type="dxa"/>
              <w:left w:w="20" w:type="dxa"/>
              <w:bottom w:w="40" w:type="dxa"/>
              <w:right w:w="0" w:type="dxa"/>
            </w:tcMar>
            <w:vAlign w:val="bottom"/>
          </w:tcPr>
          <w:p w14:paraId="540679BD"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9BE" w14:textId="77777777" w:rsidR="00611BDD" w:rsidRDefault="002E18C7">
            <w:pPr>
              <w:jc w:val="right"/>
              <w:textAlignment w:val="bottom"/>
            </w:pPr>
            <w:r>
              <w:rPr>
                <w:rFonts w:ascii="sans-serif" w:eastAsia="sans-serif" w:hAnsi="sans-serif" w:cs="sans-serif"/>
                <w:color w:val="000000"/>
                <w:sz w:val="20"/>
                <w:szCs w:val="20"/>
              </w:rPr>
              <w:t>5,628 </w:t>
            </w:r>
          </w:p>
        </w:tc>
        <w:tc>
          <w:tcPr>
            <w:tcW w:w="0" w:type="auto"/>
            <w:shd w:val="clear" w:color="auto" w:fill="E2EFD9"/>
            <w:tcMar>
              <w:top w:w="40" w:type="dxa"/>
              <w:left w:w="0" w:type="dxa"/>
              <w:bottom w:w="40" w:type="dxa"/>
              <w:right w:w="20" w:type="dxa"/>
            </w:tcMar>
            <w:vAlign w:val="bottom"/>
          </w:tcPr>
          <w:p w14:paraId="540679BF"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9C0"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9C1"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9C2" w14:textId="77777777" w:rsidR="00611BDD" w:rsidRDefault="002E18C7">
            <w:pPr>
              <w:jc w:val="right"/>
              <w:textAlignment w:val="bottom"/>
            </w:pPr>
            <w:r>
              <w:rPr>
                <w:rFonts w:ascii="sans-serif" w:eastAsia="sans-serif" w:hAnsi="sans-serif" w:cs="sans-serif"/>
                <w:color w:val="000000"/>
                <w:sz w:val="20"/>
                <w:szCs w:val="20"/>
              </w:rPr>
              <w:t>847 </w:t>
            </w:r>
          </w:p>
        </w:tc>
        <w:tc>
          <w:tcPr>
            <w:tcW w:w="0" w:type="auto"/>
            <w:shd w:val="clear" w:color="auto" w:fill="E2EFD9"/>
            <w:tcMar>
              <w:top w:w="40" w:type="dxa"/>
              <w:left w:w="0" w:type="dxa"/>
              <w:bottom w:w="40" w:type="dxa"/>
              <w:right w:w="20" w:type="dxa"/>
            </w:tcMar>
            <w:vAlign w:val="bottom"/>
          </w:tcPr>
          <w:p w14:paraId="540679C3" w14:textId="77777777" w:rsidR="00611BDD" w:rsidRDefault="00611BDD">
            <w:pPr>
              <w:jc w:val="right"/>
              <w:rPr>
                <w:rFonts w:ascii="宋体"/>
              </w:rPr>
            </w:pPr>
          </w:p>
        </w:tc>
      </w:tr>
      <w:tr w:rsidR="00611BDD" w14:paraId="540679CB" w14:textId="77777777">
        <w:tc>
          <w:tcPr>
            <w:tcW w:w="0" w:type="auto"/>
            <w:gridSpan w:val="3"/>
            <w:shd w:val="clear" w:color="auto" w:fill="FFFFFF"/>
            <w:tcMar>
              <w:top w:w="40" w:type="dxa"/>
              <w:left w:w="20" w:type="dxa"/>
              <w:bottom w:w="40" w:type="dxa"/>
              <w:right w:w="20" w:type="dxa"/>
            </w:tcMar>
            <w:vAlign w:val="bottom"/>
          </w:tcPr>
          <w:p w14:paraId="540679C5" w14:textId="77777777" w:rsidR="00611BDD" w:rsidRDefault="002E18C7">
            <w:pPr>
              <w:textAlignment w:val="bottom"/>
            </w:pPr>
            <w:r>
              <w:rPr>
                <w:rFonts w:ascii="sans-serif" w:eastAsia="sans-serif" w:hAnsi="sans-serif" w:cs="sans-serif"/>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540679C6" w14:textId="77777777" w:rsidR="00611BDD" w:rsidRDefault="002E18C7">
            <w:pPr>
              <w:jc w:val="right"/>
              <w:textAlignment w:val="bottom"/>
            </w:pPr>
            <w:r>
              <w:rPr>
                <w:rFonts w:ascii="sans-serif" w:eastAsia="sans-serif" w:hAnsi="sans-serif" w:cs="sans-serif"/>
                <w:color w:val="000000"/>
                <w:sz w:val="20"/>
                <w:szCs w:val="20"/>
              </w:rPr>
              <w:t>14,026 </w:t>
            </w:r>
          </w:p>
        </w:tc>
        <w:tc>
          <w:tcPr>
            <w:tcW w:w="0" w:type="auto"/>
            <w:shd w:val="clear" w:color="auto" w:fill="FFFFFF"/>
            <w:tcMar>
              <w:top w:w="40" w:type="dxa"/>
              <w:left w:w="0" w:type="dxa"/>
              <w:bottom w:w="40" w:type="dxa"/>
              <w:right w:w="20" w:type="dxa"/>
            </w:tcMar>
            <w:vAlign w:val="bottom"/>
          </w:tcPr>
          <w:p w14:paraId="540679C7"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9C8" w14:textId="77777777" w:rsidR="00611BDD" w:rsidRDefault="00611BDD">
            <w:pPr>
              <w:rPr>
                <w:rFonts w:ascii="宋体"/>
              </w:rPr>
            </w:pPr>
          </w:p>
        </w:tc>
        <w:tc>
          <w:tcPr>
            <w:tcW w:w="0" w:type="auto"/>
            <w:gridSpan w:val="2"/>
            <w:shd w:val="clear" w:color="auto" w:fill="FFFFFF"/>
            <w:tcMar>
              <w:top w:w="40" w:type="dxa"/>
              <w:left w:w="20" w:type="dxa"/>
              <w:bottom w:w="40" w:type="dxa"/>
              <w:right w:w="0" w:type="dxa"/>
            </w:tcMar>
            <w:vAlign w:val="bottom"/>
          </w:tcPr>
          <w:p w14:paraId="540679C9" w14:textId="77777777" w:rsidR="00611BDD" w:rsidRDefault="002E18C7">
            <w:pPr>
              <w:jc w:val="right"/>
              <w:textAlignment w:val="bottom"/>
            </w:pPr>
            <w:r>
              <w:rPr>
                <w:rFonts w:ascii="sans-serif" w:eastAsia="sans-serif" w:hAnsi="sans-serif" w:cs="sans-serif"/>
                <w:color w:val="000000"/>
                <w:sz w:val="20"/>
                <w:szCs w:val="20"/>
              </w:rPr>
              <w:t>10,714 </w:t>
            </w:r>
          </w:p>
        </w:tc>
        <w:tc>
          <w:tcPr>
            <w:tcW w:w="0" w:type="auto"/>
            <w:shd w:val="clear" w:color="auto" w:fill="FFFFFF"/>
            <w:tcMar>
              <w:top w:w="40" w:type="dxa"/>
              <w:left w:w="0" w:type="dxa"/>
              <w:bottom w:w="40" w:type="dxa"/>
              <w:right w:w="20" w:type="dxa"/>
            </w:tcMar>
            <w:vAlign w:val="bottom"/>
          </w:tcPr>
          <w:p w14:paraId="540679CA" w14:textId="77777777" w:rsidR="00611BDD" w:rsidRDefault="00611BDD">
            <w:pPr>
              <w:jc w:val="right"/>
              <w:rPr>
                <w:rFonts w:ascii="宋体"/>
              </w:rPr>
            </w:pPr>
          </w:p>
        </w:tc>
      </w:tr>
      <w:tr w:rsidR="00611BDD" w14:paraId="540679D4" w14:textId="77777777">
        <w:tc>
          <w:tcPr>
            <w:tcW w:w="0" w:type="auto"/>
            <w:gridSpan w:val="3"/>
            <w:shd w:val="clear" w:color="auto" w:fill="E2EFD9"/>
            <w:tcMar>
              <w:top w:w="40" w:type="dxa"/>
              <w:left w:w="20" w:type="dxa"/>
              <w:bottom w:w="40" w:type="dxa"/>
              <w:right w:w="20" w:type="dxa"/>
            </w:tcMar>
            <w:vAlign w:val="bottom"/>
          </w:tcPr>
          <w:p w14:paraId="540679CC" w14:textId="77777777" w:rsidR="00611BDD" w:rsidRDefault="002E18C7">
            <w:pPr>
              <w:textAlignment w:val="bottom"/>
            </w:pPr>
            <w:r>
              <w:rPr>
                <w:rFonts w:ascii="sans-serif" w:eastAsia="sans-serif" w:hAnsi="sans-serif" w:cs="sans-serif"/>
                <w:color w:val="000000"/>
                <w:sz w:val="20"/>
                <w:szCs w:val="20"/>
              </w:rPr>
              <w:t xml:space="preserve">Cash, cash equivalents and </w:t>
            </w:r>
            <w:r>
              <w:rPr>
                <w:rFonts w:ascii="sans-serif" w:eastAsia="sans-serif" w:hAnsi="sans-serif" w:cs="sans-serif"/>
                <w:color w:val="000000"/>
                <w:sz w:val="20"/>
                <w:szCs w:val="20"/>
              </w:rPr>
              <w:t>marketable securities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9CD"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9CE" w14:textId="77777777" w:rsidR="00611BDD" w:rsidRDefault="002E18C7">
            <w:pPr>
              <w:jc w:val="right"/>
              <w:textAlignment w:val="bottom"/>
            </w:pPr>
            <w:r>
              <w:rPr>
                <w:rFonts w:ascii="sans-serif" w:eastAsia="sans-serif" w:hAnsi="sans-serif" w:cs="sans-serif"/>
                <w:color w:val="000000"/>
                <w:sz w:val="20"/>
                <w:szCs w:val="20"/>
              </w:rPr>
              <w:t>19,654 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9CF"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9D0" w14:textId="77777777" w:rsidR="00611BDD" w:rsidRDefault="00611BDD">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540679D1" w14:textId="77777777" w:rsidR="00611BDD" w:rsidRDefault="002E18C7">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540679D2" w14:textId="77777777" w:rsidR="00611BDD" w:rsidRDefault="002E18C7">
            <w:pPr>
              <w:jc w:val="right"/>
              <w:textAlignment w:val="bottom"/>
            </w:pPr>
            <w:r>
              <w:rPr>
                <w:rFonts w:ascii="sans-serif" w:eastAsia="sans-serif" w:hAnsi="sans-serif" w:cs="sans-serif"/>
                <w:color w:val="000000"/>
                <w:sz w:val="20"/>
                <w:szCs w:val="20"/>
              </w:rPr>
              <w:t>11,561 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540679D3" w14:textId="77777777" w:rsidR="00611BDD" w:rsidRDefault="00611BDD">
            <w:pPr>
              <w:jc w:val="right"/>
              <w:rPr>
                <w:rFonts w:ascii="宋体"/>
              </w:rPr>
            </w:pPr>
          </w:p>
        </w:tc>
      </w:tr>
    </w:tbl>
    <w:p w14:paraId="540679D5" w14:textId="77777777" w:rsidR="00611BDD" w:rsidRDefault="002E18C7">
      <w:pPr>
        <w:spacing w:after="180"/>
        <w:jc w:val="center"/>
      </w:pPr>
      <w:r>
        <w:rPr>
          <w:rFonts w:ascii="sans-serif" w:eastAsia="sans-serif" w:hAnsi="sans-serif" w:cs="sans-serif"/>
          <w:color w:val="000000"/>
          <w:sz w:val="20"/>
          <w:szCs w:val="20"/>
        </w:rPr>
        <w:t>30</w:t>
      </w:r>
    </w:p>
    <w:p w14:paraId="540679D6" w14:textId="77777777" w:rsidR="00611BDD" w:rsidRDefault="002E18C7">
      <w:r>
        <w:pict w14:anchorId="54067C42">
          <v:rect id="_x0000_i1054" style="width:415.3pt;height:1.5pt" o:hralign="center" o:hrstd="t" o:hr="t" fillcolor="#a0a0a0" stroked="f"/>
        </w:pict>
      </w:r>
    </w:p>
    <w:p w14:paraId="540679D7" w14:textId="77777777" w:rsidR="00611BDD" w:rsidRDefault="00611BDD">
      <w:pPr>
        <w:spacing w:after="180"/>
        <w:jc w:val="both"/>
      </w:pPr>
    </w:p>
    <w:p w14:paraId="540679D8" w14:textId="77777777" w:rsidR="00611BDD" w:rsidRDefault="00611BDD">
      <w:pPr>
        <w:spacing w:after="180"/>
        <w:jc w:val="both"/>
      </w:pPr>
    </w:p>
    <w:p w14:paraId="540679D9" w14:textId="77777777" w:rsidR="00611BDD" w:rsidRDefault="00611BDD">
      <w:pPr>
        <w:spacing w:after="180"/>
        <w:jc w:val="both"/>
      </w:pPr>
    </w:p>
    <w:tbl>
      <w:tblPr>
        <w:tblW w:w="5000" w:type="pct"/>
        <w:tblCellMar>
          <w:top w:w="15" w:type="dxa"/>
          <w:left w:w="15" w:type="dxa"/>
          <w:bottom w:w="15" w:type="dxa"/>
          <w:right w:w="15" w:type="dxa"/>
        </w:tblCellMar>
        <w:tblLook w:val="04A0" w:firstRow="1" w:lastRow="0" w:firstColumn="1" w:lastColumn="0" w:noHBand="0" w:noVBand="1"/>
      </w:tblPr>
      <w:tblGrid>
        <w:gridCol w:w="40"/>
        <w:gridCol w:w="5289"/>
        <w:gridCol w:w="36"/>
        <w:gridCol w:w="122"/>
        <w:gridCol w:w="1291"/>
        <w:gridCol w:w="36"/>
        <w:gridCol w:w="36"/>
        <w:gridCol w:w="36"/>
        <w:gridCol w:w="36"/>
        <w:gridCol w:w="122"/>
        <w:gridCol w:w="1256"/>
        <w:gridCol w:w="36"/>
      </w:tblGrid>
      <w:tr w:rsidR="00611BDD" w14:paraId="540679E6" w14:textId="77777777">
        <w:tc>
          <w:tcPr>
            <w:tcW w:w="50" w:type="pct"/>
            <w:shd w:val="clear" w:color="auto" w:fill="auto"/>
            <w:vAlign w:val="bottom"/>
          </w:tcPr>
          <w:p w14:paraId="540679DA" w14:textId="77777777" w:rsidR="00611BDD" w:rsidRDefault="00611BDD">
            <w:pPr>
              <w:rPr>
                <w:rFonts w:ascii="宋体"/>
              </w:rPr>
            </w:pPr>
          </w:p>
        </w:tc>
        <w:tc>
          <w:tcPr>
            <w:tcW w:w="3197" w:type="pct"/>
            <w:shd w:val="clear" w:color="auto" w:fill="auto"/>
            <w:vAlign w:val="bottom"/>
          </w:tcPr>
          <w:p w14:paraId="540679DB" w14:textId="77777777" w:rsidR="00611BDD" w:rsidRDefault="00611BDD">
            <w:pPr>
              <w:rPr>
                <w:rFonts w:ascii="宋体"/>
              </w:rPr>
            </w:pPr>
          </w:p>
        </w:tc>
        <w:tc>
          <w:tcPr>
            <w:tcW w:w="5" w:type="pct"/>
            <w:shd w:val="clear" w:color="auto" w:fill="auto"/>
            <w:vAlign w:val="bottom"/>
          </w:tcPr>
          <w:p w14:paraId="540679DC" w14:textId="77777777" w:rsidR="00611BDD" w:rsidRDefault="00611BDD">
            <w:pPr>
              <w:rPr>
                <w:rFonts w:ascii="宋体"/>
              </w:rPr>
            </w:pPr>
          </w:p>
        </w:tc>
        <w:tc>
          <w:tcPr>
            <w:tcW w:w="50" w:type="pct"/>
            <w:shd w:val="clear" w:color="auto" w:fill="auto"/>
            <w:vAlign w:val="bottom"/>
          </w:tcPr>
          <w:p w14:paraId="540679DD" w14:textId="77777777" w:rsidR="00611BDD" w:rsidRDefault="00611BDD">
            <w:pPr>
              <w:rPr>
                <w:rFonts w:ascii="宋体"/>
              </w:rPr>
            </w:pPr>
          </w:p>
        </w:tc>
        <w:tc>
          <w:tcPr>
            <w:tcW w:w="800" w:type="pct"/>
            <w:shd w:val="clear" w:color="auto" w:fill="auto"/>
            <w:vAlign w:val="bottom"/>
          </w:tcPr>
          <w:p w14:paraId="540679DE" w14:textId="77777777" w:rsidR="00611BDD" w:rsidRDefault="00611BDD">
            <w:pPr>
              <w:rPr>
                <w:rFonts w:ascii="宋体"/>
              </w:rPr>
            </w:pPr>
          </w:p>
        </w:tc>
        <w:tc>
          <w:tcPr>
            <w:tcW w:w="5" w:type="pct"/>
            <w:shd w:val="clear" w:color="auto" w:fill="auto"/>
            <w:vAlign w:val="bottom"/>
          </w:tcPr>
          <w:p w14:paraId="540679DF" w14:textId="77777777" w:rsidR="00611BDD" w:rsidRDefault="00611BDD">
            <w:pPr>
              <w:rPr>
                <w:rFonts w:ascii="宋体"/>
              </w:rPr>
            </w:pPr>
          </w:p>
        </w:tc>
        <w:tc>
          <w:tcPr>
            <w:tcW w:w="5" w:type="pct"/>
            <w:shd w:val="clear" w:color="auto" w:fill="auto"/>
            <w:vAlign w:val="bottom"/>
          </w:tcPr>
          <w:p w14:paraId="540679E0" w14:textId="77777777" w:rsidR="00611BDD" w:rsidRDefault="00611BDD">
            <w:pPr>
              <w:rPr>
                <w:rFonts w:ascii="宋体"/>
              </w:rPr>
            </w:pPr>
          </w:p>
        </w:tc>
        <w:tc>
          <w:tcPr>
            <w:tcW w:w="26" w:type="pct"/>
            <w:shd w:val="clear" w:color="auto" w:fill="auto"/>
            <w:vAlign w:val="bottom"/>
          </w:tcPr>
          <w:p w14:paraId="540679E1" w14:textId="77777777" w:rsidR="00611BDD" w:rsidRDefault="00611BDD">
            <w:pPr>
              <w:rPr>
                <w:rFonts w:ascii="宋体"/>
              </w:rPr>
            </w:pPr>
          </w:p>
        </w:tc>
        <w:tc>
          <w:tcPr>
            <w:tcW w:w="5" w:type="pct"/>
            <w:shd w:val="clear" w:color="auto" w:fill="auto"/>
            <w:vAlign w:val="bottom"/>
          </w:tcPr>
          <w:p w14:paraId="540679E2" w14:textId="77777777" w:rsidR="00611BDD" w:rsidRDefault="00611BDD">
            <w:pPr>
              <w:rPr>
                <w:rFonts w:ascii="宋体"/>
              </w:rPr>
            </w:pPr>
          </w:p>
        </w:tc>
        <w:tc>
          <w:tcPr>
            <w:tcW w:w="50" w:type="pct"/>
            <w:shd w:val="clear" w:color="auto" w:fill="auto"/>
            <w:vAlign w:val="bottom"/>
          </w:tcPr>
          <w:p w14:paraId="540679E3" w14:textId="77777777" w:rsidR="00611BDD" w:rsidRDefault="00611BDD">
            <w:pPr>
              <w:rPr>
                <w:rFonts w:ascii="宋体"/>
              </w:rPr>
            </w:pPr>
          </w:p>
        </w:tc>
        <w:tc>
          <w:tcPr>
            <w:tcW w:w="800" w:type="pct"/>
            <w:shd w:val="clear" w:color="auto" w:fill="auto"/>
            <w:vAlign w:val="bottom"/>
          </w:tcPr>
          <w:p w14:paraId="540679E4" w14:textId="77777777" w:rsidR="00611BDD" w:rsidRDefault="00611BDD">
            <w:pPr>
              <w:rPr>
                <w:rFonts w:ascii="宋体"/>
              </w:rPr>
            </w:pPr>
          </w:p>
        </w:tc>
        <w:tc>
          <w:tcPr>
            <w:tcW w:w="5" w:type="pct"/>
            <w:shd w:val="clear" w:color="auto" w:fill="auto"/>
            <w:vAlign w:val="bottom"/>
          </w:tcPr>
          <w:p w14:paraId="540679E5" w14:textId="77777777" w:rsidR="00611BDD" w:rsidRDefault="00611BDD">
            <w:pPr>
              <w:rPr>
                <w:rFonts w:ascii="宋体"/>
              </w:rPr>
            </w:pPr>
          </w:p>
        </w:tc>
      </w:tr>
      <w:tr w:rsidR="00611BDD" w14:paraId="540679E9" w14:textId="77777777">
        <w:tc>
          <w:tcPr>
            <w:tcW w:w="0" w:type="auto"/>
            <w:gridSpan w:val="3"/>
            <w:shd w:val="clear" w:color="auto" w:fill="auto"/>
            <w:tcMar>
              <w:top w:w="40" w:type="dxa"/>
              <w:left w:w="20" w:type="dxa"/>
              <w:bottom w:w="40" w:type="dxa"/>
              <w:right w:w="20" w:type="dxa"/>
            </w:tcMar>
            <w:vAlign w:val="bottom"/>
          </w:tcPr>
          <w:p w14:paraId="540679E7" w14:textId="77777777" w:rsidR="00611BDD" w:rsidRDefault="002E18C7">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540679E8" w14:textId="77777777" w:rsidR="00611BDD" w:rsidRDefault="002E18C7">
            <w:pPr>
              <w:jc w:val="center"/>
              <w:textAlignment w:val="bottom"/>
            </w:pPr>
            <w:r>
              <w:rPr>
                <w:rFonts w:ascii="sans-serif" w:eastAsia="sans-serif" w:hAnsi="sans-serif" w:cs="sans-serif"/>
                <w:b/>
                <w:bCs/>
                <w:color w:val="000000"/>
                <w:sz w:val="20"/>
                <w:szCs w:val="20"/>
              </w:rPr>
              <w:t>Six Months Ended</w:t>
            </w:r>
          </w:p>
        </w:tc>
      </w:tr>
      <w:tr w:rsidR="00611BDD" w14:paraId="540679EE" w14:textId="77777777">
        <w:tc>
          <w:tcPr>
            <w:tcW w:w="0" w:type="auto"/>
            <w:gridSpan w:val="3"/>
            <w:shd w:val="clear" w:color="auto" w:fill="auto"/>
            <w:tcMar>
              <w:top w:w="0" w:type="dxa"/>
              <w:left w:w="20" w:type="dxa"/>
              <w:bottom w:w="0" w:type="dxa"/>
              <w:right w:w="20" w:type="dxa"/>
            </w:tcMar>
            <w:vAlign w:val="bottom"/>
          </w:tcPr>
          <w:p w14:paraId="540679EA"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79EB" w14:textId="77777777" w:rsidR="00611BDD" w:rsidRDefault="002E18C7">
            <w:pPr>
              <w:jc w:val="center"/>
              <w:textAlignment w:val="bottom"/>
            </w:pPr>
            <w:r>
              <w:rPr>
                <w:rFonts w:ascii="sans-serif" w:eastAsia="sans-serif" w:hAnsi="sans-serif" w:cs="sans-serif"/>
                <w:b/>
                <w:bCs/>
                <w:color w:val="000000"/>
                <w:sz w:val="20"/>
                <w:szCs w:val="20"/>
              </w:rPr>
              <w:t>August 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9EC" w14:textId="77777777" w:rsidR="00611BDD" w:rsidRDefault="00611BD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40679ED" w14:textId="77777777" w:rsidR="00611BDD" w:rsidRDefault="002E18C7">
            <w:pPr>
              <w:jc w:val="center"/>
              <w:textAlignment w:val="bottom"/>
            </w:pPr>
            <w:r>
              <w:rPr>
                <w:rFonts w:ascii="sans-serif" w:eastAsia="sans-serif" w:hAnsi="sans-serif" w:cs="sans-serif"/>
                <w:b/>
                <w:bCs/>
                <w:color w:val="000000"/>
                <w:sz w:val="20"/>
                <w:szCs w:val="20"/>
              </w:rPr>
              <w:t>July 26, 2020</w:t>
            </w:r>
          </w:p>
        </w:tc>
      </w:tr>
      <w:tr w:rsidR="00611BDD" w14:paraId="540679F3" w14:textId="77777777">
        <w:trPr>
          <w:trHeight w:val="60"/>
        </w:trPr>
        <w:tc>
          <w:tcPr>
            <w:tcW w:w="0" w:type="auto"/>
            <w:gridSpan w:val="3"/>
            <w:shd w:val="clear" w:color="auto" w:fill="auto"/>
            <w:tcMar>
              <w:top w:w="0" w:type="dxa"/>
              <w:left w:w="20" w:type="dxa"/>
              <w:bottom w:w="0" w:type="dxa"/>
              <w:right w:w="20" w:type="dxa"/>
            </w:tcMar>
            <w:vAlign w:val="bottom"/>
          </w:tcPr>
          <w:p w14:paraId="540679EF"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9F0"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9F1"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9F2" w14:textId="77777777" w:rsidR="00611BDD" w:rsidRDefault="00611BDD">
            <w:pPr>
              <w:rPr>
                <w:rFonts w:ascii="宋体"/>
              </w:rPr>
            </w:pPr>
          </w:p>
        </w:tc>
      </w:tr>
      <w:tr w:rsidR="00611BDD" w14:paraId="540679F6" w14:textId="77777777">
        <w:tc>
          <w:tcPr>
            <w:tcW w:w="0" w:type="auto"/>
            <w:gridSpan w:val="3"/>
            <w:shd w:val="clear" w:color="auto" w:fill="auto"/>
            <w:tcMar>
              <w:top w:w="40" w:type="dxa"/>
              <w:left w:w="20" w:type="dxa"/>
              <w:bottom w:w="40" w:type="dxa"/>
              <w:right w:w="20" w:type="dxa"/>
            </w:tcMar>
            <w:vAlign w:val="bottom"/>
          </w:tcPr>
          <w:p w14:paraId="540679F4" w14:textId="77777777" w:rsidR="00611BDD" w:rsidRDefault="002E18C7">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540679F5" w14:textId="77777777" w:rsidR="00611BDD" w:rsidRDefault="002E18C7">
            <w:pPr>
              <w:jc w:val="center"/>
              <w:textAlignment w:val="bottom"/>
            </w:pPr>
            <w:r>
              <w:rPr>
                <w:rFonts w:ascii="sans-serif" w:eastAsia="sans-serif" w:hAnsi="sans-serif" w:cs="sans-serif"/>
                <w:i/>
                <w:iCs/>
                <w:color w:val="000000"/>
                <w:sz w:val="20"/>
                <w:szCs w:val="20"/>
              </w:rPr>
              <w:t>(In millions)</w:t>
            </w:r>
          </w:p>
        </w:tc>
      </w:tr>
      <w:tr w:rsidR="00611BDD" w14:paraId="540679FF" w14:textId="77777777">
        <w:tc>
          <w:tcPr>
            <w:tcW w:w="0" w:type="auto"/>
            <w:gridSpan w:val="3"/>
            <w:shd w:val="clear" w:color="auto" w:fill="E2EFD9"/>
            <w:tcMar>
              <w:top w:w="40" w:type="dxa"/>
              <w:left w:w="20" w:type="dxa"/>
              <w:bottom w:w="40" w:type="dxa"/>
              <w:right w:w="20" w:type="dxa"/>
            </w:tcMar>
            <w:vAlign w:val="bottom"/>
          </w:tcPr>
          <w:p w14:paraId="540679F7" w14:textId="77777777" w:rsidR="00611BDD" w:rsidRDefault="002E18C7">
            <w:pPr>
              <w:textAlignment w:val="bottom"/>
            </w:pPr>
            <w:r>
              <w:rPr>
                <w:rFonts w:ascii="sans-serif" w:eastAsia="sans-serif" w:hAnsi="sans-serif" w:cs="sans-serif"/>
                <w:color w:val="000000"/>
                <w:sz w:val="20"/>
                <w:szCs w:val="20"/>
              </w:rPr>
              <w:t>Net cash provided by operating activities</w:t>
            </w:r>
          </w:p>
        </w:tc>
        <w:tc>
          <w:tcPr>
            <w:tcW w:w="0" w:type="auto"/>
            <w:shd w:val="clear" w:color="auto" w:fill="E2EFD9"/>
            <w:tcMar>
              <w:top w:w="40" w:type="dxa"/>
              <w:left w:w="20" w:type="dxa"/>
              <w:bottom w:w="40" w:type="dxa"/>
              <w:right w:w="0" w:type="dxa"/>
            </w:tcMar>
            <w:vAlign w:val="bottom"/>
          </w:tcPr>
          <w:p w14:paraId="540679F8"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9F9" w14:textId="77777777" w:rsidR="00611BDD" w:rsidRDefault="002E18C7">
            <w:pPr>
              <w:jc w:val="right"/>
              <w:textAlignment w:val="bottom"/>
            </w:pPr>
            <w:r>
              <w:rPr>
                <w:rFonts w:ascii="sans-serif" w:eastAsia="sans-serif" w:hAnsi="sans-serif" w:cs="sans-serif"/>
                <w:color w:val="000000"/>
                <w:sz w:val="20"/>
                <w:szCs w:val="20"/>
              </w:rPr>
              <w:t>4,556 </w:t>
            </w:r>
          </w:p>
        </w:tc>
        <w:tc>
          <w:tcPr>
            <w:tcW w:w="0" w:type="auto"/>
            <w:shd w:val="clear" w:color="auto" w:fill="E2EFD9"/>
            <w:tcMar>
              <w:top w:w="40" w:type="dxa"/>
              <w:left w:w="0" w:type="dxa"/>
              <w:bottom w:w="40" w:type="dxa"/>
              <w:right w:w="20" w:type="dxa"/>
            </w:tcMar>
            <w:vAlign w:val="bottom"/>
          </w:tcPr>
          <w:p w14:paraId="540679FA"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9FB"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9FC"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9FD" w14:textId="77777777" w:rsidR="00611BDD" w:rsidRDefault="002E18C7">
            <w:pPr>
              <w:jc w:val="right"/>
              <w:textAlignment w:val="bottom"/>
            </w:pPr>
            <w:r>
              <w:rPr>
                <w:rFonts w:ascii="sans-serif" w:eastAsia="sans-serif" w:hAnsi="sans-serif" w:cs="sans-serif"/>
                <w:color w:val="000000"/>
                <w:sz w:val="20"/>
                <w:szCs w:val="20"/>
              </w:rPr>
              <w:t>2,476 </w:t>
            </w:r>
          </w:p>
        </w:tc>
        <w:tc>
          <w:tcPr>
            <w:tcW w:w="0" w:type="auto"/>
            <w:shd w:val="clear" w:color="auto" w:fill="E2EFD9"/>
            <w:tcMar>
              <w:top w:w="40" w:type="dxa"/>
              <w:left w:w="0" w:type="dxa"/>
              <w:bottom w:w="40" w:type="dxa"/>
              <w:right w:w="20" w:type="dxa"/>
            </w:tcMar>
            <w:vAlign w:val="bottom"/>
          </w:tcPr>
          <w:p w14:paraId="540679FE" w14:textId="77777777" w:rsidR="00611BDD" w:rsidRDefault="00611BDD">
            <w:pPr>
              <w:jc w:val="right"/>
              <w:rPr>
                <w:rFonts w:ascii="宋体"/>
              </w:rPr>
            </w:pPr>
          </w:p>
        </w:tc>
      </w:tr>
      <w:tr w:rsidR="00611BDD" w14:paraId="54067A08" w14:textId="77777777">
        <w:tc>
          <w:tcPr>
            <w:tcW w:w="0" w:type="auto"/>
            <w:gridSpan w:val="3"/>
            <w:shd w:val="clear" w:color="auto" w:fill="FFFFFF"/>
            <w:tcMar>
              <w:top w:w="40" w:type="dxa"/>
              <w:left w:w="20" w:type="dxa"/>
              <w:bottom w:w="40" w:type="dxa"/>
              <w:right w:w="20" w:type="dxa"/>
            </w:tcMar>
            <w:vAlign w:val="bottom"/>
          </w:tcPr>
          <w:p w14:paraId="54067A00" w14:textId="77777777" w:rsidR="00611BDD" w:rsidRDefault="002E18C7">
            <w:pPr>
              <w:textAlignment w:val="bottom"/>
            </w:pPr>
            <w:r>
              <w:rPr>
                <w:rFonts w:ascii="sans-serif" w:eastAsia="sans-serif" w:hAnsi="sans-serif" w:cs="sans-serif"/>
                <w:color w:val="000000"/>
                <w:sz w:val="20"/>
                <w:szCs w:val="20"/>
              </w:rPr>
              <w:t>Net cash used in investing activities</w:t>
            </w:r>
          </w:p>
        </w:tc>
        <w:tc>
          <w:tcPr>
            <w:tcW w:w="0" w:type="auto"/>
            <w:shd w:val="clear" w:color="auto" w:fill="FFFFFF"/>
            <w:tcMar>
              <w:top w:w="40" w:type="dxa"/>
              <w:left w:w="20" w:type="dxa"/>
              <w:bottom w:w="40" w:type="dxa"/>
              <w:right w:w="0" w:type="dxa"/>
            </w:tcMar>
            <w:vAlign w:val="bottom"/>
          </w:tcPr>
          <w:p w14:paraId="54067A01"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7A02" w14:textId="77777777" w:rsidR="00611BDD" w:rsidRDefault="002E18C7">
            <w:pPr>
              <w:jc w:val="right"/>
              <w:textAlignment w:val="bottom"/>
            </w:pPr>
            <w:r>
              <w:rPr>
                <w:rFonts w:ascii="sans-serif" w:eastAsia="sans-serif" w:hAnsi="sans-serif" w:cs="sans-serif"/>
                <w:color w:val="000000"/>
                <w:sz w:val="20"/>
                <w:szCs w:val="20"/>
              </w:rPr>
              <w:t>(3,805)</w:t>
            </w:r>
          </w:p>
        </w:tc>
        <w:tc>
          <w:tcPr>
            <w:tcW w:w="0" w:type="auto"/>
            <w:shd w:val="clear" w:color="auto" w:fill="FFFFFF"/>
            <w:tcMar>
              <w:top w:w="40" w:type="dxa"/>
              <w:left w:w="0" w:type="dxa"/>
              <w:bottom w:w="40" w:type="dxa"/>
              <w:right w:w="20" w:type="dxa"/>
            </w:tcMar>
            <w:vAlign w:val="bottom"/>
          </w:tcPr>
          <w:p w14:paraId="54067A03" w14:textId="77777777" w:rsidR="00611BDD" w:rsidRDefault="00611BDD">
            <w:pPr>
              <w:jc w:val="right"/>
              <w:rPr>
                <w:rFonts w:ascii="宋体"/>
              </w:rPr>
            </w:pPr>
          </w:p>
        </w:tc>
        <w:tc>
          <w:tcPr>
            <w:tcW w:w="0" w:type="auto"/>
            <w:gridSpan w:val="3"/>
            <w:shd w:val="clear" w:color="auto" w:fill="FFFFFF"/>
            <w:tcMar>
              <w:top w:w="0" w:type="dxa"/>
              <w:left w:w="20" w:type="dxa"/>
              <w:bottom w:w="0" w:type="dxa"/>
              <w:right w:w="20" w:type="dxa"/>
            </w:tcMar>
            <w:vAlign w:val="bottom"/>
          </w:tcPr>
          <w:p w14:paraId="54067A04" w14:textId="77777777" w:rsidR="00611BDD" w:rsidRDefault="00611BDD">
            <w:pPr>
              <w:rPr>
                <w:rFonts w:ascii="宋体"/>
              </w:rPr>
            </w:pPr>
          </w:p>
        </w:tc>
        <w:tc>
          <w:tcPr>
            <w:tcW w:w="0" w:type="auto"/>
            <w:shd w:val="clear" w:color="auto" w:fill="FFFFFF"/>
            <w:tcMar>
              <w:top w:w="40" w:type="dxa"/>
              <w:left w:w="20" w:type="dxa"/>
              <w:bottom w:w="40" w:type="dxa"/>
              <w:right w:w="0" w:type="dxa"/>
            </w:tcMar>
            <w:vAlign w:val="bottom"/>
          </w:tcPr>
          <w:p w14:paraId="54067A05"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54067A06" w14:textId="77777777" w:rsidR="00611BDD" w:rsidRDefault="002E18C7">
            <w:pPr>
              <w:jc w:val="right"/>
              <w:textAlignment w:val="bottom"/>
            </w:pPr>
            <w:r>
              <w:rPr>
                <w:rFonts w:ascii="sans-serif" w:eastAsia="sans-serif" w:hAnsi="sans-serif" w:cs="sans-serif"/>
                <w:color w:val="000000"/>
                <w:sz w:val="20"/>
                <w:szCs w:val="20"/>
              </w:rPr>
              <w:t>(14,545)</w:t>
            </w:r>
          </w:p>
        </w:tc>
        <w:tc>
          <w:tcPr>
            <w:tcW w:w="0" w:type="auto"/>
            <w:shd w:val="clear" w:color="auto" w:fill="FFFFFF"/>
            <w:tcMar>
              <w:top w:w="40" w:type="dxa"/>
              <w:left w:w="0" w:type="dxa"/>
              <w:bottom w:w="40" w:type="dxa"/>
              <w:right w:w="20" w:type="dxa"/>
            </w:tcMar>
            <w:vAlign w:val="bottom"/>
          </w:tcPr>
          <w:p w14:paraId="54067A07" w14:textId="77777777" w:rsidR="00611BDD" w:rsidRDefault="00611BDD">
            <w:pPr>
              <w:jc w:val="right"/>
              <w:rPr>
                <w:rFonts w:ascii="宋体"/>
              </w:rPr>
            </w:pPr>
          </w:p>
        </w:tc>
      </w:tr>
      <w:tr w:rsidR="00611BDD" w14:paraId="54067A11" w14:textId="77777777">
        <w:tc>
          <w:tcPr>
            <w:tcW w:w="0" w:type="auto"/>
            <w:gridSpan w:val="3"/>
            <w:shd w:val="clear" w:color="auto" w:fill="E2EFD9"/>
            <w:tcMar>
              <w:top w:w="40" w:type="dxa"/>
              <w:left w:w="20" w:type="dxa"/>
              <w:bottom w:w="40" w:type="dxa"/>
              <w:right w:w="20" w:type="dxa"/>
            </w:tcMar>
            <w:vAlign w:val="bottom"/>
          </w:tcPr>
          <w:p w14:paraId="54067A09" w14:textId="77777777" w:rsidR="00611BDD" w:rsidRDefault="002E18C7">
            <w:pPr>
              <w:textAlignment w:val="bottom"/>
            </w:pPr>
            <w:r>
              <w:rPr>
                <w:rFonts w:ascii="sans-serif" w:eastAsia="sans-serif" w:hAnsi="sans-serif" w:cs="sans-serif"/>
                <w:color w:val="000000"/>
                <w:sz w:val="20"/>
                <w:szCs w:val="20"/>
              </w:rPr>
              <w:t>Net cash provided by financing activities</w:t>
            </w:r>
          </w:p>
        </w:tc>
        <w:tc>
          <w:tcPr>
            <w:tcW w:w="0" w:type="auto"/>
            <w:shd w:val="clear" w:color="auto" w:fill="E2EFD9"/>
            <w:tcMar>
              <w:top w:w="40" w:type="dxa"/>
              <w:left w:w="20" w:type="dxa"/>
              <w:bottom w:w="40" w:type="dxa"/>
              <w:right w:w="0" w:type="dxa"/>
            </w:tcMar>
            <w:vAlign w:val="bottom"/>
          </w:tcPr>
          <w:p w14:paraId="54067A0A"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A0B" w14:textId="77777777" w:rsidR="00611BDD" w:rsidRDefault="002E18C7">
            <w:pPr>
              <w:jc w:val="right"/>
              <w:textAlignment w:val="bottom"/>
            </w:pPr>
            <w:r>
              <w:rPr>
                <w:rFonts w:ascii="sans-serif" w:eastAsia="sans-serif" w:hAnsi="sans-serif" w:cs="sans-serif"/>
                <w:color w:val="000000"/>
                <w:sz w:val="20"/>
                <w:szCs w:val="20"/>
              </w:rPr>
              <w:t>4,030 </w:t>
            </w:r>
          </w:p>
        </w:tc>
        <w:tc>
          <w:tcPr>
            <w:tcW w:w="0" w:type="auto"/>
            <w:shd w:val="clear" w:color="auto" w:fill="E2EFD9"/>
            <w:tcMar>
              <w:top w:w="40" w:type="dxa"/>
              <w:left w:w="0" w:type="dxa"/>
              <w:bottom w:w="40" w:type="dxa"/>
              <w:right w:w="20" w:type="dxa"/>
            </w:tcMar>
            <w:vAlign w:val="bottom"/>
          </w:tcPr>
          <w:p w14:paraId="54067A0C" w14:textId="77777777" w:rsidR="00611BDD" w:rsidRDefault="00611BDD">
            <w:pPr>
              <w:jc w:val="right"/>
              <w:rPr>
                <w:rFonts w:ascii="宋体"/>
              </w:rPr>
            </w:pPr>
          </w:p>
        </w:tc>
        <w:tc>
          <w:tcPr>
            <w:tcW w:w="0" w:type="auto"/>
            <w:gridSpan w:val="3"/>
            <w:shd w:val="clear" w:color="auto" w:fill="E2EFD9"/>
            <w:tcMar>
              <w:top w:w="0" w:type="dxa"/>
              <w:left w:w="20" w:type="dxa"/>
              <w:bottom w:w="0" w:type="dxa"/>
              <w:right w:w="20" w:type="dxa"/>
            </w:tcMar>
            <w:vAlign w:val="bottom"/>
          </w:tcPr>
          <w:p w14:paraId="54067A0D" w14:textId="77777777" w:rsidR="00611BDD" w:rsidRDefault="00611BDD">
            <w:pPr>
              <w:rPr>
                <w:rFonts w:ascii="宋体"/>
              </w:rPr>
            </w:pPr>
          </w:p>
        </w:tc>
        <w:tc>
          <w:tcPr>
            <w:tcW w:w="0" w:type="auto"/>
            <w:shd w:val="clear" w:color="auto" w:fill="E2EFD9"/>
            <w:tcMar>
              <w:top w:w="40" w:type="dxa"/>
              <w:left w:w="20" w:type="dxa"/>
              <w:bottom w:w="40" w:type="dxa"/>
              <w:right w:w="0" w:type="dxa"/>
            </w:tcMar>
            <w:vAlign w:val="bottom"/>
          </w:tcPr>
          <w:p w14:paraId="54067A0E" w14:textId="77777777" w:rsidR="00611BDD" w:rsidRDefault="002E18C7">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54067A0F" w14:textId="77777777" w:rsidR="00611BDD" w:rsidRDefault="002E18C7">
            <w:pPr>
              <w:jc w:val="right"/>
              <w:textAlignment w:val="bottom"/>
            </w:pPr>
            <w:r>
              <w:rPr>
                <w:rFonts w:ascii="sans-serif" w:eastAsia="sans-serif" w:hAnsi="sans-serif" w:cs="sans-serif"/>
                <w:color w:val="000000"/>
                <w:sz w:val="20"/>
                <w:szCs w:val="20"/>
              </w:rPr>
              <w:t>4,447 </w:t>
            </w:r>
          </w:p>
        </w:tc>
        <w:tc>
          <w:tcPr>
            <w:tcW w:w="0" w:type="auto"/>
            <w:shd w:val="clear" w:color="auto" w:fill="E2EFD9"/>
            <w:tcMar>
              <w:top w:w="40" w:type="dxa"/>
              <w:left w:w="0" w:type="dxa"/>
              <w:bottom w:w="40" w:type="dxa"/>
              <w:right w:w="20" w:type="dxa"/>
            </w:tcMar>
            <w:vAlign w:val="bottom"/>
          </w:tcPr>
          <w:p w14:paraId="54067A10" w14:textId="77777777" w:rsidR="00611BDD" w:rsidRDefault="00611BDD">
            <w:pPr>
              <w:jc w:val="right"/>
              <w:rPr>
                <w:rFonts w:ascii="宋体"/>
              </w:rPr>
            </w:pPr>
          </w:p>
        </w:tc>
      </w:tr>
    </w:tbl>
    <w:p w14:paraId="54067A12" w14:textId="77777777" w:rsidR="00611BDD" w:rsidRDefault="002E18C7">
      <w:pPr>
        <w:spacing w:before="360" w:after="180"/>
        <w:jc w:val="both"/>
      </w:pPr>
      <w:r>
        <w:rPr>
          <w:rFonts w:ascii="sans-serif" w:eastAsia="sans-serif" w:hAnsi="sans-serif" w:cs="sans-serif"/>
          <w:color w:val="000000"/>
          <w:sz w:val="20"/>
          <w:szCs w:val="20"/>
        </w:rPr>
        <w:t>As of August 1, 2021, we had $19.65 billion in cash, cash equivalents and marketable securities, an increase of $8.09 billion from the end of fiscal year 2021. Our investment policy requires the purchase of highly rated fixed income securities, the diversi</w:t>
      </w:r>
      <w:r>
        <w:rPr>
          <w:rFonts w:ascii="sans-serif" w:eastAsia="sans-serif" w:hAnsi="sans-serif" w:cs="sans-serif"/>
          <w:color w:val="000000"/>
          <w:sz w:val="20"/>
          <w:szCs w:val="20"/>
        </w:rPr>
        <w:t xml:space="preserve">fication of investment types and credit exposures, and certain maturity limits on our portfolio. </w:t>
      </w:r>
    </w:p>
    <w:p w14:paraId="54067A13" w14:textId="77777777" w:rsidR="00611BDD" w:rsidRDefault="002E18C7">
      <w:pPr>
        <w:spacing w:before="120" w:after="120"/>
        <w:jc w:val="both"/>
      </w:pPr>
      <w:r>
        <w:rPr>
          <w:rFonts w:ascii="sans-serif" w:eastAsia="sans-serif" w:hAnsi="sans-serif" w:cs="sans-serif"/>
          <w:color w:val="000000"/>
          <w:sz w:val="20"/>
          <w:szCs w:val="20"/>
        </w:rPr>
        <w:t>Cash provided by operating activities increased in the first half of fiscal year 2022 compared to the first half of fiscal year 2021, due to higher net income</w:t>
      </w:r>
      <w:r>
        <w:rPr>
          <w:rFonts w:ascii="sans-serif" w:eastAsia="sans-serif" w:hAnsi="sans-serif" w:cs="sans-serif"/>
          <w:color w:val="000000"/>
          <w:sz w:val="20"/>
          <w:szCs w:val="20"/>
        </w:rPr>
        <w:t>, partially offset by changes in working capital. Changes in working capital include increases in outstanding trade receivables due to higher revenue and decreased shipment linearity.</w:t>
      </w:r>
    </w:p>
    <w:p w14:paraId="54067A14" w14:textId="77777777" w:rsidR="00611BDD" w:rsidRDefault="002E18C7">
      <w:pPr>
        <w:spacing w:before="120" w:after="120"/>
        <w:jc w:val="both"/>
      </w:pPr>
      <w:r>
        <w:rPr>
          <w:rFonts w:ascii="sans-serif" w:eastAsia="sans-serif" w:hAnsi="sans-serif" w:cs="sans-serif"/>
          <w:color w:val="000000"/>
          <w:sz w:val="20"/>
          <w:szCs w:val="20"/>
        </w:rPr>
        <w:t xml:space="preserve">Cash used in investing activities decreased in the first half of </w:t>
      </w:r>
      <w:r>
        <w:rPr>
          <w:rFonts w:ascii="sans-serif" w:eastAsia="sans-serif" w:hAnsi="sans-serif" w:cs="sans-serif"/>
          <w:color w:val="000000"/>
          <w:sz w:val="20"/>
          <w:szCs w:val="20"/>
        </w:rPr>
        <w:t>fiscal year 2022 compared to cash used in the first half of fiscal year 2021, primarily driven by the acquisition of Mellanox in the second quarter of fiscal year 2021 and higher sales and maturities of marketable securities, partially offset by higher pur</w:t>
      </w:r>
      <w:r>
        <w:rPr>
          <w:rFonts w:ascii="sans-serif" w:eastAsia="sans-serif" w:hAnsi="sans-serif" w:cs="sans-serif"/>
          <w:color w:val="000000"/>
          <w:sz w:val="20"/>
          <w:szCs w:val="20"/>
        </w:rPr>
        <w:t>chases of marketable securities and higher purchases of property and equipment and intangible assets.</w:t>
      </w:r>
    </w:p>
    <w:p w14:paraId="54067A15" w14:textId="77777777" w:rsidR="00611BDD" w:rsidRDefault="002E18C7">
      <w:pPr>
        <w:spacing w:before="120" w:after="120"/>
        <w:jc w:val="both"/>
      </w:pPr>
      <w:r>
        <w:rPr>
          <w:rFonts w:ascii="sans-serif" w:eastAsia="sans-serif" w:hAnsi="sans-serif" w:cs="sans-serif"/>
          <w:color w:val="000000"/>
          <w:sz w:val="20"/>
          <w:szCs w:val="20"/>
        </w:rPr>
        <w:t>Cash provided by financing activities decreased in the first half of fiscal year 2022 compared to cash provided in the first half of fiscal year 2021, whi</w:t>
      </w:r>
      <w:r>
        <w:rPr>
          <w:rFonts w:ascii="sans-serif" w:eastAsia="sans-serif" w:hAnsi="sans-serif" w:cs="sans-serif"/>
          <w:color w:val="000000"/>
          <w:sz w:val="20"/>
          <w:szCs w:val="20"/>
        </w:rPr>
        <w:t>ch primarily reflects higher payments related to tax on restricted stock units.</w:t>
      </w:r>
    </w:p>
    <w:p w14:paraId="54067A16" w14:textId="77777777" w:rsidR="00611BDD" w:rsidRDefault="002E18C7">
      <w:pPr>
        <w:spacing w:after="180"/>
        <w:jc w:val="both"/>
      </w:pPr>
      <w:r>
        <w:rPr>
          <w:rFonts w:ascii="sans-serif" w:eastAsia="sans-serif" w:hAnsi="sans-serif" w:cs="sans-serif"/>
          <w:b/>
          <w:bCs/>
          <w:color w:val="000000"/>
          <w:sz w:val="20"/>
          <w:szCs w:val="20"/>
        </w:rPr>
        <w:t>Liquidity</w:t>
      </w:r>
    </w:p>
    <w:p w14:paraId="54067A17" w14:textId="77777777" w:rsidR="00611BDD" w:rsidRDefault="002E18C7">
      <w:pPr>
        <w:spacing w:after="180"/>
        <w:jc w:val="both"/>
      </w:pPr>
      <w:r>
        <w:rPr>
          <w:rFonts w:ascii="sans-serif" w:eastAsia="sans-serif" w:hAnsi="sans-serif" w:cs="sans-serif"/>
          <w:color w:val="000000"/>
          <w:sz w:val="20"/>
          <w:szCs w:val="20"/>
        </w:rPr>
        <w:t>Our primary sources of liquidity are our cash and cash equivalents, our marketable securities, and the cash generated by our operations. As of August 1, 2021, we had $19.65 billion in cash, cash equivalents, and marketable securities. Our marketable securi</w:t>
      </w:r>
      <w:r>
        <w:rPr>
          <w:rFonts w:ascii="sans-serif" w:eastAsia="sans-serif" w:hAnsi="sans-serif" w:cs="sans-serif"/>
          <w:color w:val="000000"/>
          <w:sz w:val="20"/>
          <w:szCs w:val="20"/>
        </w:rPr>
        <w:t>ties consist of certificates of deposits and debt securities issued by the U.S. government and its agencies, highly rated corporations and financial institutions, and foreign government entities. These marketable securities are primarily denominated in U.S</w:t>
      </w:r>
      <w:r>
        <w:rPr>
          <w:rFonts w:ascii="sans-serif" w:eastAsia="sans-serif" w:hAnsi="sans-serif" w:cs="sans-serif"/>
          <w:color w:val="000000"/>
          <w:sz w:val="20"/>
          <w:szCs w:val="20"/>
        </w:rPr>
        <w:t>. dollars. Refer to Note 7 of the Notes to Condensed Consolidated Financial Statements for additional information. We believe that we have sufficient liquidity to meet our operating requirements for at least the next 12 months, and for the foreseeable futu</w:t>
      </w:r>
      <w:r>
        <w:rPr>
          <w:rFonts w:ascii="sans-serif" w:eastAsia="sans-serif" w:hAnsi="sans-serif" w:cs="sans-serif"/>
          <w:color w:val="000000"/>
          <w:sz w:val="20"/>
          <w:szCs w:val="20"/>
        </w:rPr>
        <w:t xml:space="preserve">re, including our proposed acquisition of Arm and current and future obligations to secure normal and incremental supply and capacity. We continuously evaluate our liquidity and capital resources, including our access to external capital, to ensure we can </w:t>
      </w:r>
      <w:r>
        <w:rPr>
          <w:rFonts w:ascii="sans-serif" w:eastAsia="sans-serif" w:hAnsi="sans-serif" w:cs="sans-serif"/>
          <w:color w:val="000000"/>
          <w:sz w:val="20"/>
          <w:szCs w:val="20"/>
        </w:rPr>
        <w:t xml:space="preserve">finance our future capital requirements. </w:t>
      </w:r>
    </w:p>
    <w:p w14:paraId="54067A18" w14:textId="77777777" w:rsidR="00611BDD" w:rsidRDefault="002E18C7">
      <w:pPr>
        <w:spacing w:after="180"/>
        <w:jc w:val="both"/>
      </w:pPr>
      <w:r>
        <w:rPr>
          <w:rFonts w:ascii="sans-serif" w:eastAsia="sans-serif" w:hAnsi="sans-serif" w:cs="sans-serif"/>
          <w:color w:val="000000"/>
          <w:sz w:val="20"/>
          <w:szCs w:val="20"/>
        </w:rPr>
        <w:t>We have approximately $1.8 billion of cash, cash equivalents, and marketable securities held outside the U.S. for which we have not accrued any related foreign or state taxes if we repatriate these amounts to the U</w:t>
      </w:r>
      <w:r>
        <w:rPr>
          <w:rFonts w:ascii="sans-serif" w:eastAsia="sans-serif" w:hAnsi="sans-serif" w:cs="sans-serif"/>
          <w:color w:val="000000"/>
          <w:sz w:val="20"/>
          <w:szCs w:val="20"/>
        </w:rPr>
        <w:t>.S. Other than that, substantially all of our cash, cash equivalents and marketable securities held outside of the U.S. as of August 1, 2021 are available for use in the U.S. without incurring additional U.S. federal income taxes. Following the Domesticati</w:t>
      </w:r>
      <w:r>
        <w:rPr>
          <w:rFonts w:ascii="sans-serif" w:eastAsia="sans-serif" w:hAnsi="sans-serif" w:cs="sans-serif"/>
          <w:color w:val="000000"/>
          <w:sz w:val="20"/>
          <w:szCs w:val="20"/>
        </w:rPr>
        <w:t>on, we expect to fully utilize our accumulated U.S. federal research tax credits during fiscal year 2022, resulting in higher cash tax payments starting in fiscal year 2023.</w:t>
      </w:r>
    </w:p>
    <w:p w14:paraId="54067A19" w14:textId="77777777" w:rsidR="00611BDD" w:rsidRDefault="002E18C7">
      <w:pPr>
        <w:spacing w:before="120" w:after="120"/>
        <w:jc w:val="both"/>
      </w:pPr>
      <w:r>
        <w:rPr>
          <w:rFonts w:ascii="sans-serif" w:eastAsia="sans-serif" w:hAnsi="sans-serif" w:cs="sans-serif"/>
          <w:b/>
          <w:bCs/>
          <w:color w:val="000000"/>
          <w:sz w:val="20"/>
          <w:szCs w:val="20"/>
        </w:rPr>
        <w:t>Capital Return to Shareholders</w:t>
      </w:r>
    </w:p>
    <w:p w14:paraId="54067A1A" w14:textId="77777777" w:rsidR="00611BDD" w:rsidRDefault="002E18C7">
      <w:pPr>
        <w:spacing w:before="120" w:after="120"/>
        <w:jc w:val="both"/>
      </w:pPr>
      <w:r>
        <w:rPr>
          <w:rFonts w:ascii="sans-serif" w:eastAsia="sans-serif" w:hAnsi="sans-serif" w:cs="sans-serif"/>
          <w:color w:val="000000"/>
          <w:sz w:val="20"/>
          <w:szCs w:val="20"/>
        </w:rPr>
        <w:t>In the first half of fiscal year 2022, we paid $198</w:t>
      </w:r>
      <w:r>
        <w:rPr>
          <w:rFonts w:ascii="sans-serif" w:eastAsia="sans-serif" w:hAnsi="sans-serif" w:cs="sans-serif"/>
          <w:color w:val="000000"/>
          <w:sz w:val="20"/>
          <w:szCs w:val="20"/>
        </w:rPr>
        <w:t xml:space="preserve"> million in quarterly cash dividends. Our cash dividend program and the payment of future cash dividends under that program are subject to the continuing determination by our Board of Directors that the dividend program and the declaration of dividends the</w:t>
      </w:r>
      <w:r>
        <w:rPr>
          <w:rFonts w:ascii="sans-serif" w:eastAsia="sans-serif" w:hAnsi="sans-serif" w:cs="sans-serif"/>
          <w:color w:val="000000"/>
          <w:sz w:val="20"/>
          <w:szCs w:val="20"/>
        </w:rPr>
        <w:t xml:space="preserve">reunder are in the best interests of our shareholders. </w:t>
      </w:r>
    </w:p>
    <w:p w14:paraId="54067A1B" w14:textId="77777777" w:rsidR="00611BDD" w:rsidRDefault="002E18C7">
      <w:pPr>
        <w:spacing w:before="120" w:after="120"/>
        <w:jc w:val="both"/>
      </w:pPr>
      <w:r>
        <w:rPr>
          <w:rFonts w:ascii="sans-serif" w:eastAsia="sans-serif" w:hAnsi="sans-serif" w:cs="sans-serif"/>
          <w:color w:val="000000"/>
          <w:sz w:val="20"/>
          <w:szCs w:val="20"/>
        </w:rPr>
        <w:t>As of August 1, 2021, we were authorized, subject to certain specifications, to repurchase additional shares of our common stock up to $7.24 billion through December 2022. We did not repurchase any sh</w:t>
      </w:r>
      <w:r>
        <w:rPr>
          <w:rFonts w:ascii="sans-serif" w:eastAsia="sans-serif" w:hAnsi="sans-serif" w:cs="sans-serif"/>
          <w:color w:val="000000"/>
          <w:sz w:val="20"/>
          <w:szCs w:val="20"/>
        </w:rPr>
        <w:t>ares during the first half of fiscal year 2022.</w:t>
      </w:r>
    </w:p>
    <w:p w14:paraId="54067A1C" w14:textId="77777777" w:rsidR="00611BDD" w:rsidRDefault="002E18C7">
      <w:pPr>
        <w:spacing w:after="180"/>
        <w:jc w:val="both"/>
      </w:pPr>
      <w:r>
        <w:rPr>
          <w:rFonts w:ascii="sans-serif" w:eastAsia="sans-serif" w:hAnsi="sans-serif" w:cs="sans-serif"/>
          <w:b/>
          <w:bCs/>
          <w:color w:val="000000"/>
          <w:sz w:val="20"/>
          <w:szCs w:val="20"/>
        </w:rPr>
        <w:t>Outstanding Indebtedness and Credit Facilities</w:t>
      </w:r>
    </w:p>
    <w:p w14:paraId="54067A1D" w14:textId="77777777" w:rsidR="00611BDD" w:rsidRDefault="002E18C7">
      <w:pPr>
        <w:spacing w:before="120" w:after="120"/>
        <w:jc w:val="both"/>
      </w:pPr>
      <w:r>
        <w:rPr>
          <w:rFonts w:ascii="sans-serif" w:eastAsia="sans-serif" w:hAnsi="sans-serif" w:cs="sans-serif"/>
          <w:color w:val="000000"/>
          <w:sz w:val="20"/>
          <w:szCs w:val="20"/>
        </w:rPr>
        <w:t xml:space="preserve">As of August 1, 2021, we had outstanding: </w:t>
      </w:r>
    </w:p>
    <w:p w14:paraId="54067A1E" w14:textId="77777777" w:rsidR="00611BDD" w:rsidRDefault="002E18C7">
      <w:pPr>
        <w:pBdr>
          <w:left w:val="none" w:sz="0" w:space="0" w:color="auto"/>
        </w:pBdr>
        <w:spacing w:after="120"/>
        <w:ind w:hanging="360"/>
        <w:jc w:val="both"/>
      </w:pPr>
      <w:r>
        <w:rPr>
          <w:rFonts w:ascii="sans-serif" w:eastAsia="sans-serif" w:hAnsi="sans-serif" w:cs="sans-serif"/>
          <w:color w:val="000000"/>
          <w:sz w:val="20"/>
          <w:szCs w:val="20"/>
        </w:rPr>
        <w:t>•$1.00 billion of Notes Due 2021;</w:t>
      </w:r>
    </w:p>
    <w:p w14:paraId="54067A1F" w14:textId="77777777" w:rsidR="00611BDD" w:rsidRDefault="002E18C7">
      <w:pPr>
        <w:pBdr>
          <w:left w:val="none" w:sz="0" w:space="0" w:color="auto"/>
        </w:pBdr>
        <w:spacing w:after="120"/>
        <w:ind w:hanging="360"/>
        <w:jc w:val="both"/>
      </w:pPr>
      <w:r>
        <w:rPr>
          <w:rFonts w:ascii="sans-serif" w:eastAsia="sans-serif" w:hAnsi="sans-serif" w:cs="sans-serif"/>
          <w:color w:val="000000"/>
          <w:sz w:val="20"/>
          <w:szCs w:val="20"/>
        </w:rPr>
        <w:t>•$1.25 billion of Notes Due 2023;</w:t>
      </w:r>
    </w:p>
    <w:p w14:paraId="54067A20" w14:textId="77777777" w:rsidR="00611BDD" w:rsidRDefault="002E18C7">
      <w:pPr>
        <w:spacing w:after="180"/>
        <w:jc w:val="center"/>
      </w:pPr>
      <w:r>
        <w:rPr>
          <w:rFonts w:ascii="sans-serif" w:eastAsia="sans-serif" w:hAnsi="sans-serif" w:cs="sans-serif"/>
          <w:color w:val="000000"/>
          <w:sz w:val="20"/>
          <w:szCs w:val="20"/>
        </w:rPr>
        <w:t>31</w:t>
      </w:r>
    </w:p>
    <w:p w14:paraId="54067A21" w14:textId="77777777" w:rsidR="00611BDD" w:rsidRDefault="002E18C7">
      <w:r>
        <w:pict w14:anchorId="54067C43">
          <v:rect id="_x0000_i1055" style="width:415.3pt;height:1.5pt" o:hralign="center" o:hrstd="t" o:hr="t" fillcolor="#a0a0a0" stroked="f"/>
        </w:pict>
      </w:r>
    </w:p>
    <w:p w14:paraId="54067A22" w14:textId="77777777" w:rsidR="00611BDD" w:rsidRDefault="00611BDD">
      <w:pPr>
        <w:spacing w:after="180"/>
        <w:jc w:val="both"/>
      </w:pPr>
    </w:p>
    <w:p w14:paraId="54067A23" w14:textId="77777777" w:rsidR="00611BDD" w:rsidRDefault="00611BDD">
      <w:pPr>
        <w:spacing w:after="180"/>
        <w:jc w:val="both"/>
      </w:pPr>
    </w:p>
    <w:p w14:paraId="54067A24" w14:textId="77777777" w:rsidR="00611BDD" w:rsidRDefault="00611BDD">
      <w:pPr>
        <w:spacing w:after="180"/>
        <w:jc w:val="both"/>
      </w:pPr>
    </w:p>
    <w:p w14:paraId="54067A25" w14:textId="77777777" w:rsidR="00611BDD" w:rsidRDefault="002E18C7">
      <w:pPr>
        <w:pBdr>
          <w:left w:val="none" w:sz="0" w:space="0" w:color="auto"/>
        </w:pBdr>
        <w:spacing w:after="120"/>
        <w:ind w:hanging="360"/>
        <w:jc w:val="both"/>
      </w:pPr>
      <w:r>
        <w:rPr>
          <w:rFonts w:ascii="sans-serif" w:eastAsia="sans-serif" w:hAnsi="sans-serif" w:cs="sans-serif"/>
          <w:color w:val="000000"/>
          <w:sz w:val="20"/>
          <w:szCs w:val="20"/>
        </w:rPr>
        <w:t>•$1.25 billion of Notes Due 2024;</w:t>
      </w:r>
    </w:p>
    <w:p w14:paraId="54067A26" w14:textId="77777777" w:rsidR="00611BDD" w:rsidRDefault="002E18C7">
      <w:pPr>
        <w:pBdr>
          <w:left w:val="none" w:sz="0" w:space="0" w:color="auto"/>
        </w:pBdr>
        <w:spacing w:after="120"/>
        <w:ind w:hanging="360"/>
        <w:jc w:val="both"/>
      </w:pPr>
      <w:r>
        <w:rPr>
          <w:rFonts w:ascii="sans-serif" w:eastAsia="sans-serif" w:hAnsi="sans-serif" w:cs="sans-serif"/>
          <w:color w:val="000000"/>
          <w:sz w:val="20"/>
          <w:szCs w:val="20"/>
        </w:rPr>
        <w:t>•$1.00 b</w:t>
      </w:r>
      <w:r>
        <w:rPr>
          <w:rFonts w:ascii="sans-serif" w:eastAsia="sans-serif" w:hAnsi="sans-serif" w:cs="sans-serif"/>
          <w:color w:val="000000"/>
          <w:sz w:val="20"/>
          <w:szCs w:val="20"/>
        </w:rPr>
        <w:t>illion of Notes Due 2026;</w:t>
      </w:r>
    </w:p>
    <w:p w14:paraId="54067A27" w14:textId="77777777" w:rsidR="00611BDD" w:rsidRDefault="002E18C7">
      <w:pPr>
        <w:pBdr>
          <w:left w:val="none" w:sz="0" w:space="0" w:color="auto"/>
        </w:pBdr>
        <w:spacing w:after="120"/>
        <w:ind w:hanging="360"/>
        <w:jc w:val="both"/>
      </w:pPr>
      <w:r>
        <w:rPr>
          <w:rFonts w:ascii="sans-serif" w:eastAsia="sans-serif" w:hAnsi="sans-serif" w:cs="sans-serif"/>
          <w:color w:val="000000"/>
          <w:sz w:val="20"/>
          <w:szCs w:val="20"/>
        </w:rPr>
        <w:t>•$1.25 billion of Notes Due 2028;</w:t>
      </w:r>
    </w:p>
    <w:p w14:paraId="54067A28" w14:textId="77777777" w:rsidR="00611BDD" w:rsidRDefault="002E18C7">
      <w:pPr>
        <w:pBdr>
          <w:left w:val="none" w:sz="0" w:space="0" w:color="auto"/>
        </w:pBdr>
        <w:spacing w:after="120"/>
        <w:ind w:hanging="360"/>
        <w:jc w:val="both"/>
      </w:pPr>
      <w:r>
        <w:rPr>
          <w:rFonts w:ascii="sans-serif" w:eastAsia="sans-serif" w:hAnsi="sans-serif" w:cs="sans-serif"/>
          <w:color w:val="000000"/>
          <w:sz w:val="20"/>
          <w:szCs w:val="20"/>
        </w:rPr>
        <w:t>•$1.50 billion of Notes Due 2030;</w:t>
      </w:r>
    </w:p>
    <w:p w14:paraId="54067A29" w14:textId="77777777" w:rsidR="00611BDD" w:rsidRDefault="002E18C7">
      <w:pPr>
        <w:pBdr>
          <w:left w:val="none" w:sz="0" w:space="0" w:color="auto"/>
        </w:pBdr>
        <w:spacing w:after="120"/>
        <w:ind w:hanging="360"/>
        <w:jc w:val="both"/>
      </w:pPr>
      <w:r>
        <w:rPr>
          <w:rFonts w:ascii="sans-serif" w:eastAsia="sans-serif" w:hAnsi="sans-serif" w:cs="sans-serif"/>
          <w:color w:val="000000"/>
          <w:sz w:val="20"/>
          <w:szCs w:val="20"/>
        </w:rPr>
        <w:t xml:space="preserve">•$1.25 billion of Notes Due 2031; </w:t>
      </w:r>
    </w:p>
    <w:p w14:paraId="54067A2A" w14:textId="77777777" w:rsidR="00611BDD" w:rsidRDefault="002E18C7">
      <w:pPr>
        <w:pBdr>
          <w:left w:val="none" w:sz="0" w:space="0" w:color="auto"/>
        </w:pBdr>
        <w:spacing w:after="120"/>
        <w:ind w:hanging="360"/>
        <w:jc w:val="both"/>
      </w:pPr>
      <w:r>
        <w:rPr>
          <w:rFonts w:ascii="sans-serif" w:eastAsia="sans-serif" w:hAnsi="sans-serif" w:cs="sans-serif"/>
          <w:color w:val="000000"/>
          <w:sz w:val="20"/>
          <w:szCs w:val="20"/>
        </w:rPr>
        <w:t>•$1.00 billion of Notes Due 2040;</w:t>
      </w:r>
    </w:p>
    <w:p w14:paraId="54067A2B" w14:textId="77777777" w:rsidR="00611BDD" w:rsidRDefault="002E18C7">
      <w:pPr>
        <w:pBdr>
          <w:left w:val="none" w:sz="0" w:space="0" w:color="auto"/>
        </w:pBdr>
        <w:spacing w:after="120"/>
        <w:ind w:hanging="360"/>
        <w:jc w:val="both"/>
      </w:pPr>
      <w:r>
        <w:rPr>
          <w:rFonts w:ascii="sans-serif" w:eastAsia="sans-serif" w:hAnsi="sans-serif" w:cs="sans-serif"/>
          <w:color w:val="000000"/>
          <w:sz w:val="20"/>
          <w:szCs w:val="20"/>
        </w:rPr>
        <w:t>•$2.00 billion of Notes Due 2050; and</w:t>
      </w:r>
    </w:p>
    <w:p w14:paraId="54067A2C" w14:textId="77777777" w:rsidR="00611BDD" w:rsidRDefault="002E18C7">
      <w:pPr>
        <w:pBdr>
          <w:left w:val="none" w:sz="0" w:space="0" w:color="auto"/>
        </w:pBdr>
        <w:spacing w:after="120"/>
        <w:ind w:hanging="360"/>
        <w:jc w:val="both"/>
      </w:pPr>
      <w:r>
        <w:rPr>
          <w:rFonts w:ascii="sans-serif" w:eastAsia="sans-serif" w:hAnsi="sans-serif" w:cs="sans-serif"/>
          <w:color w:val="000000"/>
          <w:sz w:val="20"/>
          <w:szCs w:val="20"/>
        </w:rPr>
        <w:t>•$500 million of Notes Due 2060.</w:t>
      </w:r>
    </w:p>
    <w:p w14:paraId="54067A2D" w14:textId="77777777" w:rsidR="00611BDD" w:rsidRDefault="002E18C7">
      <w:pPr>
        <w:spacing w:after="180"/>
        <w:jc w:val="both"/>
      </w:pPr>
      <w:r>
        <w:rPr>
          <w:rFonts w:ascii="sans-serif" w:eastAsia="sans-serif" w:hAnsi="sans-serif" w:cs="sans-serif"/>
          <w:color w:val="000000"/>
          <w:sz w:val="20"/>
          <w:szCs w:val="20"/>
        </w:rPr>
        <w:t>On August 16, 2021, we</w:t>
      </w:r>
      <w:r>
        <w:rPr>
          <w:rFonts w:ascii="sans-serif" w:eastAsia="sans-serif" w:hAnsi="sans-serif" w:cs="sans-serif"/>
          <w:color w:val="000000"/>
          <w:sz w:val="20"/>
          <w:szCs w:val="20"/>
        </w:rPr>
        <w:t xml:space="preserve"> repaid the $1.00 billion of 2.20% Notes Due 2021. </w:t>
      </w:r>
    </w:p>
    <w:p w14:paraId="54067A2E" w14:textId="77777777" w:rsidR="00611BDD" w:rsidRDefault="002E18C7">
      <w:pPr>
        <w:spacing w:after="180"/>
        <w:jc w:val="both"/>
      </w:pPr>
      <w:r>
        <w:rPr>
          <w:rFonts w:ascii="sans-serif" w:eastAsia="sans-serif" w:hAnsi="sans-serif" w:cs="sans-serif"/>
          <w:color w:val="000000"/>
          <w:sz w:val="20"/>
          <w:szCs w:val="20"/>
        </w:rPr>
        <w:t xml:space="preserve">We have a Credit Agreement under which we may borrow up to $575 million for general corporate purposes and can obtain revolving loan commitments up to $425 million. As of August 1, 2021, we had not </w:t>
      </w:r>
      <w:r>
        <w:rPr>
          <w:rFonts w:ascii="sans-serif" w:eastAsia="sans-serif" w:hAnsi="sans-serif" w:cs="sans-serif"/>
          <w:color w:val="000000"/>
          <w:sz w:val="20"/>
          <w:szCs w:val="20"/>
        </w:rPr>
        <w:t>borrowed any amounts under this agreement. The Credit Agreement expires October 2021.</w:t>
      </w:r>
    </w:p>
    <w:p w14:paraId="54067A2F" w14:textId="77777777" w:rsidR="00611BDD" w:rsidRDefault="002E18C7">
      <w:pPr>
        <w:spacing w:before="120" w:after="120"/>
        <w:jc w:val="both"/>
      </w:pPr>
      <w:r>
        <w:rPr>
          <w:rFonts w:ascii="sans-serif" w:eastAsia="sans-serif" w:hAnsi="sans-serif" w:cs="sans-serif"/>
          <w:color w:val="000000"/>
          <w:sz w:val="20"/>
          <w:szCs w:val="20"/>
        </w:rPr>
        <w:t>We have a $575 million commercial paper program to support general corporate purposes. As of August 1, 2021, we had not issued any commercial paper.</w:t>
      </w:r>
    </w:p>
    <w:p w14:paraId="54067A30" w14:textId="77777777" w:rsidR="00611BDD" w:rsidRDefault="002E18C7">
      <w:pPr>
        <w:spacing w:after="180"/>
        <w:jc w:val="both"/>
      </w:pPr>
      <w:r>
        <w:rPr>
          <w:rFonts w:ascii="sans-serif" w:eastAsia="sans-serif" w:hAnsi="sans-serif" w:cs="sans-serif"/>
          <w:b/>
          <w:bCs/>
          <w:color w:val="000000"/>
          <w:sz w:val="20"/>
          <w:szCs w:val="20"/>
        </w:rPr>
        <w:t>Contractual Obligatio</w:t>
      </w:r>
      <w:r>
        <w:rPr>
          <w:rFonts w:ascii="sans-serif" w:eastAsia="sans-serif" w:hAnsi="sans-serif" w:cs="sans-serif"/>
          <w:b/>
          <w:bCs/>
          <w:color w:val="000000"/>
          <w:sz w:val="20"/>
          <w:szCs w:val="20"/>
        </w:rPr>
        <w:t>ns</w:t>
      </w:r>
    </w:p>
    <w:p w14:paraId="54067A31" w14:textId="77777777" w:rsidR="00611BDD" w:rsidRDefault="002E18C7">
      <w:pPr>
        <w:spacing w:after="180"/>
        <w:jc w:val="both"/>
      </w:pPr>
      <w:r>
        <w:rPr>
          <w:rFonts w:ascii="sans-serif" w:eastAsia="sans-serif" w:hAnsi="sans-serif" w:cs="sans-serif"/>
          <w:color w:val="000000"/>
          <w:sz w:val="20"/>
          <w:szCs w:val="20"/>
        </w:rPr>
        <w:t>There were no material changes outside the ordinary course of business in our contractual obligations from those disclosed in our Annual Report on Form 10-K for the fiscal year ended January 31, 2021. Refer to Item 7, “Management’s Discussion and Analys</w:t>
      </w:r>
      <w:r>
        <w:rPr>
          <w:rFonts w:ascii="sans-serif" w:eastAsia="sans-serif" w:hAnsi="sans-serif" w:cs="sans-serif"/>
          <w:color w:val="000000"/>
          <w:sz w:val="20"/>
          <w:szCs w:val="20"/>
        </w:rPr>
        <w:t>is of Financial Condition and Results of Operations - Liquidity and Capital Resources” in our Annual Report on Form 10-K for the fiscal year ended January 31, 2021 for a description of our contractual obligations. For a description of our operating lease o</w:t>
      </w:r>
      <w:r>
        <w:rPr>
          <w:rFonts w:ascii="sans-serif" w:eastAsia="sans-serif" w:hAnsi="sans-serif" w:cs="sans-serif"/>
          <w:color w:val="000000"/>
          <w:sz w:val="20"/>
          <w:szCs w:val="20"/>
        </w:rPr>
        <w:t>bligations, long-term debt, and purchase obligations, refer to Note 3, Note 12, and Note 13 of the Notes to Condensed Consolidated Financial Statements, respectively.</w:t>
      </w:r>
    </w:p>
    <w:p w14:paraId="54067A32" w14:textId="77777777" w:rsidR="00611BDD" w:rsidRDefault="002E18C7">
      <w:pPr>
        <w:spacing w:before="240" w:after="120"/>
        <w:jc w:val="both"/>
      </w:pPr>
      <w:r>
        <w:rPr>
          <w:rFonts w:ascii="sans-serif" w:eastAsia="sans-serif" w:hAnsi="sans-serif" w:cs="sans-serif"/>
          <w:b/>
          <w:bCs/>
          <w:color w:val="76B900"/>
          <w:sz w:val="22"/>
          <w:szCs w:val="22"/>
        </w:rPr>
        <w:t>Adoption of New and Recently Issued Accounting Pronouncements</w:t>
      </w:r>
    </w:p>
    <w:p w14:paraId="54067A33" w14:textId="77777777" w:rsidR="00611BDD" w:rsidRDefault="002E18C7">
      <w:pPr>
        <w:spacing w:after="180"/>
        <w:jc w:val="both"/>
      </w:pPr>
      <w:r>
        <w:rPr>
          <w:rFonts w:ascii="sans-serif" w:eastAsia="sans-serif" w:hAnsi="sans-serif" w:cs="sans-serif"/>
          <w:color w:val="000000"/>
          <w:sz w:val="20"/>
          <w:szCs w:val="20"/>
        </w:rPr>
        <w:t>Refer to Note 1 of the Note</w:t>
      </w:r>
      <w:r>
        <w:rPr>
          <w:rFonts w:ascii="sans-serif" w:eastAsia="sans-serif" w:hAnsi="sans-serif" w:cs="sans-serif"/>
          <w:color w:val="000000"/>
          <w:sz w:val="20"/>
          <w:szCs w:val="20"/>
        </w:rPr>
        <w:t>s to Condensed Consolidated Financial Statements for a discussion of adoption of new and recently issued accounting pronouncements.</w:t>
      </w:r>
    </w:p>
    <w:p w14:paraId="54067A34" w14:textId="77777777" w:rsidR="00611BDD" w:rsidRDefault="002E18C7">
      <w:pPr>
        <w:spacing w:before="240" w:after="120"/>
        <w:jc w:val="both"/>
      </w:pPr>
      <w:r>
        <w:rPr>
          <w:rFonts w:ascii="sans-serif" w:eastAsia="sans-serif" w:hAnsi="sans-serif" w:cs="sans-serif"/>
          <w:b/>
          <w:bCs/>
          <w:color w:val="76B900"/>
          <w:sz w:val="22"/>
          <w:szCs w:val="22"/>
        </w:rPr>
        <w:t>ITEM 3. QUANTITATIVE AND QUALITATIVE DISCLOSURES ABOUT MARKET RISK</w:t>
      </w:r>
    </w:p>
    <w:p w14:paraId="54067A35" w14:textId="77777777" w:rsidR="00611BDD" w:rsidRDefault="002E18C7">
      <w:pPr>
        <w:spacing w:before="240" w:after="60"/>
        <w:jc w:val="both"/>
      </w:pPr>
      <w:r>
        <w:rPr>
          <w:rFonts w:ascii="sans-serif" w:eastAsia="sans-serif" w:hAnsi="sans-serif" w:cs="sans-serif"/>
          <w:b/>
          <w:bCs/>
          <w:color w:val="76B900"/>
          <w:sz w:val="20"/>
          <w:szCs w:val="20"/>
        </w:rPr>
        <w:t>Investment and Interest Rate Risk</w:t>
      </w:r>
    </w:p>
    <w:p w14:paraId="54067A36" w14:textId="77777777" w:rsidR="00611BDD" w:rsidRDefault="002E18C7">
      <w:pPr>
        <w:spacing w:after="180"/>
        <w:jc w:val="both"/>
      </w:pPr>
      <w:r>
        <w:rPr>
          <w:rFonts w:ascii="sans-serif" w:eastAsia="sans-serif" w:hAnsi="sans-serif" w:cs="sans-serif"/>
          <w:color w:val="000000"/>
          <w:sz w:val="20"/>
          <w:szCs w:val="20"/>
        </w:rPr>
        <w:t xml:space="preserve">Financial market </w:t>
      </w:r>
      <w:r>
        <w:rPr>
          <w:rFonts w:ascii="sans-serif" w:eastAsia="sans-serif" w:hAnsi="sans-serif" w:cs="sans-serif"/>
          <w:color w:val="000000"/>
          <w:sz w:val="20"/>
          <w:szCs w:val="20"/>
        </w:rPr>
        <w:t xml:space="preserve">risks related to investment and interest rate risk are described in our Annual Report on Form 10-K for the fiscal year ended January 31, 2021. As of August 1, 2021, there have been no material changes, including the impact of the COVID-19 pandemic, to the </w:t>
      </w:r>
      <w:r>
        <w:rPr>
          <w:rFonts w:ascii="sans-serif" w:eastAsia="sans-serif" w:hAnsi="sans-serif" w:cs="sans-serif"/>
          <w:color w:val="000000"/>
          <w:sz w:val="20"/>
          <w:szCs w:val="20"/>
        </w:rPr>
        <w:t>financial market risks described as of January 31, 2021.</w:t>
      </w:r>
    </w:p>
    <w:p w14:paraId="54067A37" w14:textId="77777777" w:rsidR="00611BDD" w:rsidRDefault="002E18C7">
      <w:pPr>
        <w:spacing w:before="240" w:after="60"/>
        <w:jc w:val="both"/>
      </w:pPr>
      <w:r>
        <w:rPr>
          <w:rFonts w:ascii="sans-serif" w:eastAsia="sans-serif" w:hAnsi="sans-serif" w:cs="sans-serif"/>
          <w:b/>
          <w:bCs/>
          <w:color w:val="76B900"/>
          <w:sz w:val="20"/>
          <w:szCs w:val="20"/>
        </w:rPr>
        <w:t xml:space="preserve">Foreign Exchange Rate Risk </w:t>
      </w:r>
    </w:p>
    <w:p w14:paraId="54067A38" w14:textId="77777777" w:rsidR="00611BDD" w:rsidRDefault="002E18C7">
      <w:pPr>
        <w:spacing w:after="180"/>
        <w:jc w:val="both"/>
      </w:pPr>
      <w:r>
        <w:rPr>
          <w:rFonts w:ascii="sans-serif" w:eastAsia="sans-serif" w:hAnsi="sans-serif" w:cs="sans-serif"/>
          <w:color w:val="000000"/>
          <w:sz w:val="20"/>
          <w:szCs w:val="20"/>
        </w:rPr>
        <w:t>The impact of foreign currency transactions related to foreign exchange rate risk is described in our Annual Report on Form 10-K for the fiscal year ended January 31, 2021</w:t>
      </w:r>
      <w:r>
        <w:rPr>
          <w:rFonts w:ascii="sans-serif" w:eastAsia="sans-serif" w:hAnsi="sans-serif" w:cs="sans-serif"/>
          <w:color w:val="000000"/>
          <w:sz w:val="20"/>
          <w:szCs w:val="20"/>
        </w:rPr>
        <w:t>. As of August 1, 2021, there have been no material changes, including the impact of the COVID-19 pandemic, to the foreign exchange rate risks described as of January 31, 2021.</w:t>
      </w:r>
    </w:p>
    <w:p w14:paraId="54067A39" w14:textId="77777777" w:rsidR="00611BDD" w:rsidRDefault="002E18C7">
      <w:pPr>
        <w:spacing w:after="180"/>
        <w:jc w:val="both"/>
      </w:pPr>
      <w:r>
        <w:rPr>
          <w:rFonts w:ascii="sans-serif" w:eastAsia="sans-serif" w:hAnsi="sans-serif" w:cs="sans-serif"/>
          <w:color w:val="000000"/>
          <w:sz w:val="20"/>
          <w:szCs w:val="20"/>
        </w:rPr>
        <w:t>Refer to Note 11 of the Notes to Condensed Consolidated Financial Statements fo</w:t>
      </w:r>
      <w:r>
        <w:rPr>
          <w:rFonts w:ascii="sans-serif" w:eastAsia="sans-serif" w:hAnsi="sans-serif" w:cs="sans-serif"/>
          <w:color w:val="000000"/>
          <w:sz w:val="20"/>
          <w:szCs w:val="20"/>
        </w:rPr>
        <w:t>r additional information.</w:t>
      </w:r>
    </w:p>
    <w:p w14:paraId="54067A3A" w14:textId="77777777" w:rsidR="00611BDD" w:rsidRDefault="002E18C7">
      <w:pPr>
        <w:spacing w:before="240" w:after="120"/>
        <w:jc w:val="both"/>
      </w:pPr>
      <w:r>
        <w:rPr>
          <w:rFonts w:ascii="sans-serif" w:eastAsia="sans-serif" w:hAnsi="sans-serif" w:cs="sans-serif"/>
          <w:b/>
          <w:bCs/>
          <w:color w:val="76B900"/>
          <w:sz w:val="22"/>
          <w:szCs w:val="22"/>
        </w:rPr>
        <w:t>ITEM 4. CONTROLS AND PROCEDURES</w:t>
      </w:r>
    </w:p>
    <w:p w14:paraId="54067A3B" w14:textId="77777777" w:rsidR="00611BDD" w:rsidRDefault="002E18C7">
      <w:pPr>
        <w:spacing w:before="240" w:after="60"/>
        <w:jc w:val="both"/>
      </w:pPr>
      <w:r>
        <w:rPr>
          <w:rFonts w:ascii="sans-serif" w:eastAsia="sans-serif" w:hAnsi="sans-serif" w:cs="sans-serif"/>
          <w:b/>
          <w:bCs/>
          <w:color w:val="76B900"/>
          <w:sz w:val="20"/>
          <w:szCs w:val="20"/>
        </w:rPr>
        <w:t>Controls and Procedures</w:t>
      </w:r>
    </w:p>
    <w:p w14:paraId="54067A3C" w14:textId="77777777" w:rsidR="00611BDD" w:rsidRDefault="002E18C7">
      <w:pPr>
        <w:spacing w:before="120" w:after="120"/>
        <w:jc w:val="both"/>
      </w:pPr>
      <w:r>
        <w:rPr>
          <w:rFonts w:ascii="sans-serif" w:eastAsia="sans-serif" w:hAnsi="sans-serif" w:cs="sans-serif"/>
          <w:b/>
          <w:bCs/>
          <w:color w:val="000000"/>
          <w:sz w:val="20"/>
          <w:szCs w:val="20"/>
        </w:rPr>
        <w:t>Disclosure Controls and Procedures</w:t>
      </w:r>
    </w:p>
    <w:p w14:paraId="54067A3D" w14:textId="77777777" w:rsidR="00611BDD" w:rsidRDefault="002E18C7">
      <w:pPr>
        <w:spacing w:after="180"/>
        <w:jc w:val="both"/>
      </w:pPr>
      <w:r>
        <w:rPr>
          <w:rFonts w:ascii="sans-serif" w:eastAsia="sans-serif" w:hAnsi="sans-serif" w:cs="sans-serif"/>
          <w:color w:val="000000"/>
          <w:sz w:val="20"/>
          <w:szCs w:val="20"/>
        </w:rPr>
        <w:t>Based on their evaluation as of August 1, 2021, our management, including our Chief Executive Officer and Chief Financial Officer, has conc</w:t>
      </w:r>
      <w:r>
        <w:rPr>
          <w:rFonts w:ascii="sans-serif" w:eastAsia="sans-serif" w:hAnsi="sans-serif" w:cs="sans-serif"/>
          <w:color w:val="000000"/>
          <w:sz w:val="20"/>
          <w:szCs w:val="20"/>
        </w:rPr>
        <w:t>luded that our disclosure controls and procedures (as defined in Rule 13a-15(e) under the Securities Exchange Act of 1934, as amended) were effective to provide reasonable assurance.</w:t>
      </w:r>
    </w:p>
    <w:p w14:paraId="54067A3E" w14:textId="77777777" w:rsidR="00611BDD" w:rsidRDefault="00611BDD">
      <w:pPr>
        <w:spacing w:before="120" w:after="120"/>
        <w:jc w:val="both"/>
      </w:pPr>
    </w:p>
    <w:p w14:paraId="54067A3F" w14:textId="77777777" w:rsidR="00611BDD" w:rsidRDefault="002E18C7">
      <w:pPr>
        <w:spacing w:after="180"/>
        <w:jc w:val="center"/>
      </w:pPr>
      <w:r>
        <w:rPr>
          <w:rFonts w:ascii="sans-serif" w:eastAsia="sans-serif" w:hAnsi="sans-serif" w:cs="sans-serif"/>
          <w:color w:val="000000"/>
          <w:sz w:val="20"/>
          <w:szCs w:val="20"/>
        </w:rPr>
        <w:t>32</w:t>
      </w:r>
    </w:p>
    <w:p w14:paraId="54067A40" w14:textId="77777777" w:rsidR="00611BDD" w:rsidRDefault="002E18C7">
      <w:r>
        <w:pict w14:anchorId="54067C44">
          <v:rect id="_x0000_i1056" style="width:415.3pt;height:1.5pt" o:hralign="center" o:hrstd="t" o:hr="t" fillcolor="#a0a0a0" stroked="f"/>
        </w:pict>
      </w:r>
    </w:p>
    <w:p w14:paraId="54067A41" w14:textId="77777777" w:rsidR="00611BDD" w:rsidRDefault="00611BDD">
      <w:pPr>
        <w:spacing w:after="180"/>
        <w:jc w:val="both"/>
      </w:pPr>
    </w:p>
    <w:p w14:paraId="54067A42" w14:textId="77777777" w:rsidR="00611BDD" w:rsidRDefault="00611BDD">
      <w:pPr>
        <w:spacing w:after="180"/>
        <w:jc w:val="both"/>
      </w:pPr>
    </w:p>
    <w:p w14:paraId="54067A43" w14:textId="77777777" w:rsidR="00611BDD" w:rsidRDefault="00611BDD">
      <w:pPr>
        <w:spacing w:after="180"/>
        <w:jc w:val="both"/>
      </w:pPr>
    </w:p>
    <w:p w14:paraId="54067A44" w14:textId="77777777" w:rsidR="00611BDD" w:rsidRDefault="002E18C7">
      <w:pPr>
        <w:spacing w:before="120" w:after="120"/>
        <w:jc w:val="both"/>
      </w:pPr>
      <w:r>
        <w:rPr>
          <w:rFonts w:ascii="sans-serif" w:eastAsia="sans-serif" w:hAnsi="sans-serif" w:cs="sans-serif"/>
          <w:b/>
          <w:bCs/>
          <w:color w:val="000000"/>
          <w:sz w:val="20"/>
          <w:szCs w:val="20"/>
        </w:rPr>
        <w:t>Changes in Internal Control Over Financial Reporting</w:t>
      </w:r>
    </w:p>
    <w:p w14:paraId="54067A45" w14:textId="77777777" w:rsidR="00611BDD" w:rsidRDefault="002E18C7">
      <w:pPr>
        <w:spacing w:after="180"/>
        <w:jc w:val="both"/>
      </w:pPr>
      <w:r>
        <w:rPr>
          <w:rFonts w:ascii="sans-serif" w:eastAsia="sans-serif" w:hAnsi="sans-serif" w:cs="sans-serif"/>
          <w:color w:val="000000"/>
          <w:sz w:val="20"/>
          <w:szCs w:val="20"/>
        </w:rPr>
        <w:t xml:space="preserve">There were </w:t>
      </w:r>
      <w:r>
        <w:rPr>
          <w:rFonts w:ascii="sans-serif" w:eastAsia="sans-serif" w:hAnsi="sans-serif" w:cs="sans-serif"/>
          <w:color w:val="000000"/>
          <w:sz w:val="20"/>
          <w:szCs w:val="20"/>
        </w:rPr>
        <w:t xml:space="preserve">no changes in our internal control over financial reporting during the second quarter of fiscal year 2022 that have materially affected, or are reasonably likely to materially affect, our internal control over financial reporting. </w:t>
      </w:r>
    </w:p>
    <w:p w14:paraId="54067A46" w14:textId="77777777" w:rsidR="00611BDD" w:rsidRDefault="002E18C7">
      <w:pPr>
        <w:spacing w:before="120" w:after="120"/>
        <w:jc w:val="both"/>
      </w:pPr>
      <w:r>
        <w:rPr>
          <w:rFonts w:ascii="sans-serif" w:eastAsia="sans-serif" w:hAnsi="sans-serif" w:cs="sans-serif"/>
          <w:b/>
          <w:bCs/>
          <w:color w:val="000000"/>
          <w:sz w:val="20"/>
          <w:szCs w:val="20"/>
        </w:rPr>
        <w:t xml:space="preserve">Inherent </w:t>
      </w:r>
      <w:r>
        <w:rPr>
          <w:rFonts w:ascii="sans-serif" w:eastAsia="sans-serif" w:hAnsi="sans-serif" w:cs="sans-serif"/>
          <w:b/>
          <w:bCs/>
          <w:color w:val="000000"/>
          <w:sz w:val="20"/>
          <w:szCs w:val="20"/>
        </w:rPr>
        <w:t>Limitations on Effectiveness of Controls</w:t>
      </w:r>
    </w:p>
    <w:p w14:paraId="54067A47" w14:textId="77777777" w:rsidR="00611BDD" w:rsidRDefault="002E18C7">
      <w:pPr>
        <w:spacing w:after="180"/>
        <w:jc w:val="both"/>
      </w:pPr>
      <w:r>
        <w:rPr>
          <w:rFonts w:ascii="sans-serif" w:eastAsia="sans-serif" w:hAnsi="sans-serif" w:cs="sans-serif"/>
          <w:color w:val="000000"/>
          <w:sz w:val="20"/>
          <w:szCs w:val="20"/>
        </w:rPr>
        <w:t>Our management, including our Chief Executive Officer and Chief Financial Officer, does not expect that our disclosure controls and procedures or our internal controls, will prevent all error and all fraud. A contro</w:t>
      </w:r>
      <w:r>
        <w:rPr>
          <w:rFonts w:ascii="sans-serif" w:eastAsia="sans-serif" w:hAnsi="sans-serif" w:cs="sans-serif"/>
          <w:color w:val="000000"/>
          <w:sz w:val="20"/>
          <w:szCs w:val="20"/>
        </w:rPr>
        <w:t xml:space="preserve">l system, no matter how well conceived and operated, can provide only reasonable, not absolute, assurance that the objectives of the control system are met. Further, the design of a control system must reflect the fact that there are resource constraints, </w:t>
      </w:r>
      <w:r>
        <w:rPr>
          <w:rFonts w:ascii="sans-serif" w:eastAsia="sans-serif" w:hAnsi="sans-serif" w:cs="sans-serif"/>
          <w:color w:val="000000"/>
          <w:sz w:val="20"/>
          <w:szCs w:val="20"/>
        </w:rPr>
        <w:t>and the benefits of controls must be considered relative to their costs. Because of the inherent limitations in all control systems, no evaluation of controls can provide absolute assurance that all control issues and instances of fraud, if any, within NVI</w:t>
      </w:r>
      <w:r>
        <w:rPr>
          <w:rFonts w:ascii="sans-serif" w:eastAsia="sans-serif" w:hAnsi="sans-serif" w:cs="sans-serif"/>
          <w:color w:val="000000"/>
          <w:sz w:val="20"/>
          <w:szCs w:val="20"/>
        </w:rPr>
        <w:t>DIA have been detected.</w:t>
      </w:r>
    </w:p>
    <w:p w14:paraId="54067A48" w14:textId="77777777" w:rsidR="00611BDD" w:rsidRDefault="002E18C7">
      <w:pPr>
        <w:spacing w:before="240" w:after="120"/>
        <w:jc w:val="both"/>
      </w:pPr>
      <w:r>
        <w:rPr>
          <w:rFonts w:ascii="sans-serif" w:eastAsia="sans-serif" w:hAnsi="sans-serif" w:cs="sans-serif"/>
          <w:b/>
          <w:bCs/>
          <w:color w:val="76B900"/>
          <w:sz w:val="22"/>
          <w:szCs w:val="22"/>
        </w:rPr>
        <w:t>PART II. OTHER INFORMATION</w:t>
      </w:r>
    </w:p>
    <w:p w14:paraId="54067A49" w14:textId="77777777" w:rsidR="00611BDD" w:rsidRDefault="002E18C7">
      <w:pPr>
        <w:spacing w:before="240" w:after="120"/>
        <w:jc w:val="both"/>
      </w:pPr>
      <w:r>
        <w:rPr>
          <w:rFonts w:ascii="sans-serif" w:eastAsia="sans-serif" w:hAnsi="sans-serif" w:cs="sans-serif"/>
          <w:b/>
          <w:bCs/>
          <w:color w:val="76B900"/>
          <w:sz w:val="22"/>
          <w:szCs w:val="22"/>
        </w:rPr>
        <w:t>ITEM 1. LEGAL PROCEEDINGS</w:t>
      </w:r>
    </w:p>
    <w:p w14:paraId="54067A4A" w14:textId="77777777" w:rsidR="00611BDD" w:rsidRDefault="002E18C7">
      <w:pPr>
        <w:spacing w:after="180"/>
        <w:jc w:val="both"/>
      </w:pPr>
      <w:r>
        <w:rPr>
          <w:rFonts w:ascii="sans-serif" w:eastAsia="sans-serif" w:hAnsi="sans-serif" w:cs="sans-serif"/>
          <w:color w:val="000000"/>
          <w:sz w:val="20"/>
          <w:szCs w:val="20"/>
        </w:rPr>
        <w:t>Refer to Part I, Item 1, Note 13 of the Notes to Condensed Consolidated Financial Statements for a discussion of significant developments in our legal proceedings since January 31</w:t>
      </w:r>
      <w:r>
        <w:rPr>
          <w:rFonts w:ascii="sans-serif" w:eastAsia="sans-serif" w:hAnsi="sans-serif" w:cs="sans-serif"/>
          <w:color w:val="000000"/>
          <w:sz w:val="20"/>
          <w:szCs w:val="20"/>
        </w:rPr>
        <w:t>, 2021. Also refer to Item 3, “Legal Proceedings” in our Annual Report on Form 10-K for the fiscal year ended January 31, 2021 for a prior discussion of our legal proceedings.</w:t>
      </w:r>
    </w:p>
    <w:p w14:paraId="54067A4B" w14:textId="77777777" w:rsidR="00611BDD" w:rsidRDefault="002E18C7">
      <w:pPr>
        <w:spacing w:before="240" w:after="120"/>
        <w:jc w:val="both"/>
      </w:pPr>
      <w:r>
        <w:rPr>
          <w:rFonts w:ascii="sans-serif" w:eastAsia="sans-serif" w:hAnsi="sans-serif" w:cs="sans-serif"/>
          <w:b/>
          <w:bCs/>
          <w:color w:val="76B900"/>
          <w:sz w:val="22"/>
          <w:szCs w:val="22"/>
        </w:rPr>
        <w:t>ITEM 1A. RISK FACTORS</w:t>
      </w:r>
    </w:p>
    <w:p w14:paraId="54067A4C" w14:textId="77777777" w:rsidR="00611BDD" w:rsidRDefault="002E18C7">
      <w:pPr>
        <w:spacing w:after="180"/>
        <w:jc w:val="both"/>
      </w:pPr>
      <w:r>
        <w:rPr>
          <w:rFonts w:ascii="sans-serif" w:eastAsia="sans-serif" w:hAnsi="sans-serif" w:cs="sans-serif"/>
          <w:color w:val="000000"/>
          <w:sz w:val="20"/>
          <w:szCs w:val="20"/>
        </w:rPr>
        <w:t xml:space="preserve">Other than the risk factors listed below, there have been </w:t>
      </w:r>
      <w:r>
        <w:rPr>
          <w:rFonts w:ascii="sans-serif" w:eastAsia="sans-serif" w:hAnsi="sans-serif" w:cs="sans-serif"/>
          <w:color w:val="000000"/>
          <w:sz w:val="20"/>
          <w:szCs w:val="20"/>
        </w:rPr>
        <w:t>no material changes from the risk factors previously described under Item 1A of our Annual Report on Form 10-K for the fiscal year ended January 31, 2021 and Item 1A of our Quarterly Report on Form 10-Q for the fiscal quarter ended May 2, 2021.</w:t>
      </w:r>
    </w:p>
    <w:p w14:paraId="54067A4D" w14:textId="77777777" w:rsidR="00611BDD" w:rsidRDefault="002E18C7">
      <w:pPr>
        <w:spacing w:after="180"/>
        <w:jc w:val="both"/>
      </w:pPr>
      <w:r>
        <w:rPr>
          <w:rFonts w:ascii="sans-serif" w:eastAsia="sans-serif" w:hAnsi="sans-serif" w:cs="sans-serif"/>
          <w:color w:val="000000"/>
          <w:sz w:val="20"/>
          <w:szCs w:val="20"/>
        </w:rPr>
        <w:t xml:space="preserve">Before you </w:t>
      </w:r>
      <w:r>
        <w:rPr>
          <w:rFonts w:ascii="sans-serif" w:eastAsia="sans-serif" w:hAnsi="sans-serif" w:cs="sans-serif"/>
          <w:color w:val="000000"/>
          <w:sz w:val="20"/>
          <w:szCs w:val="20"/>
        </w:rPr>
        <w:t>buy our common stock, you should know that making such an investment involves some risks including, but not limited to, the risks described in Item 1A of our Annual Report on Form 10-K for the fiscal year ended January 31, 2021 and Item 1A of our Quarterly</w:t>
      </w:r>
      <w:r>
        <w:rPr>
          <w:rFonts w:ascii="sans-serif" w:eastAsia="sans-serif" w:hAnsi="sans-serif" w:cs="sans-serif"/>
          <w:color w:val="000000"/>
          <w:sz w:val="20"/>
          <w:szCs w:val="20"/>
        </w:rPr>
        <w:t xml:space="preserve"> Report on Form 10-Q for the fiscal quarter ended May 2, 2021. Additionally, any one of those risks could harm our business, financial condition and results of operations, which could cause our stock price to decline. Additional risks and uncertainties not</w:t>
      </w:r>
      <w:r>
        <w:rPr>
          <w:rFonts w:ascii="sans-serif" w:eastAsia="sans-serif" w:hAnsi="sans-serif" w:cs="sans-serif"/>
          <w:color w:val="000000"/>
          <w:sz w:val="20"/>
          <w:szCs w:val="20"/>
        </w:rPr>
        <w:t xml:space="preserve"> presently known to us or that we currently deem immaterial may also impair our business operations.</w:t>
      </w:r>
    </w:p>
    <w:p w14:paraId="54067A4E" w14:textId="77777777" w:rsidR="00611BDD" w:rsidRDefault="002E18C7">
      <w:pPr>
        <w:spacing w:before="120" w:after="120"/>
        <w:jc w:val="both"/>
      </w:pPr>
      <w:r>
        <w:rPr>
          <w:rFonts w:ascii="sans-serif" w:eastAsia="sans-serif" w:hAnsi="sans-serif" w:cs="sans-serif"/>
          <w:b/>
          <w:bCs/>
          <w:color w:val="000000"/>
          <w:sz w:val="20"/>
          <w:szCs w:val="20"/>
        </w:rPr>
        <w:t>The COVID-19 pandemic continues to impact our business and could materially adversely affect our financial condition and results of operations.</w:t>
      </w:r>
    </w:p>
    <w:p w14:paraId="54067A4F" w14:textId="77777777" w:rsidR="00611BDD" w:rsidRDefault="002E18C7">
      <w:pPr>
        <w:spacing w:after="180"/>
        <w:jc w:val="both"/>
      </w:pPr>
      <w:r>
        <w:rPr>
          <w:rFonts w:ascii="sans-serif" w:eastAsia="sans-serif" w:hAnsi="sans-serif" w:cs="sans-serif"/>
          <w:color w:val="000000"/>
          <w:sz w:val="20"/>
          <w:szCs w:val="20"/>
        </w:rPr>
        <w:t>COVID-19 ha</w:t>
      </w:r>
      <w:r>
        <w:rPr>
          <w:rFonts w:ascii="sans-serif" w:eastAsia="sans-serif" w:hAnsi="sans-serif" w:cs="sans-serif"/>
          <w:color w:val="000000"/>
          <w:sz w:val="20"/>
          <w:szCs w:val="20"/>
        </w:rPr>
        <w:t>s spread worldwide, resulting in government authorities implementing numerous measures to try to contain the disease, such as travel bans and restrictions, quarantines, shelter-in-place orders and shutdowns. These measures have impacted, and may further im</w:t>
      </w:r>
      <w:r>
        <w:rPr>
          <w:rFonts w:ascii="sans-serif" w:eastAsia="sans-serif" w:hAnsi="sans-serif" w:cs="sans-serif"/>
          <w:color w:val="000000"/>
          <w:sz w:val="20"/>
          <w:szCs w:val="20"/>
        </w:rPr>
        <w:t>pact, our workforce and operations, the operations of our customers and our partners, and those of our respective vendors and suppliers (including our subcontractors and third-party contract manufacturers). Our critical business operations, including our h</w:t>
      </w:r>
      <w:r>
        <w:rPr>
          <w:rFonts w:ascii="sans-serif" w:eastAsia="sans-serif" w:hAnsi="sans-serif" w:cs="sans-serif"/>
          <w:color w:val="000000"/>
          <w:sz w:val="20"/>
          <w:szCs w:val="20"/>
        </w:rPr>
        <w:t xml:space="preserve">eadquarters, most of our finished goods inventory and many of our key suppliers, are located in regions which have been impacted by COVID-19. Our customers and suppliers worldwide have also been affected and may continue to be affected by COVID-19 related </w:t>
      </w:r>
      <w:r>
        <w:rPr>
          <w:rFonts w:ascii="sans-serif" w:eastAsia="sans-serif" w:hAnsi="sans-serif" w:cs="sans-serif"/>
          <w:color w:val="000000"/>
          <w:sz w:val="20"/>
          <w:szCs w:val="20"/>
        </w:rPr>
        <w:t>restrictions and closures.</w:t>
      </w:r>
    </w:p>
    <w:p w14:paraId="54067A50" w14:textId="77777777" w:rsidR="00611BDD" w:rsidRDefault="002E18C7">
      <w:pPr>
        <w:spacing w:after="180"/>
        <w:jc w:val="both"/>
      </w:pPr>
      <w:r>
        <w:rPr>
          <w:rFonts w:ascii="sans-serif" w:eastAsia="sans-serif" w:hAnsi="sans-serif" w:cs="sans-serif"/>
          <w:color w:val="000000"/>
          <w:sz w:val="20"/>
          <w:szCs w:val="20"/>
        </w:rPr>
        <w:t>The COVID-19 pandemic continues to evolve and affect our business and financial results and it has increased the duration and impact of economic and demand uncertainty.</w:t>
      </w:r>
    </w:p>
    <w:p w14:paraId="54067A51" w14:textId="77777777" w:rsidR="00611BDD" w:rsidRDefault="002E18C7">
      <w:pPr>
        <w:spacing w:after="180"/>
        <w:jc w:val="both"/>
      </w:pPr>
      <w:r>
        <w:rPr>
          <w:rFonts w:ascii="sans-serif" w:eastAsia="sans-serif" w:hAnsi="sans-serif" w:cs="sans-serif"/>
          <w:color w:val="000000"/>
          <w:sz w:val="20"/>
          <w:szCs w:val="20"/>
        </w:rPr>
        <w:t xml:space="preserve">In some regions, markets, or industries, where COVID-19 has </w:t>
      </w:r>
      <w:r>
        <w:rPr>
          <w:rFonts w:ascii="sans-serif" w:eastAsia="sans-serif" w:hAnsi="sans-serif" w:cs="sans-serif"/>
          <w:color w:val="000000"/>
          <w:sz w:val="20"/>
          <w:szCs w:val="20"/>
        </w:rPr>
        <w:t>driven an increase in sales for our products, the demand may not be sustainable if conditions change. The reopening of offices may also generate demand for our products that may be temporary. Additionally, stronger demand globally has limited the availabil</w:t>
      </w:r>
      <w:r>
        <w:rPr>
          <w:rFonts w:ascii="sans-serif" w:eastAsia="sans-serif" w:hAnsi="sans-serif" w:cs="sans-serif"/>
          <w:color w:val="000000"/>
          <w:sz w:val="20"/>
          <w:szCs w:val="20"/>
        </w:rPr>
        <w:t>ity of capacity and components in our supply chain, particularly in Gaming, which could cause us to order an excess amount if demand changes, pay higher prices, or limit our ability to obtain supply at necessary levels or at all. As the COVID-19 pandemic c</w:t>
      </w:r>
      <w:r>
        <w:rPr>
          <w:rFonts w:ascii="sans-serif" w:eastAsia="sans-serif" w:hAnsi="sans-serif" w:cs="sans-serif"/>
          <w:color w:val="000000"/>
          <w:sz w:val="20"/>
          <w:szCs w:val="20"/>
        </w:rPr>
        <w:t>ontinues, the timing and overall demand from customers and the availability of supply chain, logistical services and component supply may have a material net negative impact on our business and financial results.</w:t>
      </w:r>
    </w:p>
    <w:p w14:paraId="54067A52" w14:textId="77777777" w:rsidR="00611BDD" w:rsidRDefault="002E18C7">
      <w:pPr>
        <w:spacing w:after="180"/>
        <w:jc w:val="both"/>
      </w:pPr>
      <w:r>
        <w:rPr>
          <w:rFonts w:ascii="sans-serif" w:eastAsia="sans-serif" w:hAnsi="sans-serif" w:cs="sans-serif"/>
          <w:color w:val="000000"/>
          <w:sz w:val="20"/>
          <w:szCs w:val="20"/>
        </w:rPr>
        <w:t xml:space="preserve">The manufacture of product components, the </w:t>
      </w:r>
      <w:r>
        <w:rPr>
          <w:rFonts w:ascii="sans-serif" w:eastAsia="sans-serif" w:hAnsi="sans-serif" w:cs="sans-serif"/>
          <w:color w:val="000000"/>
          <w:sz w:val="20"/>
          <w:szCs w:val="20"/>
        </w:rPr>
        <w:t xml:space="preserve">final assembly of our products and other critical operations are concentrated in certain geographic locations, including Taiwan, China, Hong Kong, Israel and Korea. A significant portion of our finished goods product distribution occurs through Hong Kong, </w:t>
      </w:r>
      <w:r>
        <w:rPr>
          <w:rFonts w:ascii="sans-serif" w:eastAsia="sans-serif" w:hAnsi="sans-serif" w:cs="sans-serif"/>
          <w:color w:val="000000"/>
          <w:sz w:val="20"/>
          <w:szCs w:val="20"/>
        </w:rPr>
        <w:t xml:space="preserve">Israel and Taiwan. Additionally, our headquarters </w:t>
      </w:r>
    </w:p>
    <w:p w14:paraId="54067A53" w14:textId="77777777" w:rsidR="00611BDD" w:rsidRDefault="002E18C7">
      <w:pPr>
        <w:spacing w:after="180"/>
        <w:jc w:val="center"/>
      </w:pPr>
      <w:r>
        <w:rPr>
          <w:rFonts w:ascii="sans-serif" w:eastAsia="sans-serif" w:hAnsi="sans-serif" w:cs="sans-serif"/>
          <w:color w:val="000000"/>
          <w:sz w:val="20"/>
          <w:szCs w:val="20"/>
        </w:rPr>
        <w:t>33</w:t>
      </w:r>
    </w:p>
    <w:p w14:paraId="54067A54" w14:textId="77777777" w:rsidR="00611BDD" w:rsidRDefault="002E18C7">
      <w:r>
        <w:pict w14:anchorId="54067C45">
          <v:rect id="_x0000_i1057" style="width:415.3pt;height:1.5pt" o:hralign="center" o:hrstd="t" o:hr="t" fillcolor="#a0a0a0" stroked="f"/>
        </w:pict>
      </w:r>
    </w:p>
    <w:p w14:paraId="54067A55" w14:textId="77777777" w:rsidR="00611BDD" w:rsidRDefault="00611BDD">
      <w:pPr>
        <w:spacing w:after="180"/>
        <w:jc w:val="both"/>
      </w:pPr>
    </w:p>
    <w:p w14:paraId="54067A56" w14:textId="77777777" w:rsidR="00611BDD" w:rsidRDefault="00611BDD">
      <w:pPr>
        <w:spacing w:after="180"/>
        <w:jc w:val="both"/>
      </w:pPr>
    </w:p>
    <w:p w14:paraId="54067A57" w14:textId="77777777" w:rsidR="00611BDD" w:rsidRDefault="00611BDD">
      <w:pPr>
        <w:spacing w:after="180"/>
        <w:jc w:val="both"/>
      </w:pPr>
    </w:p>
    <w:p w14:paraId="54067A58" w14:textId="77777777" w:rsidR="00611BDD" w:rsidRDefault="002E18C7">
      <w:pPr>
        <w:spacing w:after="180"/>
        <w:jc w:val="both"/>
      </w:pPr>
      <w:r>
        <w:rPr>
          <w:rFonts w:ascii="sans-serif" w:eastAsia="sans-serif" w:hAnsi="sans-serif" w:cs="sans-serif"/>
          <w:color w:val="000000"/>
          <w:sz w:val="20"/>
          <w:szCs w:val="20"/>
        </w:rPr>
        <w:t xml:space="preserve">is in California. Each of these countries and locations has been affected by the pandemic and has taken measures to try to contain it, including restrictions on manufacturing facilities, commerce, </w:t>
      </w:r>
      <w:r>
        <w:rPr>
          <w:rFonts w:ascii="sans-serif" w:eastAsia="sans-serif" w:hAnsi="sans-serif" w:cs="sans-serif"/>
          <w:color w:val="000000"/>
          <w:sz w:val="20"/>
          <w:szCs w:val="20"/>
        </w:rPr>
        <w:t>travel, on our support operations or workforce, or on our customers, partners, vendors and suppliers. There is considerable uncertainty regarding the impact of such measures and potential future measures. Such measures, as well as restrictions on or disrup</w:t>
      </w:r>
      <w:r>
        <w:rPr>
          <w:rFonts w:ascii="sans-serif" w:eastAsia="sans-serif" w:hAnsi="sans-serif" w:cs="sans-serif"/>
          <w:color w:val="000000"/>
          <w:sz w:val="20"/>
          <w:szCs w:val="20"/>
        </w:rPr>
        <w:t>tions of transportation, such as reduced availability or increased cost of air transport, port closures and increased border controls or closures, could limit our capacity to meet customer demand and have a material adverse effect on our financial conditio</w:t>
      </w:r>
      <w:r>
        <w:rPr>
          <w:rFonts w:ascii="sans-serif" w:eastAsia="sans-serif" w:hAnsi="sans-serif" w:cs="sans-serif"/>
          <w:color w:val="000000"/>
          <w:sz w:val="20"/>
          <w:szCs w:val="20"/>
        </w:rPr>
        <w:t>n and results of operations.</w:t>
      </w:r>
    </w:p>
    <w:p w14:paraId="54067A59" w14:textId="77777777" w:rsidR="00611BDD" w:rsidRDefault="002E18C7">
      <w:pPr>
        <w:spacing w:after="180"/>
        <w:jc w:val="both"/>
      </w:pPr>
      <w:r>
        <w:rPr>
          <w:rFonts w:ascii="sans-serif" w:eastAsia="sans-serif" w:hAnsi="sans-serif" w:cs="sans-serif"/>
          <w:color w:val="000000"/>
          <w:sz w:val="20"/>
          <w:szCs w:val="20"/>
        </w:rPr>
        <w:t>The spread of COVID-19 has caused us to modify our business practices (including employee travel, mandatory work-from-home policies and cancellation of physical participation in meetings, events and conferences), and we may tak</w:t>
      </w:r>
      <w:r>
        <w:rPr>
          <w:rFonts w:ascii="sans-serif" w:eastAsia="sans-serif" w:hAnsi="sans-serif" w:cs="sans-serif"/>
          <w:color w:val="000000"/>
          <w:sz w:val="20"/>
          <w:szCs w:val="20"/>
        </w:rPr>
        <w:t>e further actions as required by government authorities and regulations or that we determine are in the best interests of our employees, customers, partners and suppliers. Some regions are easing COVID-19 related restrictions; however, most of our employee</w:t>
      </w:r>
      <w:r>
        <w:rPr>
          <w:rFonts w:ascii="sans-serif" w:eastAsia="sans-serif" w:hAnsi="sans-serif" w:cs="sans-serif"/>
          <w:color w:val="000000"/>
          <w:sz w:val="20"/>
          <w:szCs w:val="20"/>
        </w:rPr>
        <w:t>s continue to work remotely and we continue to temporarily prohibit most business travel. There is no certainty that such measures will be sufficient to mitigate the risks posed by the disease, and our ability to perform critical functions could be harmed.</w:t>
      </w:r>
      <w:r>
        <w:rPr>
          <w:rFonts w:ascii="sans-serif" w:eastAsia="sans-serif" w:hAnsi="sans-serif" w:cs="sans-serif"/>
          <w:color w:val="000000"/>
          <w:sz w:val="20"/>
          <w:szCs w:val="20"/>
        </w:rPr>
        <w:t xml:space="preserve"> As our offices begin to reopen, we expect to incur incremental expenses as we resume onsite services and related in-office costs, which could adversely impact our results of operations.</w:t>
      </w:r>
    </w:p>
    <w:p w14:paraId="54067A5A" w14:textId="77777777" w:rsidR="00611BDD" w:rsidRDefault="002E18C7">
      <w:pPr>
        <w:spacing w:after="180"/>
        <w:jc w:val="both"/>
      </w:pPr>
      <w:r>
        <w:rPr>
          <w:rFonts w:ascii="sans-serif" w:eastAsia="sans-serif" w:hAnsi="sans-serif" w:cs="sans-serif"/>
          <w:color w:val="000000"/>
          <w:sz w:val="20"/>
          <w:szCs w:val="20"/>
        </w:rPr>
        <w:t xml:space="preserve">While the extent and duration of the COVID-19 pandemic on the global </w:t>
      </w:r>
      <w:r>
        <w:rPr>
          <w:rFonts w:ascii="sans-serif" w:eastAsia="sans-serif" w:hAnsi="sans-serif" w:cs="sans-serif"/>
          <w:color w:val="000000"/>
          <w:sz w:val="20"/>
          <w:szCs w:val="20"/>
        </w:rPr>
        <w:t xml:space="preserve">economy and our business is difficult to assess or predict, the pandemic has resulted in, and may continue to result in, significant disruption of global financial markets, which may reduce our ability to access capital or our customers’ ability to pay us </w:t>
      </w:r>
      <w:r>
        <w:rPr>
          <w:rFonts w:ascii="sans-serif" w:eastAsia="sans-serif" w:hAnsi="sans-serif" w:cs="sans-serif"/>
          <w:color w:val="000000"/>
          <w:sz w:val="20"/>
          <w:szCs w:val="20"/>
        </w:rPr>
        <w:t>for past or future purchases, which could negatively affect our liquidity. A recession or financial market correction resulting from the lack of containment and spread of COVID-19 could impact overall technology spending, adversely affecting demand for our</w:t>
      </w:r>
      <w:r>
        <w:rPr>
          <w:rFonts w:ascii="sans-serif" w:eastAsia="sans-serif" w:hAnsi="sans-serif" w:cs="sans-serif"/>
          <w:color w:val="000000"/>
          <w:sz w:val="20"/>
          <w:szCs w:val="20"/>
        </w:rPr>
        <w:t xml:space="preserve"> products, our business and the value of our common stock.</w:t>
      </w:r>
    </w:p>
    <w:p w14:paraId="54067A5B" w14:textId="77777777" w:rsidR="00611BDD" w:rsidRDefault="002E18C7">
      <w:pPr>
        <w:spacing w:after="180"/>
        <w:jc w:val="both"/>
      </w:pPr>
      <w:r>
        <w:rPr>
          <w:rFonts w:ascii="sans-serif" w:eastAsia="sans-serif" w:hAnsi="sans-serif" w:cs="sans-serif"/>
          <w:color w:val="000000"/>
          <w:sz w:val="20"/>
          <w:szCs w:val="20"/>
        </w:rPr>
        <w:t xml:space="preserve">The ultimate impact of the COVID-19 pandemic or a similar health epidemic is highly uncertain and subject to change. The extent of the impact of the COVID-19 pandemic on our operational and </w:t>
      </w:r>
      <w:r>
        <w:rPr>
          <w:rFonts w:ascii="sans-serif" w:eastAsia="sans-serif" w:hAnsi="sans-serif" w:cs="sans-serif"/>
          <w:color w:val="000000"/>
          <w:sz w:val="20"/>
          <w:szCs w:val="20"/>
        </w:rPr>
        <w:t xml:space="preserve">financial performance, including our ability to execute our business strategies and initiatives in the expected time frame, will depend on future developments, including, but not limited to, the duration and continued spread of the pandemic, its severity, </w:t>
      </w:r>
      <w:r>
        <w:rPr>
          <w:rFonts w:ascii="sans-serif" w:eastAsia="sans-serif" w:hAnsi="sans-serif" w:cs="sans-serif"/>
          <w:color w:val="000000"/>
          <w:sz w:val="20"/>
          <w:szCs w:val="20"/>
        </w:rPr>
        <w:t>the emergence and spread of new and more contagious or deadly variants or mutant strains of the COVID-19 virus that may render vaccines ineffective or decrease their efficacy, the future spikes of COVID-19 infections or the existence of any additional wave</w:t>
      </w:r>
      <w:r>
        <w:rPr>
          <w:rFonts w:ascii="sans-serif" w:eastAsia="sans-serif" w:hAnsi="sans-serif" w:cs="sans-serif"/>
          <w:color w:val="000000"/>
          <w:sz w:val="20"/>
          <w:szCs w:val="20"/>
        </w:rPr>
        <w:t>s of the COVID-19 pandemic and the severity of breakthrough cases, the actions to contain the disease or treat its impact, the development, distribution, availability and widespread acceptance of effective vaccines or other treatments and the timing of vac</w:t>
      </w:r>
      <w:r>
        <w:rPr>
          <w:rFonts w:ascii="sans-serif" w:eastAsia="sans-serif" w:hAnsi="sans-serif" w:cs="sans-serif"/>
          <w:color w:val="000000"/>
          <w:sz w:val="20"/>
          <w:szCs w:val="20"/>
        </w:rPr>
        <w:t>cine rollouts and herd immunity globally, further related restrictions on travel, and the duration, timing and severity of the impact on customer spending, including any recession resulting from the pandemic, all of which are uncertain and cannot be predic</w:t>
      </w:r>
      <w:r>
        <w:rPr>
          <w:rFonts w:ascii="sans-serif" w:eastAsia="sans-serif" w:hAnsi="sans-serif" w:cs="sans-serif"/>
          <w:color w:val="000000"/>
          <w:sz w:val="20"/>
          <w:szCs w:val="20"/>
        </w:rPr>
        <w:t>ted. An extended period of global supply chain and economic disruption as a result of the COVID-19 pandemic could have a material negative impact on our business, results of operations, access to sources of liquidity and financial condition, though the ful</w:t>
      </w:r>
      <w:r>
        <w:rPr>
          <w:rFonts w:ascii="sans-serif" w:eastAsia="sans-serif" w:hAnsi="sans-serif" w:cs="sans-serif"/>
          <w:color w:val="000000"/>
          <w:sz w:val="20"/>
          <w:szCs w:val="20"/>
        </w:rPr>
        <w:t>l extent and duration is uncertain.</w:t>
      </w:r>
    </w:p>
    <w:p w14:paraId="54067A5C" w14:textId="77777777" w:rsidR="00611BDD" w:rsidRDefault="002E18C7">
      <w:pPr>
        <w:spacing w:before="120" w:after="120"/>
        <w:jc w:val="both"/>
      </w:pPr>
      <w:r>
        <w:rPr>
          <w:rFonts w:ascii="sans-serif" w:eastAsia="sans-serif" w:hAnsi="sans-serif" w:cs="sans-serif"/>
          <w:b/>
          <w:bCs/>
          <w:color w:val="000000"/>
          <w:sz w:val="20"/>
          <w:szCs w:val="20"/>
        </w:rPr>
        <w:t>Our indebtedness could adversely affect our financial position and cash flows from operations, and prevent us from implementing our strategy or fulfilling our contractual obligations.</w:t>
      </w:r>
    </w:p>
    <w:p w14:paraId="54067A5D" w14:textId="77777777" w:rsidR="00611BDD" w:rsidRDefault="002E18C7">
      <w:pPr>
        <w:spacing w:after="180"/>
        <w:jc w:val="both"/>
      </w:pPr>
      <w:r>
        <w:rPr>
          <w:rFonts w:ascii="sans-serif" w:eastAsia="sans-serif" w:hAnsi="sans-serif" w:cs="sans-serif"/>
          <w:color w:val="000000"/>
          <w:sz w:val="20"/>
          <w:szCs w:val="20"/>
        </w:rPr>
        <w:t>As of August 1, 2021, we had outstan</w:t>
      </w:r>
      <w:r>
        <w:rPr>
          <w:rFonts w:ascii="sans-serif" w:eastAsia="sans-serif" w:hAnsi="sans-serif" w:cs="sans-serif"/>
          <w:color w:val="000000"/>
          <w:sz w:val="20"/>
          <w:szCs w:val="20"/>
        </w:rPr>
        <w:t>ding a total of $12 billion in notes due between 2021 and 2060. As each series of senior notes matures, unless earlier redeemed or repurchased, we may have to expend significant resources to either repay or refinance notes. If we decide to refinance the no</w:t>
      </w:r>
      <w:r>
        <w:rPr>
          <w:rFonts w:ascii="sans-serif" w:eastAsia="sans-serif" w:hAnsi="sans-serif" w:cs="sans-serif"/>
          <w:color w:val="000000"/>
          <w:sz w:val="20"/>
          <w:szCs w:val="20"/>
        </w:rPr>
        <w:t>tes, we may be required to do so on different or less favorable terms or we may be unable to refinance the notes at all, both of which may adversely affect our financial condition. We also have entered into a credit agreement that expires in October 2021 u</w:t>
      </w:r>
      <w:r>
        <w:rPr>
          <w:rFonts w:ascii="sans-serif" w:eastAsia="sans-serif" w:hAnsi="sans-serif" w:cs="sans-serif"/>
          <w:color w:val="000000"/>
          <w:sz w:val="20"/>
          <w:szCs w:val="20"/>
        </w:rPr>
        <w:t>nder which we may borrow up to $575 million and, subject to obtaining new commitments from lenders under the credit agreement, may borrow up to an additional $425 million under revolving loan commitments. We also have a $575 million commercial paper progra</w:t>
      </w:r>
      <w:r>
        <w:rPr>
          <w:rFonts w:ascii="sans-serif" w:eastAsia="sans-serif" w:hAnsi="sans-serif" w:cs="sans-serif"/>
          <w:color w:val="000000"/>
          <w:sz w:val="20"/>
          <w:szCs w:val="20"/>
        </w:rPr>
        <w:t>m. As of August 1, 2021, we had not borrowed any amounts under the credit agreement or issued any commercial paper. Maintenance of our indebtedness, contractual restrictions, and additional issuances of indebtedness could:</w:t>
      </w:r>
    </w:p>
    <w:p w14:paraId="54067A5E" w14:textId="77777777" w:rsidR="00611BDD" w:rsidRDefault="002E18C7">
      <w:pPr>
        <w:pBdr>
          <w:left w:val="none" w:sz="0" w:space="0" w:color="auto"/>
        </w:pBdr>
        <w:spacing w:after="180"/>
        <w:ind w:hanging="360"/>
        <w:jc w:val="both"/>
      </w:pPr>
      <w:r>
        <w:rPr>
          <w:rFonts w:ascii="sans-serif" w:eastAsia="sans-serif" w:hAnsi="sans-serif" w:cs="sans-serif"/>
          <w:color w:val="000000"/>
          <w:sz w:val="20"/>
          <w:szCs w:val="20"/>
        </w:rPr>
        <w:t xml:space="preserve">•cause us to dedicate a </w:t>
      </w:r>
      <w:r>
        <w:rPr>
          <w:rFonts w:ascii="sans-serif" w:eastAsia="sans-serif" w:hAnsi="sans-serif" w:cs="sans-serif"/>
          <w:color w:val="000000"/>
          <w:sz w:val="20"/>
          <w:szCs w:val="20"/>
        </w:rPr>
        <w:t>substantial portion of our cash flows from operations towards debt service obligations and principal repayments;</w:t>
      </w:r>
    </w:p>
    <w:p w14:paraId="54067A5F" w14:textId="77777777" w:rsidR="00611BDD" w:rsidRDefault="002E18C7">
      <w:pPr>
        <w:pBdr>
          <w:left w:val="none" w:sz="0" w:space="0" w:color="auto"/>
        </w:pBdr>
        <w:spacing w:after="180"/>
        <w:ind w:hanging="360"/>
        <w:jc w:val="both"/>
      </w:pPr>
      <w:r>
        <w:rPr>
          <w:rFonts w:ascii="sans-serif" w:eastAsia="sans-serif" w:hAnsi="sans-serif" w:cs="sans-serif"/>
          <w:color w:val="000000"/>
          <w:sz w:val="20"/>
          <w:szCs w:val="20"/>
        </w:rPr>
        <w:t>•increase our vulnerability to adverse changes in general economic, industry and competitive conditions;</w:t>
      </w:r>
    </w:p>
    <w:p w14:paraId="54067A60" w14:textId="77777777" w:rsidR="00611BDD" w:rsidRDefault="002E18C7">
      <w:pPr>
        <w:pBdr>
          <w:left w:val="none" w:sz="0" w:space="0" w:color="auto"/>
        </w:pBdr>
        <w:spacing w:after="180"/>
        <w:ind w:hanging="360"/>
        <w:jc w:val="both"/>
      </w:pPr>
      <w:r>
        <w:rPr>
          <w:rFonts w:ascii="sans-serif" w:eastAsia="sans-serif" w:hAnsi="sans-serif" w:cs="sans-serif"/>
          <w:color w:val="000000"/>
          <w:sz w:val="20"/>
          <w:szCs w:val="20"/>
        </w:rPr>
        <w:t>•limit our flexibility in planning for</w:t>
      </w:r>
      <w:r>
        <w:rPr>
          <w:rFonts w:ascii="sans-serif" w:eastAsia="sans-serif" w:hAnsi="sans-serif" w:cs="sans-serif"/>
          <w:color w:val="000000"/>
          <w:sz w:val="20"/>
          <w:szCs w:val="20"/>
        </w:rPr>
        <w:t>, or reacting to, changes in our business and our industry;</w:t>
      </w:r>
    </w:p>
    <w:p w14:paraId="54067A61" w14:textId="77777777" w:rsidR="00611BDD" w:rsidRDefault="002E18C7">
      <w:pPr>
        <w:pBdr>
          <w:left w:val="none" w:sz="0" w:space="0" w:color="auto"/>
        </w:pBdr>
        <w:spacing w:after="180"/>
        <w:ind w:hanging="360"/>
        <w:jc w:val="both"/>
      </w:pPr>
      <w:r>
        <w:rPr>
          <w:rFonts w:ascii="sans-serif" w:eastAsia="sans-serif" w:hAnsi="sans-serif" w:cs="sans-serif"/>
          <w:color w:val="000000"/>
          <w:sz w:val="20"/>
          <w:szCs w:val="20"/>
        </w:rPr>
        <w:t>•impair our ability to obtain future financing for working capital, capital expenditures, acquisitions, general corporate or other purposes; and</w:t>
      </w:r>
    </w:p>
    <w:p w14:paraId="54067A62" w14:textId="77777777" w:rsidR="00611BDD" w:rsidRDefault="002E18C7">
      <w:pPr>
        <w:spacing w:after="180"/>
        <w:jc w:val="center"/>
      </w:pPr>
      <w:r>
        <w:rPr>
          <w:rFonts w:ascii="sans-serif" w:eastAsia="sans-serif" w:hAnsi="sans-serif" w:cs="sans-serif"/>
          <w:color w:val="000000"/>
          <w:sz w:val="20"/>
          <w:szCs w:val="20"/>
        </w:rPr>
        <w:t>34</w:t>
      </w:r>
    </w:p>
    <w:p w14:paraId="54067A63" w14:textId="77777777" w:rsidR="00611BDD" w:rsidRDefault="002E18C7">
      <w:r>
        <w:pict w14:anchorId="54067C46">
          <v:rect id="_x0000_i1058" style="width:415.3pt;height:1.5pt" o:hralign="center" o:hrstd="t" o:hr="t" fillcolor="#a0a0a0" stroked="f"/>
        </w:pict>
      </w:r>
    </w:p>
    <w:p w14:paraId="54067A64" w14:textId="77777777" w:rsidR="00611BDD" w:rsidRDefault="00611BDD">
      <w:pPr>
        <w:spacing w:after="180"/>
        <w:jc w:val="both"/>
      </w:pPr>
    </w:p>
    <w:p w14:paraId="54067A65" w14:textId="77777777" w:rsidR="00611BDD" w:rsidRDefault="00611BDD">
      <w:pPr>
        <w:spacing w:after="180"/>
        <w:jc w:val="both"/>
      </w:pPr>
    </w:p>
    <w:p w14:paraId="54067A66" w14:textId="77777777" w:rsidR="00611BDD" w:rsidRDefault="00611BDD">
      <w:pPr>
        <w:spacing w:after="180"/>
        <w:jc w:val="both"/>
      </w:pPr>
    </w:p>
    <w:p w14:paraId="54067A67" w14:textId="77777777" w:rsidR="00611BDD" w:rsidRDefault="002E18C7">
      <w:pPr>
        <w:pBdr>
          <w:left w:val="none" w:sz="0" w:space="0" w:color="auto"/>
        </w:pBdr>
        <w:spacing w:after="180"/>
        <w:ind w:hanging="360"/>
        <w:jc w:val="both"/>
      </w:pPr>
      <w:r>
        <w:rPr>
          <w:rFonts w:ascii="sans-serif" w:eastAsia="sans-serif" w:hAnsi="sans-serif" w:cs="sans-serif"/>
          <w:color w:val="000000"/>
          <w:sz w:val="20"/>
          <w:szCs w:val="20"/>
        </w:rPr>
        <w:t>•due to limitations within the debt instrum</w:t>
      </w:r>
      <w:r>
        <w:rPr>
          <w:rFonts w:ascii="sans-serif" w:eastAsia="sans-serif" w:hAnsi="sans-serif" w:cs="sans-serif"/>
          <w:color w:val="000000"/>
          <w:sz w:val="20"/>
          <w:szCs w:val="20"/>
        </w:rPr>
        <w:t>ents, restrict our ability to grant liens on property, enter into certain mergers, dispose of all or substantially all of the assets of us and our subsidiaries, taken as a whole, materially change our business or incur subsidiary indebtedness, subject to c</w:t>
      </w:r>
      <w:r>
        <w:rPr>
          <w:rFonts w:ascii="sans-serif" w:eastAsia="sans-serif" w:hAnsi="sans-serif" w:cs="sans-serif"/>
          <w:color w:val="000000"/>
          <w:sz w:val="20"/>
          <w:szCs w:val="20"/>
        </w:rPr>
        <w:t>ustomary exceptions.</w:t>
      </w:r>
    </w:p>
    <w:p w14:paraId="54067A68" w14:textId="77777777" w:rsidR="00611BDD" w:rsidRDefault="002E18C7">
      <w:pPr>
        <w:spacing w:after="180"/>
        <w:jc w:val="both"/>
      </w:pPr>
      <w:r>
        <w:rPr>
          <w:rFonts w:ascii="sans-serif" w:eastAsia="sans-serif" w:hAnsi="sans-serif" w:cs="sans-serif"/>
          <w:color w:val="000000"/>
          <w:sz w:val="20"/>
          <w:szCs w:val="20"/>
        </w:rPr>
        <w:t xml:space="preserve">We are required to comply with the covenants set forth in our indenture and credit agreement. Our ability to comply with these covenants may be affected by events beyond our control. If we breach any of the covenants and do not obtain </w:t>
      </w:r>
      <w:r>
        <w:rPr>
          <w:rFonts w:ascii="sans-serif" w:eastAsia="sans-serif" w:hAnsi="sans-serif" w:cs="sans-serif"/>
          <w:color w:val="000000"/>
          <w:sz w:val="20"/>
          <w:szCs w:val="20"/>
        </w:rPr>
        <w:t>a waiver from the note holders or lenders, then, subject to applicable cure periods, any outstanding indebtedness may be declared immediately due and payable. In addition, changes by any rating agency to our credit rating may negatively impact the value an</w:t>
      </w:r>
      <w:r>
        <w:rPr>
          <w:rFonts w:ascii="sans-serif" w:eastAsia="sans-serif" w:hAnsi="sans-serif" w:cs="sans-serif"/>
          <w:color w:val="000000"/>
          <w:sz w:val="20"/>
          <w:szCs w:val="20"/>
        </w:rPr>
        <w:t>d liquidity of our securities, could restrict our ability to obtain additional financing in the future and could affect the terms of any such financing.</w:t>
      </w:r>
    </w:p>
    <w:p w14:paraId="54067A69" w14:textId="77777777" w:rsidR="00611BDD" w:rsidRDefault="002E18C7">
      <w:pPr>
        <w:spacing w:before="120" w:after="120"/>
        <w:jc w:val="both"/>
      </w:pPr>
      <w:r>
        <w:rPr>
          <w:rFonts w:ascii="sans-serif" w:eastAsia="sans-serif" w:hAnsi="sans-serif" w:cs="sans-serif"/>
          <w:b/>
          <w:bCs/>
          <w:color w:val="000000"/>
          <w:sz w:val="20"/>
          <w:szCs w:val="20"/>
        </w:rPr>
        <w:t>We may not be able to realize the potential financial or strategic benefits of business acquisitions or</w:t>
      </w:r>
      <w:r>
        <w:rPr>
          <w:rFonts w:ascii="sans-serif" w:eastAsia="sans-serif" w:hAnsi="sans-serif" w:cs="sans-serif"/>
          <w:b/>
          <w:bCs/>
          <w:color w:val="000000"/>
          <w:sz w:val="20"/>
          <w:szCs w:val="20"/>
        </w:rPr>
        <w:t xml:space="preserve"> investments, including the Mellanox acquisition and the planned Arm acquisition, and we may not be able to successfully integrate acquisition targets, which could hurt our ability to grow our business, develop new products or sell our products.</w:t>
      </w:r>
    </w:p>
    <w:p w14:paraId="54067A6A" w14:textId="77777777" w:rsidR="00611BDD" w:rsidRDefault="002E18C7">
      <w:pPr>
        <w:spacing w:after="180"/>
        <w:jc w:val="both"/>
      </w:pPr>
      <w:r>
        <w:rPr>
          <w:rFonts w:ascii="sans-serif" w:eastAsia="sans-serif" w:hAnsi="sans-serif" w:cs="sans-serif"/>
          <w:color w:val="000000"/>
          <w:sz w:val="20"/>
          <w:szCs w:val="20"/>
        </w:rPr>
        <w:t>We hold an</w:t>
      </w:r>
      <w:r>
        <w:rPr>
          <w:rFonts w:ascii="sans-serif" w:eastAsia="sans-serif" w:hAnsi="sans-serif" w:cs="sans-serif"/>
          <w:color w:val="000000"/>
          <w:sz w:val="20"/>
          <w:szCs w:val="20"/>
        </w:rPr>
        <w:t>d may in the future hold investments in publicly traded companies which could create volatility in our results and may generate losses up to the value of the investment. We have in the past acquired and invested in, and may continue to acquire and invest i</w:t>
      </w:r>
      <w:r>
        <w:rPr>
          <w:rFonts w:ascii="sans-serif" w:eastAsia="sans-serif" w:hAnsi="sans-serif" w:cs="sans-serif"/>
          <w:color w:val="000000"/>
          <w:sz w:val="20"/>
          <w:szCs w:val="20"/>
        </w:rPr>
        <w:t>n, other businesses that offer products, services and technologies that we believe will help expand or enhance our existing products, strategic objectives and business. We completed our acquisition of Mellanox for approximately $7 billion in April 2020. In</w:t>
      </w:r>
      <w:r>
        <w:rPr>
          <w:rFonts w:ascii="sans-serif" w:eastAsia="sans-serif" w:hAnsi="sans-serif" w:cs="sans-serif"/>
          <w:color w:val="000000"/>
          <w:sz w:val="20"/>
          <w:szCs w:val="20"/>
        </w:rPr>
        <w:t xml:space="preserve"> September 2020, we announced our agreement to acquire all allotted and issued ordinary shares of Arm in a transaction valued at $40 billion. We are working through the regulatory process in the United States, the United Kingdom, the European Union, China </w:t>
      </w:r>
      <w:r>
        <w:rPr>
          <w:rFonts w:ascii="sans-serif" w:eastAsia="sans-serif" w:hAnsi="sans-serif" w:cs="sans-serif"/>
          <w:color w:val="000000"/>
          <w:sz w:val="20"/>
          <w:szCs w:val="20"/>
        </w:rPr>
        <w:t>and other jurisdictions. Discussions with regulators are taking longer than initially thought and it is it is difficult to predict when the regulatory process will conclude. If the Purchase Agreement is terminated under certain circumstances, we will be re</w:t>
      </w:r>
      <w:r>
        <w:rPr>
          <w:rFonts w:ascii="sans-serif" w:eastAsia="sans-serif" w:hAnsi="sans-serif" w:cs="sans-serif"/>
          <w:color w:val="000000"/>
          <w:sz w:val="20"/>
          <w:szCs w:val="20"/>
        </w:rPr>
        <w:t xml:space="preserve">funded $1.25 billion of the Signing Consideration. </w:t>
      </w:r>
    </w:p>
    <w:p w14:paraId="54067A6B" w14:textId="77777777" w:rsidR="00611BDD" w:rsidRDefault="002E18C7">
      <w:pPr>
        <w:spacing w:after="180"/>
        <w:jc w:val="both"/>
      </w:pPr>
      <w:r>
        <w:rPr>
          <w:rFonts w:ascii="sans-serif" w:eastAsia="sans-serif" w:hAnsi="sans-serif" w:cs="sans-serif"/>
          <w:color w:val="000000"/>
          <w:sz w:val="20"/>
          <w:szCs w:val="20"/>
        </w:rPr>
        <w:t>The Mellanox acquisition, the planned Arm acquisition and future acquisitions or investments involve significant challenges and risks, and could impair our ability to grow our business, develop new produc</w:t>
      </w:r>
      <w:r>
        <w:rPr>
          <w:rFonts w:ascii="sans-serif" w:eastAsia="sans-serif" w:hAnsi="sans-serif" w:cs="sans-serif"/>
          <w:color w:val="000000"/>
          <w:sz w:val="20"/>
          <w:szCs w:val="20"/>
        </w:rPr>
        <w:t>ts or sell our products, and ultimately could have a negative impact on our growth or our financial results. Given that our resources are limited, our decision to pursue a transaction has opportunity costs; accordingly, if we pursue a particular transactio</w:t>
      </w:r>
      <w:r>
        <w:rPr>
          <w:rFonts w:ascii="sans-serif" w:eastAsia="sans-serif" w:hAnsi="sans-serif" w:cs="sans-serif"/>
          <w:color w:val="000000"/>
          <w:sz w:val="20"/>
          <w:szCs w:val="20"/>
        </w:rPr>
        <w:t>n, we may need to forgo the prospect of entering into other transactions that could help us achieve our strategic objectives. Furthermore, if we are unable to complete acquisitions in a timely manner, including due to delays in obtaining regulatory approva</w:t>
      </w:r>
      <w:r>
        <w:rPr>
          <w:rFonts w:ascii="sans-serif" w:eastAsia="sans-serif" w:hAnsi="sans-serif" w:cs="sans-serif"/>
          <w:color w:val="000000"/>
          <w:sz w:val="20"/>
          <w:szCs w:val="20"/>
        </w:rPr>
        <w:t>ls, such as with respect to the planned Arm acquisition, we may be unable to pursue other transactions, we may not be able to retain critical talent from the target company, technology may evolve, making the acquisition less attractive, and other changes c</w:t>
      </w:r>
      <w:r>
        <w:rPr>
          <w:rFonts w:ascii="sans-serif" w:eastAsia="sans-serif" w:hAnsi="sans-serif" w:cs="sans-serif"/>
          <w:color w:val="000000"/>
          <w:sz w:val="20"/>
          <w:szCs w:val="20"/>
        </w:rPr>
        <w:t>an take place which could jeopardize or reduce the anticipated benefits of the transaction and negatively impact our business. In addition, we have made and may in the future make strategic investments in private companies and may not realize a return on o</w:t>
      </w:r>
      <w:r>
        <w:rPr>
          <w:rFonts w:ascii="sans-serif" w:eastAsia="sans-serif" w:hAnsi="sans-serif" w:cs="sans-serif"/>
          <w:color w:val="000000"/>
          <w:sz w:val="20"/>
          <w:szCs w:val="20"/>
        </w:rPr>
        <w:t>ur investments. Additional risks related to the Mellanox acquisition, the planned Arm acquisition and other acquisitions or strategic investments include, but are not limited to:</w:t>
      </w:r>
    </w:p>
    <w:p w14:paraId="54067A6C" w14:textId="77777777" w:rsidR="00611BDD" w:rsidRDefault="002E18C7">
      <w:pPr>
        <w:pBdr>
          <w:left w:val="none" w:sz="0" w:space="0" w:color="auto"/>
        </w:pBdr>
        <w:spacing w:after="180"/>
        <w:ind w:hanging="360"/>
        <w:jc w:val="both"/>
      </w:pPr>
      <w:r>
        <w:rPr>
          <w:rFonts w:ascii="sans-serif" w:eastAsia="sans-serif" w:hAnsi="sans-serif" w:cs="sans-serif"/>
          <w:color w:val="000000"/>
          <w:sz w:val="20"/>
          <w:szCs w:val="20"/>
        </w:rPr>
        <w:t>•difficulty in combining the technology, products, or operations of the acqui</w:t>
      </w:r>
      <w:r>
        <w:rPr>
          <w:rFonts w:ascii="sans-serif" w:eastAsia="sans-serif" w:hAnsi="sans-serif" w:cs="sans-serif"/>
          <w:color w:val="000000"/>
          <w:sz w:val="20"/>
          <w:szCs w:val="20"/>
        </w:rPr>
        <w:t>red business with our business;</w:t>
      </w:r>
    </w:p>
    <w:p w14:paraId="54067A6D" w14:textId="77777777" w:rsidR="00611BDD" w:rsidRDefault="002E18C7">
      <w:pPr>
        <w:pBdr>
          <w:left w:val="none" w:sz="0" w:space="0" w:color="auto"/>
        </w:pBdr>
        <w:spacing w:after="180"/>
        <w:ind w:hanging="360"/>
        <w:jc w:val="both"/>
      </w:pPr>
      <w:r>
        <w:rPr>
          <w:rFonts w:ascii="sans-serif" w:eastAsia="sans-serif" w:hAnsi="sans-serif" w:cs="sans-serif"/>
          <w:color w:val="000000"/>
          <w:sz w:val="20"/>
          <w:szCs w:val="20"/>
        </w:rPr>
        <w:t>•difficulty in integrating and retaining the acquired workforce, including key employees;</w:t>
      </w:r>
    </w:p>
    <w:p w14:paraId="54067A6E" w14:textId="77777777" w:rsidR="00611BDD" w:rsidRDefault="002E18C7">
      <w:pPr>
        <w:pBdr>
          <w:left w:val="none" w:sz="0" w:space="0" w:color="auto"/>
        </w:pBdr>
        <w:spacing w:after="180"/>
        <w:ind w:hanging="360"/>
        <w:jc w:val="both"/>
      </w:pPr>
      <w:r>
        <w:rPr>
          <w:rFonts w:ascii="sans-serif" w:eastAsia="sans-serif" w:hAnsi="sans-serif" w:cs="sans-serif"/>
          <w:color w:val="000000"/>
          <w:sz w:val="20"/>
          <w:szCs w:val="20"/>
        </w:rPr>
        <w:t>•diversion of capital and other resources, including management’s attention;</w:t>
      </w:r>
    </w:p>
    <w:p w14:paraId="54067A6F" w14:textId="77777777" w:rsidR="00611BDD" w:rsidRDefault="002E18C7">
      <w:pPr>
        <w:pBdr>
          <w:left w:val="none" w:sz="0" w:space="0" w:color="auto"/>
        </w:pBdr>
        <w:spacing w:after="180"/>
        <w:ind w:hanging="360"/>
        <w:jc w:val="both"/>
      </w:pPr>
      <w:r>
        <w:rPr>
          <w:rFonts w:ascii="sans-serif" w:eastAsia="sans-serif" w:hAnsi="sans-serif" w:cs="sans-serif"/>
          <w:color w:val="000000"/>
          <w:sz w:val="20"/>
          <w:szCs w:val="20"/>
        </w:rPr>
        <w:t>•assumption of liabilities and incurring amortization exp</w:t>
      </w:r>
      <w:r>
        <w:rPr>
          <w:rFonts w:ascii="sans-serif" w:eastAsia="sans-serif" w:hAnsi="sans-serif" w:cs="sans-serif"/>
          <w:color w:val="000000"/>
          <w:sz w:val="20"/>
          <w:szCs w:val="20"/>
        </w:rPr>
        <w:t>enses, impairment charges to goodwill or write-downs of acquired assets;</w:t>
      </w:r>
    </w:p>
    <w:p w14:paraId="54067A70" w14:textId="77777777" w:rsidR="00611BDD" w:rsidRDefault="002E18C7">
      <w:pPr>
        <w:pBdr>
          <w:left w:val="none" w:sz="0" w:space="0" w:color="auto"/>
        </w:pBdr>
        <w:spacing w:after="180"/>
        <w:ind w:hanging="360"/>
        <w:jc w:val="both"/>
      </w:pPr>
      <w:r>
        <w:rPr>
          <w:rFonts w:ascii="sans-serif" w:eastAsia="sans-serif" w:hAnsi="sans-serif" w:cs="sans-serif"/>
          <w:color w:val="000000"/>
          <w:sz w:val="20"/>
          <w:szCs w:val="20"/>
        </w:rPr>
        <w:t>•integrating financial forecasting and controls, procedures and reporting cycles;</w:t>
      </w:r>
    </w:p>
    <w:p w14:paraId="54067A71" w14:textId="77777777" w:rsidR="00611BDD" w:rsidRDefault="002E18C7">
      <w:pPr>
        <w:pBdr>
          <w:left w:val="none" w:sz="0" w:space="0" w:color="auto"/>
        </w:pBdr>
        <w:spacing w:after="180"/>
        <w:ind w:hanging="360"/>
        <w:jc w:val="both"/>
      </w:pPr>
      <w:r>
        <w:rPr>
          <w:rFonts w:ascii="sans-serif" w:eastAsia="sans-serif" w:hAnsi="sans-serif" w:cs="sans-serif"/>
          <w:color w:val="000000"/>
          <w:sz w:val="20"/>
          <w:szCs w:val="20"/>
        </w:rPr>
        <w:t>•coordinating and integrating operations in countries in which we have not previously operated;</w:t>
      </w:r>
    </w:p>
    <w:p w14:paraId="54067A72" w14:textId="77777777" w:rsidR="00611BDD" w:rsidRDefault="002E18C7">
      <w:pPr>
        <w:pBdr>
          <w:left w:val="none" w:sz="0" w:space="0" w:color="auto"/>
        </w:pBdr>
        <w:spacing w:after="180"/>
        <w:ind w:hanging="360"/>
        <w:jc w:val="both"/>
      </w:pPr>
      <w:r>
        <w:rPr>
          <w:rFonts w:ascii="sans-serif" w:eastAsia="sans-serif" w:hAnsi="sans-serif" w:cs="sans-serif"/>
          <w:color w:val="000000"/>
          <w:sz w:val="20"/>
          <w:szCs w:val="20"/>
        </w:rPr>
        <w:t>•acqu</w:t>
      </w:r>
      <w:r>
        <w:rPr>
          <w:rFonts w:ascii="sans-serif" w:eastAsia="sans-serif" w:hAnsi="sans-serif" w:cs="sans-serif"/>
          <w:color w:val="000000"/>
          <w:sz w:val="20"/>
          <w:szCs w:val="20"/>
        </w:rPr>
        <w:t>iring business challenges and risks, including, but not limited to, disputes with management and integrating international operations and joint ventures;</w:t>
      </w:r>
    </w:p>
    <w:p w14:paraId="54067A73" w14:textId="77777777" w:rsidR="00611BDD" w:rsidRDefault="002E18C7">
      <w:pPr>
        <w:pBdr>
          <w:left w:val="none" w:sz="0" w:space="0" w:color="auto"/>
        </w:pBdr>
        <w:spacing w:after="180"/>
        <w:ind w:hanging="360"/>
        <w:jc w:val="both"/>
      </w:pPr>
      <w:r>
        <w:rPr>
          <w:rFonts w:ascii="sans-serif" w:eastAsia="sans-serif" w:hAnsi="sans-serif" w:cs="sans-serif"/>
          <w:color w:val="000000"/>
          <w:sz w:val="20"/>
          <w:szCs w:val="20"/>
        </w:rPr>
        <w:t>•difficulty in realizing a satisfactory return, if any return at all;</w:t>
      </w:r>
    </w:p>
    <w:p w14:paraId="54067A74" w14:textId="77777777" w:rsidR="00611BDD" w:rsidRDefault="002E18C7">
      <w:pPr>
        <w:pBdr>
          <w:left w:val="none" w:sz="0" w:space="0" w:color="auto"/>
        </w:pBdr>
        <w:spacing w:after="180"/>
        <w:ind w:hanging="360"/>
        <w:jc w:val="both"/>
      </w:pPr>
      <w:r>
        <w:rPr>
          <w:rFonts w:ascii="sans-serif" w:eastAsia="sans-serif" w:hAnsi="sans-serif" w:cs="sans-serif"/>
          <w:color w:val="000000"/>
          <w:sz w:val="20"/>
          <w:szCs w:val="20"/>
        </w:rPr>
        <w:t>•difficulty in obtaining or inab</w:t>
      </w:r>
      <w:r>
        <w:rPr>
          <w:rFonts w:ascii="sans-serif" w:eastAsia="sans-serif" w:hAnsi="sans-serif" w:cs="sans-serif"/>
          <w:color w:val="000000"/>
          <w:sz w:val="20"/>
          <w:szCs w:val="20"/>
        </w:rPr>
        <w:t>ility to obtain governmental and regulatory consents and approvals, other approvals or financing;</w:t>
      </w:r>
    </w:p>
    <w:p w14:paraId="54067A75" w14:textId="77777777" w:rsidR="00611BDD" w:rsidRDefault="002E18C7">
      <w:pPr>
        <w:pBdr>
          <w:left w:val="none" w:sz="0" w:space="0" w:color="auto"/>
        </w:pBdr>
        <w:spacing w:after="180"/>
        <w:ind w:hanging="360"/>
        <w:jc w:val="both"/>
      </w:pPr>
      <w:r>
        <w:rPr>
          <w:rFonts w:ascii="sans-serif" w:eastAsia="sans-serif" w:hAnsi="sans-serif" w:cs="sans-serif"/>
          <w:color w:val="000000"/>
          <w:sz w:val="20"/>
          <w:szCs w:val="20"/>
        </w:rPr>
        <w:t>•the potential impact of with complying with governmental or other regulatory restrictions placed on an acquisition;</w:t>
      </w:r>
    </w:p>
    <w:p w14:paraId="54067A76" w14:textId="77777777" w:rsidR="00611BDD" w:rsidRDefault="002E18C7">
      <w:pPr>
        <w:spacing w:after="180"/>
        <w:jc w:val="center"/>
      </w:pPr>
      <w:r>
        <w:rPr>
          <w:rFonts w:ascii="sans-serif" w:eastAsia="sans-serif" w:hAnsi="sans-serif" w:cs="sans-serif"/>
          <w:color w:val="000000"/>
          <w:sz w:val="20"/>
          <w:szCs w:val="20"/>
        </w:rPr>
        <w:t>35</w:t>
      </w:r>
    </w:p>
    <w:p w14:paraId="54067A77" w14:textId="77777777" w:rsidR="00611BDD" w:rsidRDefault="002E18C7">
      <w:r>
        <w:pict w14:anchorId="54067C47">
          <v:rect id="_x0000_i1059" style="width:415.3pt;height:1.5pt" o:hralign="center" o:hrstd="t" o:hr="t" fillcolor="#a0a0a0" stroked="f"/>
        </w:pict>
      </w:r>
    </w:p>
    <w:p w14:paraId="54067A78" w14:textId="77777777" w:rsidR="00611BDD" w:rsidRDefault="00611BDD">
      <w:pPr>
        <w:spacing w:after="180"/>
        <w:jc w:val="both"/>
      </w:pPr>
    </w:p>
    <w:p w14:paraId="54067A79" w14:textId="77777777" w:rsidR="00611BDD" w:rsidRDefault="00611BDD">
      <w:pPr>
        <w:spacing w:after="180"/>
        <w:jc w:val="both"/>
      </w:pPr>
    </w:p>
    <w:p w14:paraId="54067A7A" w14:textId="77777777" w:rsidR="00611BDD" w:rsidRDefault="00611BDD">
      <w:pPr>
        <w:spacing w:after="180"/>
        <w:jc w:val="both"/>
      </w:pPr>
    </w:p>
    <w:p w14:paraId="54067A7B" w14:textId="77777777" w:rsidR="00611BDD" w:rsidRDefault="002E18C7">
      <w:pPr>
        <w:pBdr>
          <w:left w:val="none" w:sz="0" w:space="0" w:color="auto"/>
        </w:pBdr>
        <w:spacing w:after="180"/>
        <w:ind w:hanging="360"/>
        <w:jc w:val="both"/>
      </w:pPr>
      <w:r>
        <w:rPr>
          <w:rFonts w:ascii="sans-serif" w:eastAsia="sans-serif" w:hAnsi="sans-serif" w:cs="sans-serif"/>
          <w:color w:val="000000"/>
          <w:sz w:val="20"/>
          <w:szCs w:val="20"/>
        </w:rPr>
        <w:t xml:space="preserve">•the potential impact on our </w:t>
      </w:r>
      <w:r>
        <w:rPr>
          <w:rFonts w:ascii="sans-serif" w:eastAsia="sans-serif" w:hAnsi="sans-serif" w:cs="sans-serif"/>
          <w:color w:val="000000"/>
          <w:sz w:val="20"/>
          <w:szCs w:val="20"/>
        </w:rPr>
        <w:t>stock price and financial results if we are unable to obtain regulatory approval for an acquisition, are required to pay reverse breakup fees or are otherwise unable to close an acquisition;</w:t>
      </w:r>
    </w:p>
    <w:p w14:paraId="54067A7C" w14:textId="77777777" w:rsidR="00611BDD" w:rsidRDefault="002E18C7">
      <w:pPr>
        <w:pBdr>
          <w:left w:val="none" w:sz="0" w:space="0" w:color="auto"/>
        </w:pBdr>
        <w:spacing w:after="180"/>
        <w:ind w:hanging="360"/>
        <w:jc w:val="both"/>
      </w:pPr>
      <w:r>
        <w:rPr>
          <w:rFonts w:ascii="sans-serif" w:eastAsia="sans-serif" w:hAnsi="sans-serif" w:cs="sans-serif"/>
          <w:color w:val="000000"/>
          <w:sz w:val="20"/>
          <w:szCs w:val="20"/>
        </w:rPr>
        <w:t>•failure and costs associated with the failure to consummate a pr</w:t>
      </w:r>
      <w:r>
        <w:rPr>
          <w:rFonts w:ascii="sans-serif" w:eastAsia="sans-serif" w:hAnsi="sans-serif" w:cs="sans-serif"/>
          <w:color w:val="000000"/>
          <w:sz w:val="20"/>
          <w:szCs w:val="20"/>
        </w:rPr>
        <w:t>oposed acquisition or other strategic investment;</w:t>
      </w:r>
    </w:p>
    <w:p w14:paraId="54067A7D" w14:textId="77777777" w:rsidR="00611BDD" w:rsidRDefault="002E18C7">
      <w:pPr>
        <w:pBdr>
          <w:left w:val="none" w:sz="0" w:space="0" w:color="auto"/>
        </w:pBdr>
        <w:spacing w:after="180"/>
        <w:ind w:hanging="360"/>
        <w:jc w:val="both"/>
      </w:pPr>
      <w:r>
        <w:rPr>
          <w:rFonts w:ascii="sans-serif" w:eastAsia="sans-serif" w:hAnsi="sans-serif" w:cs="sans-serif"/>
          <w:color w:val="000000"/>
          <w:sz w:val="20"/>
          <w:szCs w:val="20"/>
        </w:rPr>
        <w:t>•legal proceedings initiated as a result of an acquisition or investment;</w:t>
      </w:r>
    </w:p>
    <w:p w14:paraId="54067A7E" w14:textId="77777777" w:rsidR="00611BDD" w:rsidRDefault="002E18C7">
      <w:pPr>
        <w:pBdr>
          <w:left w:val="none" w:sz="0" w:space="0" w:color="auto"/>
        </w:pBdr>
        <w:spacing w:after="180"/>
        <w:ind w:hanging="360"/>
        <w:jc w:val="both"/>
      </w:pPr>
      <w:r>
        <w:rPr>
          <w:rFonts w:ascii="sans-serif" w:eastAsia="sans-serif" w:hAnsi="sans-serif" w:cs="sans-serif"/>
          <w:color w:val="000000"/>
          <w:sz w:val="20"/>
          <w:szCs w:val="20"/>
        </w:rPr>
        <w:t>•the potential for our acquisitions to result in dilutive issuances of our equity securities;</w:t>
      </w:r>
    </w:p>
    <w:p w14:paraId="54067A7F" w14:textId="77777777" w:rsidR="00611BDD" w:rsidRDefault="002E18C7">
      <w:pPr>
        <w:pBdr>
          <w:left w:val="none" w:sz="0" w:space="0" w:color="auto"/>
        </w:pBdr>
        <w:spacing w:after="180"/>
        <w:ind w:hanging="360"/>
        <w:jc w:val="both"/>
      </w:pPr>
      <w:r>
        <w:rPr>
          <w:rFonts w:ascii="sans-serif" w:eastAsia="sans-serif" w:hAnsi="sans-serif" w:cs="sans-serif"/>
          <w:color w:val="000000"/>
          <w:sz w:val="20"/>
          <w:szCs w:val="20"/>
        </w:rPr>
        <w:t>•the potential variability of the amou</w:t>
      </w:r>
      <w:r>
        <w:rPr>
          <w:rFonts w:ascii="sans-serif" w:eastAsia="sans-serif" w:hAnsi="sans-serif" w:cs="sans-serif"/>
          <w:color w:val="000000"/>
          <w:sz w:val="20"/>
          <w:szCs w:val="20"/>
        </w:rPr>
        <w:t>nt and form of any performance-based consideration;</w:t>
      </w:r>
    </w:p>
    <w:p w14:paraId="54067A80" w14:textId="77777777" w:rsidR="00611BDD" w:rsidRDefault="002E18C7">
      <w:pPr>
        <w:pBdr>
          <w:left w:val="none" w:sz="0" w:space="0" w:color="auto"/>
        </w:pBdr>
        <w:spacing w:after="180"/>
        <w:ind w:hanging="360"/>
        <w:jc w:val="both"/>
      </w:pPr>
      <w:r>
        <w:rPr>
          <w:rFonts w:ascii="sans-serif" w:eastAsia="sans-serif" w:hAnsi="sans-serif" w:cs="sans-serif"/>
          <w:color w:val="000000"/>
          <w:sz w:val="20"/>
          <w:szCs w:val="20"/>
        </w:rPr>
        <w:t>•uncertainties and time needed to realize the benefits of an acquisition or strategic investment, if at all;</w:t>
      </w:r>
    </w:p>
    <w:p w14:paraId="54067A81" w14:textId="77777777" w:rsidR="00611BDD" w:rsidRDefault="002E18C7">
      <w:pPr>
        <w:pBdr>
          <w:left w:val="none" w:sz="0" w:space="0" w:color="auto"/>
        </w:pBdr>
        <w:spacing w:after="180"/>
        <w:ind w:hanging="360"/>
        <w:jc w:val="both"/>
      </w:pPr>
      <w:r>
        <w:rPr>
          <w:rFonts w:ascii="sans-serif" w:eastAsia="sans-serif" w:hAnsi="sans-serif" w:cs="sans-serif"/>
          <w:color w:val="000000"/>
          <w:sz w:val="20"/>
          <w:szCs w:val="20"/>
        </w:rPr>
        <w:t>•negative changes in general economic conditions in the regions or the industries in which we o</w:t>
      </w:r>
      <w:r>
        <w:rPr>
          <w:rFonts w:ascii="sans-serif" w:eastAsia="sans-serif" w:hAnsi="sans-serif" w:cs="sans-serif"/>
          <w:color w:val="000000"/>
          <w:sz w:val="20"/>
          <w:szCs w:val="20"/>
        </w:rPr>
        <w:t>r our target operate;</w:t>
      </w:r>
    </w:p>
    <w:p w14:paraId="54067A82" w14:textId="77777777" w:rsidR="00611BDD" w:rsidRDefault="002E18C7">
      <w:pPr>
        <w:pBdr>
          <w:left w:val="none" w:sz="0" w:space="0" w:color="auto"/>
        </w:pBdr>
        <w:spacing w:after="180"/>
        <w:ind w:hanging="360"/>
        <w:jc w:val="both"/>
      </w:pPr>
      <w:r>
        <w:rPr>
          <w:rFonts w:ascii="sans-serif" w:eastAsia="sans-serif" w:hAnsi="sans-serif" w:cs="sans-serif"/>
          <w:color w:val="000000"/>
          <w:sz w:val="20"/>
          <w:szCs w:val="20"/>
        </w:rPr>
        <w:t>•the need to determine an alternative strategy if an acquisition does not meet our expectations;</w:t>
      </w:r>
    </w:p>
    <w:p w14:paraId="54067A83" w14:textId="77777777" w:rsidR="00611BDD" w:rsidRDefault="002E18C7">
      <w:pPr>
        <w:pBdr>
          <w:left w:val="none" w:sz="0" w:space="0" w:color="auto"/>
        </w:pBdr>
        <w:spacing w:after="180"/>
        <w:ind w:hanging="360"/>
        <w:jc w:val="both"/>
      </w:pPr>
      <w:r>
        <w:rPr>
          <w:rFonts w:ascii="sans-serif" w:eastAsia="sans-serif" w:hAnsi="sans-serif" w:cs="sans-serif"/>
          <w:color w:val="000000"/>
          <w:sz w:val="20"/>
          <w:szCs w:val="20"/>
        </w:rPr>
        <w:t>•potential failure of our due diligence processes to identify significant issues with the acquired assets or company; and</w:t>
      </w:r>
    </w:p>
    <w:p w14:paraId="54067A84" w14:textId="77777777" w:rsidR="00611BDD" w:rsidRDefault="002E18C7">
      <w:pPr>
        <w:pBdr>
          <w:left w:val="none" w:sz="0" w:space="0" w:color="auto"/>
        </w:pBdr>
        <w:spacing w:after="180"/>
        <w:ind w:hanging="360"/>
        <w:jc w:val="both"/>
      </w:pPr>
      <w:r>
        <w:rPr>
          <w:rFonts w:ascii="sans-serif" w:eastAsia="sans-serif" w:hAnsi="sans-serif" w:cs="sans-serif"/>
          <w:color w:val="000000"/>
          <w:sz w:val="20"/>
          <w:szCs w:val="20"/>
        </w:rPr>
        <w:t xml:space="preserve">•impairment of </w:t>
      </w:r>
      <w:r>
        <w:rPr>
          <w:rFonts w:ascii="sans-serif" w:eastAsia="sans-serif" w:hAnsi="sans-serif" w:cs="sans-serif"/>
          <w:color w:val="000000"/>
          <w:sz w:val="20"/>
          <w:szCs w:val="20"/>
        </w:rPr>
        <w:t>relationships with, or loss of our or our target’s employees, vendors and customers, as a result of our acquisition or investment.</w:t>
      </w:r>
    </w:p>
    <w:p w14:paraId="54067A85" w14:textId="77777777" w:rsidR="00611BDD" w:rsidRDefault="002E18C7">
      <w:pPr>
        <w:spacing w:before="120" w:after="120"/>
        <w:jc w:val="both"/>
      </w:pPr>
      <w:r>
        <w:rPr>
          <w:rFonts w:ascii="sans-serif" w:eastAsia="sans-serif" w:hAnsi="sans-serif" w:cs="sans-serif"/>
          <w:b/>
          <w:bCs/>
          <w:color w:val="000000"/>
          <w:sz w:val="20"/>
          <w:szCs w:val="20"/>
        </w:rPr>
        <w:t>System security and data protection breaches, as well as cyber-attacks, could disrupt our operations, reduce our expected rev</w:t>
      </w:r>
      <w:r>
        <w:rPr>
          <w:rFonts w:ascii="sans-serif" w:eastAsia="sans-serif" w:hAnsi="sans-serif" w:cs="sans-serif"/>
          <w:b/>
          <w:bCs/>
          <w:color w:val="000000"/>
          <w:sz w:val="20"/>
          <w:szCs w:val="20"/>
        </w:rPr>
        <w:t>enue and increase our expenses, which could adversely affect our stock price and damage our reputation.</w:t>
      </w:r>
    </w:p>
    <w:p w14:paraId="54067A86" w14:textId="77777777" w:rsidR="00611BDD" w:rsidRDefault="002E18C7">
      <w:pPr>
        <w:spacing w:after="180"/>
        <w:jc w:val="both"/>
      </w:pPr>
      <w:r>
        <w:rPr>
          <w:rFonts w:ascii="sans-serif" w:eastAsia="sans-serif" w:hAnsi="sans-serif" w:cs="sans-serif"/>
          <w:color w:val="000000"/>
          <w:sz w:val="20"/>
          <w:szCs w:val="20"/>
        </w:rPr>
        <w:t>Security breaches, computer malware, phishing, and cyber-attacks have become more prevalent and sophisticated in recent years. These threats are constan</w:t>
      </w:r>
      <w:r>
        <w:rPr>
          <w:rFonts w:ascii="sans-serif" w:eastAsia="sans-serif" w:hAnsi="sans-serif" w:cs="sans-serif"/>
          <w:color w:val="000000"/>
          <w:sz w:val="20"/>
          <w:szCs w:val="20"/>
        </w:rPr>
        <w:t>tly evolving, making it increasingly difficult to successfully defend against them or implement adequate preventative measures. These attacks have occurred on our systems in the past and are expected to occur in the future. Experienced computer programmers</w:t>
      </w:r>
      <w:r>
        <w:rPr>
          <w:rFonts w:ascii="sans-serif" w:eastAsia="sans-serif" w:hAnsi="sans-serif" w:cs="sans-serif"/>
          <w:color w:val="000000"/>
          <w:sz w:val="20"/>
          <w:szCs w:val="20"/>
        </w:rPr>
        <w:t>, hackers and employees may penetrate our security controls and misappropriate or compromise our confidential information, or that of our employees or third parties. These attacks may create system disruptions or cause shutdowns. These hackers may also dev</w:t>
      </w:r>
      <w:r>
        <w:rPr>
          <w:rFonts w:ascii="sans-serif" w:eastAsia="sans-serif" w:hAnsi="sans-serif" w:cs="sans-serif"/>
          <w:color w:val="000000"/>
          <w:sz w:val="20"/>
          <w:szCs w:val="20"/>
        </w:rPr>
        <w:t xml:space="preserve">elop and deploy viruses, worms and other malicious software programs that attack or otherwise exploit security vulnerabilities in our products, including consumer and automotive products, where we utilize over-the-air updates to improve functionality over </w:t>
      </w:r>
      <w:r>
        <w:rPr>
          <w:rFonts w:ascii="sans-serif" w:eastAsia="sans-serif" w:hAnsi="sans-serif" w:cs="sans-serif"/>
          <w:color w:val="000000"/>
          <w:sz w:val="20"/>
          <w:szCs w:val="20"/>
        </w:rPr>
        <w:t>time. For portions of our IT infrastructure, including business management and communication software products, we rely on products and services provided by third parties. These providers may also experience breaches and attacks to their products which may</w:t>
      </w:r>
      <w:r>
        <w:rPr>
          <w:rFonts w:ascii="sans-serif" w:eastAsia="sans-serif" w:hAnsi="sans-serif" w:cs="sans-serif"/>
          <w:color w:val="000000"/>
          <w:sz w:val="20"/>
          <w:szCs w:val="20"/>
        </w:rPr>
        <w:t xml:space="preserve"> impact our systems. For example, in 2020, SolarWinds Inc., one of our third party software service providers, was subject to a data security breach. We have completed our investigations of this breach, which were supported by a third party expert, and con</w:t>
      </w:r>
      <w:r>
        <w:rPr>
          <w:rFonts w:ascii="sans-serif" w:eastAsia="sans-serif" w:hAnsi="sans-serif" w:cs="sans-serif"/>
          <w:color w:val="000000"/>
          <w:sz w:val="20"/>
          <w:szCs w:val="20"/>
        </w:rPr>
        <w:t>cluded that there was no adverse impact to NVIDIA. Data security breaches may also result from non-technical means, such as actions by an employee with access to our systems. To defend against security threats, both to our internal systems and those of our</w:t>
      </w:r>
      <w:r>
        <w:rPr>
          <w:rFonts w:ascii="sans-serif" w:eastAsia="sans-serif" w:hAnsi="sans-serif" w:cs="sans-serif"/>
          <w:color w:val="000000"/>
          <w:sz w:val="20"/>
          <w:szCs w:val="20"/>
        </w:rPr>
        <w:t xml:space="preserve"> customers, we must continuously engineer more secure products and enhance security and reliability features, which may result in increased expenses. We must also continue to develop security measures within NVIDIA, ensure our suppliers have appropriate se</w:t>
      </w:r>
      <w:r>
        <w:rPr>
          <w:rFonts w:ascii="sans-serif" w:eastAsia="sans-serif" w:hAnsi="sans-serif" w:cs="sans-serif"/>
          <w:color w:val="000000"/>
          <w:sz w:val="20"/>
          <w:szCs w:val="20"/>
        </w:rPr>
        <w:t>curity measures in place, and continue to meet the evolving security requirements of our customers or our business could be negatively impacted.</w:t>
      </w:r>
    </w:p>
    <w:p w14:paraId="54067A87" w14:textId="77777777" w:rsidR="00611BDD" w:rsidRDefault="002E18C7">
      <w:pPr>
        <w:spacing w:after="180"/>
        <w:jc w:val="both"/>
      </w:pPr>
      <w:r>
        <w:rPr>
          <w:rFonts w:ascii="sans-serif" w:eastAsia="sans-serif" w:hAnsi="sans-serif" w:cs="sans-serif"/>
          <w:color w:val="000000"/>
          <w:sz w:val="20"/>
          <w:szCs w:val="20"/>
        </w:rPr>
        <w:t>Actual or perceived breaches of our security measures or the accidental loss, inadvertent disclosure or unappro</w:t>
      </w:r>
      <w:r>
        <w:rPr>
          <w:rFonts w:ascii="sans-serif" w:eastAsia="sans-serif" w:hAnsi="sans-serif" w:cs="sans-serif"/>
          <w:color w:val="000000"/>
          <w:sz w:val="20"/>
          <w:szCs w:val="20"/>
        </w:rPr>
        <w:t>ved dissemination of proprietary information or sensitive or confidential data about us, our partners, our customers or third parties could expose us and the parties affected to a risk of loss or misuse of this information, resulting in litigation and pote</w:t>
      </w:r>
      <w:r>
        <w:rPr>
          <w:rFonts w:ascii="sans-serif" w:eastAsia="sans-serif" w:hAnsi="sans-serif" w:cs="sans-serif"/>
          <w:color w:val="000000"/>
          <w:sz w:val="20"/>
          <w:szCs w:val="20"/>
        </w:rPr>
        <w:t>ntial liability, paying damages, regulatory inquiries or actions, damage to our brand and reputation or other harm to our business. Our efforts to prevent and overcome these challenges could increase our expenses and may not be successful. We may experienc</w:t>
      </w:r>
      <w:r>
        <w:rPr>
          <w:rFonts w:ascii="sans-serif" w:eastAsia="sans-serif" w:hAnsi="sans-serif" w:cs="sans-serif"/>
          <w:color w:val="000000"/>
          <w:sz w:val="20"/>
          <w:szCs w:val="20"/>
        </w:rPr>
        <w:t>e interruptions, delays, cessation of service and loss of existing or potential customers. Such disruptions could adversely impact our ability to fulfill orders and interrupt other critical functions. Delayed sales, lower margins or lost customers as a res</w:t>
      </w:r>
      <w:r>
        <w:rPr>
          <w:rFonts w:ascii="sans-serif" w:eastAsia="sans-serif" w:hAnsi="sans-serif" w:cs="sans-serif"/>
          <w:color w:val="000000"/>
          <w:sz w:val="20"/>
          <w:szCs w:val="20"/>
        </w:rPr>
        <w:t>ult of these disruptions could adversely affect our financial results, stock price and reputation.</w:t>
      </w:r>
    </w:p>
    <w:p w14:paraId="54067A88" w14:textId="77777777" w:rsidR="00611BDD" w:rsidRDefault="00611BDD"/>
    <w:p w14:paraId="54067A89" w14:textId="77777777" w:rsidR="00611BDD" w:rsidRDefault="002E18C7">
      <w:pPr>
        <w:spacing w:after="180"/>
        <w:jc w:val="center"/>
      </w:pPr>
      <w:r>
        <w:rPr>
          <w:rFonts w:ascii="sans-serif" w:eastAsia="sans-serif" w:hAnsi="sans-serif" w:cs="sans-serif"/>
          <w:color w:val="000000"/>
          <w:sz w:val="20"/>
          <w:szCs w:val="20"/>
        </w:rPr>
        <w:t>36</w:t>
      </w:r>
    </w:p>
    <w:p w14:paraId="54067A8A" w14:textId="77777777" w:rsidR="00611BDD" w:rsidRDefault="002E18C7">
      <w:r>
        <w:pict w14:anchorId="54067C48">
          <v:rect id="_x0000_i1060" style="width:415.3pt;height:1.5pt" o:hralign="center" o:hrstd="t" o:hr="t" fillcolor="#a0a0a0" stroked="f"/>
        </w:pict>
      </w:r>
    </w:p>
    <w:p w14:paraId="54067A8B" w14:textId="77777777" w:rsidR="00611BDD" w:rsidRDefault="00611BDD">
      <w:pPr>
        <w:spacing w:after="180"/>
        <w:jc w:val="both"/>
      </w:pPr>
    </w:p>
    <w:p w14:paraId="54067A8C" w14:textId="77777777" w:rsidR="00611BDD" w:rsidRDefault="00611BDD">
      <w:pPr>
        <w:spacing w:after="180"/>
        <w:jc w:val="both"/>
      </w:pPr>
    </w:p>
    <w:p w14:paraId="54067A8D" w14:textId="77777777" w:rsidR="00611BDD" w:rsidRDefault="00611BDD">
      <w:pPr>
        <w:spacing w:after="180"/>
        <w:jc w:val="both"/>
      </w:pPr>
    </w:p>
    <w:p w14:paraId="54067A8E" w14:textId="77777777" w:rsidR="00611BDD" w:rsidRDefault="002E18C7">
      <w:pPr>
        <w:spacing w:before="240" w:after="120"/>
        <w:jc w:val="both"/>
      </w:pPr>
      <w:r>
        <w:rPr>
          <w:rFonts w:ascii="sans-serif" w:eastAsia="sans-serif" w:hAnsi="sans-serif" w:cs="sans-serif"/>
          <w:b/>
          <w:bCs/>
          <w:color w:val="76B900"/>
          <w:sz w:val="22"/>
          <w:szCs w:val="22"/>
        </w:rPr>
        <w:t>ITEM 2. UNREGISTERED SALES OF EQUITY SECURITIES AND USE OF PROCEEDS</w:t>
      </w:r>
    </w:p>
    <w:p w14:paraId="54067A8F" w14:textId="77777777" w:rsidR="00611BDD" w:rsidRDefault="002E18C7">
      <w:pPr>
        <w:spacing w:before="240" w:after="60"/>
        <w:jc w:val="both"/>
      </w:pPr>
      <w:r>
        <w:rPr>
          <w:rFonts w:ascii="sans-serif" w:eastAsia="sans-serif" w:hAnsi="sans-serif" w:cs="sans-serif"/>
          <w:b/>
          <w:bCs/>
          <w:color w:val="76B900"/>
          <w:sz w:val="20"/>
          <w:szCs w:val="20"/>
        </w:rPr>
        <w:t>Issuer Purchases of Equity Securities</w:t>
      </w:r>
    </w:p>
    <w:p w14:paraId="54067A90" w14:textId="77777777" w:rsidR="00611BDD" w:rsidRDefault="002E18C7">
      <w:pPr>
        <w:spacing w:after="180"/>
        <w:jc w:val="both"/>
      </w:pPr>
      <w:r>
        <w:rPr>
          <w:rFonts w:ascii="sans-serif" w:eastAsia="sans-serif" w:hAnsi="sans-serif" w:cs="sans-serif"/>
          <w:color w:val="000000"/>
          <w:sz w:val="20"/>
          <w:szCs w:val="20"/>
        </w:rPr>
        <w:t xml:space="preserve">Beginning August 2004, our Board of Directors authorized us to repurchase our stock. </w:t>
      </w:r>
    </w:p>
    <w:p w14:paraId="54067A91" w14:textId="77777777" w:rsidR="00611BDD" w:rsidRDefault="002E18C7">
      <w:pPr>
        <w:spacing w:after="180"/>
        <w:jc w:val="both"/>
      </w:pPr>
      <w:r>
        <w:rPr>
          <w:rFonts w:ascii="sans-serif" w:eastAsia="sans-serif" w:hAnsi="sans-serif" w:cs="sans-serif"/>
          <w:color w:val="000000"/>
          <w:sz w:val="20"/>
          <w:szCs w:val="20"/>
        </w:rPr>
        <w:t>Since the inception of our share repurchase program, we have repurchased an aggregate of 1.04 billion shares for a total cost of $7.08 billion through August 1, 2021. All</w:t>
      </w:r>
      <w:r>
        <w:rPr>
          <w:rFonts w:ascii="sans-serif" w:eastAsia="sans-serif" w:hAnsi="sans-serif" w:cs="sans-serif"/>
          <w:color w:val="000000"/>
          <w:sz w:val="20"/>
          <w:szCs w:val="20"/>
        </w:rPr>
        <w:t xml:space="preserve"> shares delivered from these repurchases have been placed into treasury stock.</w:t>
      </w:r>
    </w:p>
    <w:p w14:paraId="54067A92" w14:textId="77777777" w:rsidR="00611BDD" w:rsidRDefault="002E18C7">
      <w:pPr>
        <w:spacing w:after="180"/>
        <w:jc w:val="both"/>
      </w:pPr>
      <w:r>
        <w:rPr>
          <w:rFonts w:ascii="sans-serif" w:eastAsia="sans-serif" w:hAnsi="sans-serif" w:cs="sans-serif"/>
          <w:color w:val="000000"/>
          <w:sz w:val="20"/>
          <w:szCs w:val="20"/>
        </w:rPr>
        <w:t>The repurchases can be made in the open market, in privately negotiated transactions, or in structured share repurchase programs, and can be made in one or more larger repurchas</w:t>
      </w:r>
      <w:r>
        <w:rPr>
          <w:rFonts w:ascii="sans-serif" w:eastAsia="sans-serif" w:hAnsi="sans-serif" w:cs="sans-serif"/>
          <w:color w:val="000000"/>
          <w:sz w:val="20"/>
          <w:szCs w:val="20"/>
        </w:rPr>
        <w:t>es, in compliance with Rule 10b-18 of the Securities Exchange Act of 1934, as amended, subject to market conditions, applicable legal requirements, and other factors. The program does not obligate NVIDIA to acquire any particular amount of common stock and</w:t>
      </w:r>
      <w:r>
        <w:rPr>
          <w:rFonts w:ascii="sans-serif" w:eastAsia="sans-serif" w:hAnsi="sans-serif" w:cs="sans-serif"/>
          <w:color w:val="000000"/>
          <w:sz w:val="20"/>
          <w:szCs w:val="20"/>
        </w:rPr>
        <w:t xml:space="preserve"> the program may be suspended at any time at our discretion.</w:t>
      </w:r>
    </w:p>
    <w:p w14:paraId="54067A93" w14:textId="77777777" w:rsidR="00611BDD" w:rsidRDefault="002E18C7">
      <w:pPr>
        <w:spacing w:after="180"/>
        <w:jc w:val="both"/>
      </w:pPr>
      <w:r>
        <w:rPr>
          <w:rFonts w:ascii="sans-serif" w:eastAsia="sans-serif" w:hAnsi="sans-serif" w:cs="sans-serif"/>
          <w:color w:val="000000"/>
          <w:sz w:val="20"/>
          <w:szCs w:val="20"/>
        </w:rPr>
        <w:t>In the first half of fiscal year 2022, we paid $198 million in quarterly cash dividends. As of August 1, 2021, we were authorized, subject to certain specifications, to repurchase additional shar</w:t>
      </w:r>
      <w:r>
        <w:rPr>
          <w:rFonts w:ascii="sans-serif" w:eastAsia="sans-serif" w:hAnsi="sans-serif" w:cs="sans-serif"/>
          <w:color w:val="000000"/>
          <w:sz w:val="20"/>
          <w:szCs w:val="20"/>
        </w:rPr>
        <w:t>es of our common stock up to $7.24 billion through December 2022. We did not repurchase any shares during the first half of fiscal year 2022.</w:t>
      </w:r>
    </w:p>
    <w:p w14:paraId="54067A94" w14:textId="77777777" w:rsidR="00611BDD" w:rsidRDefault="002E18C7">
      <w:pPr>
        <w:spacing w:before="120" w:after="120"/>
        <w:jc w:val="both"/>
      </w:pPr>
      <w:r>
        <w:rPr>
          <w:rFonts w:ascii="sans-serif" w:eastAsia="sans-serif" w:hAnsi="sans-serif" w:cs="sans-serif"/>
          <w:b/>
          <w:bCs/>
          <w:color w:val="000000"/>
          <w:sz w:val="20"/>
          <w:szCs w:val="20"/>
        </w:rPr>
        <w:t>Restricted Stock Unit Share Withholding</w:t>
      </w:r>
    </w:p>
    <w:p w14:paraId="54067A95" w14:textId="77777777" w:rsidR="00611BDD" w:rsidRDefault="002E18C7">
      <w:pPr>
        <w:spacing w:after="180"/>
        <w:jc w:val="both"/>
      </w:pPr>
      <w:r>
        <w:rPr>
          <w:rFonts w:ascii="sans-serif" w:eastAsia="sans-serif" w:hAnsi="sans-serif" w:cs="sans-serif"/>
          <w:color w:val="000000"/>
          <w:sz w:val="20"/>
          <w:szCs w:val="20"/>
        </w:rPr>
        <w:t>We also withhold common stock shares associated with net share settlements</w:t>
      </w:r>
      <w:r>
        <w:rPr>
          <w:rFonts w:ascii="sans-serif" w:eastAsia="sans-serif" w:hAnsi="sans-serif" w:cs="sans-serif"/>
          <w:color w:val="000000"/>
          <w:sz w:val="20"/>
          <w:szCs w:val="20"/>
        </w:rPr>
        <w:t xml:space="preserve"> to cover tax withholding obligations upon the vesting of restricted stock unit awards under our employee equity incentive program. During the second quarter of fiscal year 2022, we withheld approximately 2 million shares at a total cost of $362 million th</w:t>
      </w:r>
      <w:r>
        <w:rPr>
          <w:rFonts w:ascii="sans-serif" w:eastAsia="sans-serif" w:hAnsi="sans-serif" w:cs="sans-serif"/>
          <w:color w:val="000000"/>
          <w:sz w:val="20"/>
          <w:szCs w:val="20"/>
        </w:rPr>
        <w:t>rough net share settlements. During the first half of fiscal year 2022, we withheld approximately 5 million shares at a total cost of $848 million through net share settlements.</w:t>
      </w:r>
    </w:p>
    <w:p w14:paraId="54067A96" w14:textId="77777777" w:rsidR="00611BDD" w:rsidRDefault="002E18C7">
      <w:pPr>
        <w:spacing w:after="180"/>
        <w:jc w:val="center"/>
      </w:pPr>
      <w:r>
        <w:rPr>
          <w:rFonts w:ascii="sans-serif" w:eastAsia="sans-serif" w:hAnsi="sans-serif" w:cs="sans-serif"/>
          <w:color w:val="000000"/>
          <w:sz w:val="20"/>
          <w:szCs w:val="20"/>
        </w:rPr>
        <w:t>37</w:t>
      </w:r>
    </w:p>
    <w:p w14:paraId="54067A97" w14:textId="77777777" w:rsidR="00611BDD" w:rsidRDefault="002E18C7">
      <w:r>
        <w:pict w14:anchorId="54067C49">
          <v:rect id="_x0000_i1061" style="width:415.3pt;height:1.5pt" o:hralign="center" o:hrstd="t" o:hr="t" fillcolor="#a0a0a0" stroked="f"/>
        </w:pict>
      </w:r>
    </w:p>
    <w:p w14:paraId="54067A98" w14:textId="77777777" w:rsidR="00611BDD" w:rsidRDefault="00611BDD">
      <w:pPr>
        <w:spacing w:after="180"/>
        <w:jc w:val="both"/>
      </w:pPr>
    </w:p>
    <w:p w14:paraId="54067A99" w14:textId="77777777" w:rsidR="00611BDD" w:rsidRDefault="00611BDD">
      <w:pPr>
        <w:spacing w:after="180"/>
        <w:jc w:val="both"/>
      </w:pPr>
    </w:p>
    <w:p w14:paraId="54067A9A" w14:textId="77777777" w:rsidR="00611BDD" w:rsidRDefault="00611BDD">
      <w:pPr>
        <w:spacing w:after="180"/>
        <w:jc w:val="both"/>
      </w:pPr>
    </w:p>
    <w:p w14:paraId="54067A9B" w14:textId="77777777" w:rsidR="00611BDD" w:rsidRDefault="002E18C7">
      <w:pPr>
        <w:spacing w:before="240" w:after="120"/>
        <w:jc w:val="both"/>
      </w:pPr>
      <w:r>
        <w:rPr>
          <w:rFonts w:ascii="sans-serif" w:eastAsia="sans-serif" w:hAnsi="sans-serif" w:cs="sans-serif"/>
          <w:b/>
          <w:bCs/>
          <w:color w:val="76B900"/>
          <w:sz w:val="22"/>
          <w:szCs w:val="22"/>
        </w:rPr>
        <w:t>ITEM 6. EXHIBITS</w:t>
      </w:r>
    </w:p>
    <w:tbl>
      <w:tblPr>
        <w:tblW w:w="4985" w:type="pct"/>
        <w:tblCellMar>
          <w:top w:w="15" w:type="dxa"/>
          <w:left w:w="15" w:type="dxa"/>
          <w:bottom w:w="15" w:type="dxa"/>
          <w:right w:w="15" w:type="dxa"/>
        </w:tblCellMar>
        <w:tblLook w:val="04A0" w:firstRow="1" w:lastRow="0" w:firstColumn="1" w:lastColumn="0" w:noHBand="0" w:noVBand="1"/>
      </w:tblPr>
      <w:tblGrid>
        <w:gridCol w:w="93"/>
        <w:gridCol w:w="814"/>
        <w:gridCol w:w="39"/>
        <w:gridCol w:w="36"/>
        <w:gridCol w:w="45"/>
        <w:gridCol w:w="36"/>
        <w:gridCol w:w="38"/>
        <w:gridCol w:w="2727"/>
        <w:gridCol w:w="37"/>
        <w:gridCol w:w="36"/>
        <w:gridCol w:w="36"/>
        <w:gridCol w:w="36"/>
        <w:gridCol w:w="71"/>
        <w:gridCol w:w="766"/>
        <w:gridCol w:w="36"/>
        <w:gridCol w:w="36"/>
        <w:gridCol w:w="45"/>
        <w:gridCol w:w="36"/>
        <w:gridCol w:w="88"/>
        <w:gridCol w:w="817"/>
        <w:gridCol w:w="37"/>
        <w:gridCol w:w="36"/>
        <w:gridCol w:w="45"/>
        <w:gridCol w:w="36"/>
        <w:gridCol w:w="50"/>
        <w:gridCol w:w="889"/>
        <w:gridCol w:w="36"/>
        <w:gridCol w:w="36"/>
        <w:gridCol w:w="46"/>
        <w:gridCol w:w="36"/>
        <w:gridCol w:w="60"/>
        <w:gridCol w:w="1098"/>
        <w:gridCol w:w="38"/>
      </w:tblGrid>
      <w:tr w:rsidR="00611BDD" w14:paraId="54067ABD" w14:textId="77777777">
        <w:tc>
          <w:tcPr>
            <w:tcW w:w="50" w:type="pct"/>
            <w:shd w:val="clear" w:color="auto" w:fill="auto"/>
            <w:vAlign w:val="bottom"/>
          </w:tcPr>
          <w:p w14:paraId="54067A9C" w14:textId="77777777" w:rsidR="00611BDD" w:rsidRDefault="00611BDD">
            <w:pPr>
              <w:rPr>
                <w:rFonts w:ascii="宋体"/>
              </w:rPr>
            </w:pPr>
          </w:p>
        </w:tc>
        <w:tc>
          <w:tcPr>
            <w:tcW w:w="436" w:type="pct"/>
            <w:shd w:val="clear" w:color="auto" w:fill="auto"/>
            <w:vAlign w:val="bottom"/>
          </w:tcPr>
          <w:p w14:paraId="54067A9D" w14:textId="77777777" w:rsidR="00611BDD" w:rsidRDefault="00611BDD">
            <w:pPr>
              <w:rPr>
                <w:rFonts w:ascii="宋体"/>
              </w:rPr>
            </w:pPr>
          </w:p>
        </w:tc>
        <w:tc>
          <w:tcPr>
            <w:tcW w:w="5" w:type="pct"/>
            <w:shd w:val="clear" w:color="auto" w:fill="auto"/>
            <w:vAlign w:val="bottom"/>
          </w:tcPr>
          <w:p w14:paraId="54067A9E" w14:textId="77777777" w:rsidR="00611BDD" w:rsidRDefault="00611BDD">
            <w:pPr>
              <w:rPr>
                <w:rFonts w:ascii="宋体"/>
              </w:rPr>
            </w:pPr>
          </w:p>
        </w:tc>
        <w:tc>
          <w:tcPr>
            <w:tcW w:w="5" w:type="pct"/>
            <w:shd w:val="clear" w:color="auto" w:fill="auto"/>
            <w:vAlign w:val="bottom"/>
          </w:tcPr>
          <w:p w14:paraId="54067A9F" w14:textId="77777777" w:rsidR="00611BDD" w:rsidRDefault="00611BDD">
            <w:pPr>
              <w:rPr>
                <w:rFonts w:ascii="宋体"/>
              </w:rPr>
            </w:pPr>
          </w:p>
        </w:tc>
        <w:tc>
          <w:tcPr>
            <w:tcW w:w="55" w:type="pct"/>
            <w:shd w:val="clear" w:color="auto" w:fill="auto"/>
            <w:vAlign w:val="bottom"/>
          </w:tcPr>
          <w:p w14:paraId="54067AA0" w14:textId="77777777" w:rsidR="00611BDD" w:rsidRDefault="00611BDD">
            <w:pPr>
              <w:rPr>
                <w:rFonts w:ascii="宋体"/>
              </w:rPr>
            </w:pPr>
          </w:p>
        </w:tc>
        <w:tc>
          <w:tcPr>
            <w:tcW w:w="5" w:type="pct"/>
            <w:shd w:val="clear" w:color="auto" w:fill="auto"/>
            <w:vAlign w:val="bottom"/>
          </w:tcPr>
          <w:p w14:paraId="54067AA1" w14:textId="77777777" w:rsidR="00611BDD" w:rsidRDefault="00611BDD">
            <w:pPr>
              <w:rPr>
                <w:rFonts w:ascii="宋体"/>
              </w:rPr>
            </w:pPr>
          </w:p>
        </w:tc>
        <w:tc>
          <w:tcPr>
            <w:tcW w:w="50" w:type="pct"/>
            <w:shd w:val="clear" w:color="auto" w:fill="auto"/>
            <w:vAlign w:val="bottom"/>
          </w:tcPr>
          <w:p w14:paraId="54067AA2" w14:textId="77777777" w:rsidR="00611BDD" w:rsidRDefault="00611BDD">
            <w:pPr>
              <w:rPr>
                <w:rFonts w:ascii="宋体"/>
              </w:rPr>
            </w:pPr>
          </w:p>
        </w:tc>
        <w:tc>
          <w:tcPr>
            <w:tcW w:w="1667" w:type="pct"/>
            <w:shd w:val="clear" w:color="auto" w:fill="auto"/>
            <w:vAlign w:val="bottom"/>
          </w:tcPr>
          <w:p w14:paraId="54067AA3" w14:textId="77777777" w:rsidR="00611BDD" w:rsidRDefault="00611BDD">
            <w:pPr>
              <w:rPr>
                <w:rFonts w:ascii="宋体"/>
              </w:rPr>
            </w:pPr>
          </w:p>
        </w:tc>
        <w:tc>
          <w:tcPr>
            <w:tcW w:w="5" w:type="pct"/>
            <w:shd w:val="clear" w:color="auto" w:fill="auto"/>
            <w:vAlign w:val="bottom"/>
          </w:tcPr>
          <w:p w14:paraId="54067AA4" w14:textId="77777777" w:rsidR="00611BDD" w:rsidRDefault="00611BDD">
            <w:pPr>
              <w:rPr>
                <w:rFonts w:ascii="宋体"/>
              </w:rPr>
            </w:pPr>
          </w:p>
        </w:tc>
        <w:tc>
          <w:tcPr>
            <w:tcW w:w="5" w:type="pct"/>
            <w:shd w:val="clear" w:color="auto" w:fill="auto"/>
            <w:vAlign w:val="bottom"/>
          </w:tcPr>
          <w:p w14:paraId="54067AA5" w14:textId="77777777" w:rsidR="00611BDD" w:rsidRDefault="00611BDD">
            <w:pPr>
              <w:rPr>
                <w:rFonts w:ascii="宋体"/>
              </w:rPr>
            </w:pPr>
          </w:p>
        </w:tc>
        <w:tc>
          <w:tcPr>
            <w:tcW w:w="48" w:type="pct"/>
            <w:shd w:val="clear" w:color="auto" w:fill="auto"/>
            <w:vAlign w:val="bottom"/>
          </w:tcPr>
          <w:p w14:paraId="54067AA6" w14:textId="77777777" w:rsidR="00611BDD" w:rsidRDefault="00611BDD">
            <w:pPr>
              <w:rPr>
                <w:rFonts w:ascii="宋体"/>
              </w:rPr>
            </w:pPr>
          </w:p>
        </w:tc>
        <w:tc>
          <w:tcPr>
            <w:tcW w:w="5" w:type="pct"/>
            <w:shd w:val="clear" w:color="auto" w:fill="auto"/>
            <w:vAlign w:val="bottom"/>
          </w:tcPr>
          <w:p w14:paraId="54067AA7" w14:textId="77777777" w:rsidR="00611BDD" w:rsidRDefault="00611BDD">
            <w:pPr>
              <w:rPr>
                <w:rFonts w:ascii="宋体"/>
              </w:rPr>
            </w:pPr>
          </w:p>
        </w:tc>
        <w:tc>
          <w:tcPr>
            <w:tcW w:w="50" w:type="pct"/>
            <w:shd w:val="clear" w:color="auto" w:fill="auto"/>
            <w:vAlign w:val="bottom"/>
          </w:tcPr>
          <w:p w14:paraId="54067AA8" w14:textId="77777777" w:rsidR="00611BDD" w:rsidRDefault="00611BDD">
            <w:pPr>
              <w:rPr>
                <w:rFonts w:ascii="宋体"/>
              </w:rPr>
            </w:pPr>
          </w:p>
        </w:tc>
        <w:tc>
          <w:tcPr>
            <w:tcW w:w="509" w:type="pct"/>
            <w:shd w:val="clear" w:color="auto" w:fill="auto"/>
            <w:vAlign w:val="bottom"/>
          </w:tcPr>
          <w:p w14:paraId="54067AA9" w14:textId="77777777" w:rsidR="00611BDD" w:rsidRDefault="00611BDD">
            <w:pPr>
              <w:rPr>
                <w:rFonts w:ascii="宋体"/>
              </w:rPr>
            </w:pPr>
          </w:p>
        </w:tc>
        <w:tc>
          <w:tcPr>
            <w:tcW w:w="5" w:type="pct"/>
            <w:shd w:val="clear" w:color="auto" w:fill="auto"/>
            <w:vAlign w:val="bottom"/>
          </w:tcPr>
          <w:p w14:paraId="54067AAA" w14:textId="77777777" w:rsidR="00611BDD" w:rsidRDefault="00611BDD">
            <w:pPr>
              <w:rPr>
                <w:rFonts w:ascii="宋体"/>
              </w:rPr>
            </w:pPr>
          </w:p>
        </w:tc>
        <w:tc>
          <w:tcPr>
            <w:tcW w:w="5" w:type="pct"/>
            <w:shd w:val="clear" w:color="auto" w:fill="auto"/>
            <w:vAlign w:val="bottom"/>
          </w:tcPr>
          <w:p w14:paraId="54067AAB" w14:textId="77777777" w:rsidR="00611BDD" w:rsidRDefault="00611BDD">
            <w:pPr>
              <w:rPr>
                <w:rFonts w:ascii="宋体"/>
              </w:rPr>
            </w:pPr>
          </w:p>
        </w:tc>
        <w:tc>
          <w:tcPr>
            <w:tcW w:w="55" w:type="pct"/>
            <w:shd w:val="clear" w:color="auto" w:fill="auto"/>
            <w:vAlign w:val="bottom"/>
          </w:tcPr>
          <w:p w14:paraId="54067AAC" w14:textId="77777777" w:rsidR="00611BDD" w:rsidRDefault="00611BDD">
            <w:pPr>
              <w:rPr>
                <w:rFonts w:ascii="宋体"/>
              </w:rPr>
            </w:pPr>
          </w:p>
        </w:tc>
        <w:tc>
          <w:tcPr>
            <w:tcW w:w="5" w:type="pct"/>
            <w:shd w:val="clear" w:color="auto" w:fill="auto"/>
            <w:vAlign w:val="bottom"/>
          </w:tcPr>
          <w:p w14:paraId="54067AAD" w14:textId="77777777" w:rsidR="00611BDD" w:rsidRDefault="00611BDD">
            <w:pPr>
              <w:rPr>
                <w:rFonts w:ascii="宋体"/>
              </w:rPr>
            </w:pPr>
          </w:p>
        </w:tc>
        <w:tc>
          <w:tcPr>
            <w:tcW w:w="50" w:type="pct"/>
            <w:shd w:val="clear" w:color="auto" w:fill="auto"/>
            <w:vAlign w:val="bottom"/>
          </w:tcPr>
          <w:p w14:paraId="54067AAE" w14:textId="77777777" w:rsidR="00611BDD" w:rsidRDefault="00611BDD">
            <w:pPr>
              <w:rPr>
                <w:rFonts w:ascii="宋体"/>
              </w:rPr>
            </w:pPr>
          </w:p>
        </w:tc>
        <w:tc>
          <w:tcPr>
            <w:tcW w:w="465" w:type="pct"/>
            <w:shd w:val="clear" w:color="auto" w:fill="auto"/>
            <w:vAlign w:val="bottom"/>
          </w:tcPr>
          <w:p w14:paraId="54067AAF" w14:textId="77777777" w:rsidR="00611BDD" w:rsidRDefault="00611BDD">
            <w:pPr>
              <w:rPr>
                <w:rFonts w:ascii="宋体"/>
              </w:rPr>
            </w:pPr>
          </w:p>
        </w:tc>
        <w:tc>
          <w:tcPr>
            <w:tcW w:w="5" w:type="pct"/>
            <w:shd w:val="clear" w:color="auto" w:fill="auto"/>
            <w:vAlign w:val="bottom"/>
          </w:tcPr>
          <w:p w14:paraId="54067AB0" w14:textId="77777777" w:rsidR="00611BDD" w:rsidRDefault="00611BDD">
            <w:pPr>
              <w:rPr>
                <w:rFonts w:ascii="宋体"/>
              </w:rPr>
            </w:pPr>
          </w:p>
        </w:tc>
        <w:tc>
          <w:tcPr>
            <w:tcW w:w="5" w:type="pct"/>
            <w:shd w:val="clear" w:color="auto" w:fill="auto"/>
            <w:vAlign w:val="bottom"/>
          </w:tcPr>
          <w:p w14:paraId="54067AB1" w14:textId="77777777" w:rsidR="00611BDD" w:rsidRDefault="00611BDD">
            <w:pPr>
              <w:rPr>
                <w:rFonts w:ascii="宋体"/>
              </w:rPr>
            </w:pPr>
          </w:p>
        </w:tc>
        <w:tc>
          <w:tcPr>
            <w:tcW w:w="55" w:type="pct"/>
            <w:shd w:val="clear" w:color="auto" w:fill="auto"/>
            <w:vAlign w:val="bottom"/>
          </w:tcPr>
          <w:p w14:paraId="54067AB2" w14:textId="77777777" w:rsidR="00611BDD" w:rsidRDefault="00611BDD">
            <w:pPr>
              <w:rPr>
                <w:rFonts w:ascii="宋体"/>
              </w:rPr>
            </w:pPr>
          </w:p>
        </w:tc>
        <w:tc>
          <w:tcPr>
            <w:tcW w:w="5" w:type="pct"/>
            <w:shd w:val="clear" w:color="auto" w:fill="auto"/>
            <w:vAlign w:val="bottom"/>
          </w:tcPr>
          <w:p w14:paraId="54067AB3" w14:textId="77777777" w:rsidR="00611BDD" w:rsidRDefault="00611BDD">
            <w:pPr>
              <w:rPr>
                <w:rFonts w:ascii="宋体"/>
              </w:rPr>
            </w:pPr>
          </w:p>
        </w:tc>
        <w:tc>
          <w:tcPr>
            <w:tcW w:w="50" w:type="pct"/>
            <w:shd w:val="clear" w:color="auto" w:fill="auto"/>
            <w:vAlign w:val="bottom"/>
          </w:tcPr>
          <w:p w14:paraId="54067AB4" w14:textId="77777777" w:rsidR="00611BDD" w:rsidRDefault="00611BDD">
            <w:pPr>
              <w:rPr>
                <w:rFonts w:ascii="宋体"/>
              </w:rPr>
            </w:pPr>
          </w:p>
        </w:tc>
        <w:tc>
          <w:tcPr>
            <w:tcW w:w="568" w:type="pct"/>
            <w:shd w:val="clear" w:color="auto" w:fill="auto"/>
            <w:vAlign w:val="bottom"/>
          </w:tcPr>
          <w:p w14:paraId="54067AB5" w14:textId="77777777" w:rsidR="00611BDD" w:rsidRDefault="00611BDD">
            <w:pPr>
              <w:rPr>
                <w:rFonts w:ascii="宋体"/>
              </w:rPr>
            </w:pPr>
          </w:p>
        </w:tc>
        <w:tc>
          <w:tcPr>
            <w:tcW w:w="5" w:type="pct"/>
            <w:shd w:val="clear" w:color="auto" w:fill="auto"/>
            <w:vAlign w:val="bottom"/>
          </w:tcPr>
          <w:p w14:paraId="54067AB6" w14:textId="77777777" w:rsidR="00611BDD" w:rsidRDefault="00611BDD">
            <w:pPr>
              <w:rPr>
                <w:rFonts w:ascii="宋体"/>
              </w:rPr>
            </w:pPr>
          </w:p>
        </w:tc>
        <w:tc>
          <w:tcPr>
            <w:tcW w:w="5" w:type="pct"/>
            <w:shd w:val="clear" w:color="auto" w:fill="auto"/>
            <w:vAlign w:val="bottom"/>
          </w:tcPr>
          <w:p w14:paraId="54067AB7" w14:textId="77777777" w:rsidR="00611BDD" w:rsidRDefault="00611BDD">
            <w:pPr>
              <w:rPr>
                <w:rFonts w:ascii="宋体"/>
              </w:rPr>
            </w:pPr>
          </w:p>
        </w:tc>
        <w:tc>
          <w:tcPr>
            <w:tcW w:w="55" w:type="pct"/>
            <w:shd w:val="clear" w:color="auto" w:fill="auto"/>
            <w:vAlign w:val="bottom"/>
          </w:tcPr>
          <w:p w14:paraId="54067AB8" w14:textId="77777777" w:rsidR="00611BDD" w:rsidRDefault="00611BDD">
            <w:pPr>
              <w:rPr>
                <w:rFonts w:ascii="宋体"/>
              </w:rPr>
            </w:pPr>
          </w:p>
        </w:tc>
        <w:tc>
          <w:tcPr>
            <w:tcW w:w="5" w:type="pct"/>
            <w:shd w:val="clear" w:color="auto" w:fill="auto"/>
            <w:vAlign w:val="bottom"/>
          </w:tcPr>
          <w:p w14:paraId="54067AB9" w14:textId="77777777" w:rsidR="00611BDD" w:rsidRDefault="00611BDD">
            <w:pPr>
              <w:rPr>
                <w:rFonts w:ascii="宋体"/>
              </w:rPr>
            </w:pPr>
          </w:p>
        </w:tc>
        <w:tc>
          <w:tcPr>
            <w:tcW w:w="50" w:type="pct"/>
            <w:shd w:val="clear" w:color="auto" w:fill="auto"/>
            <w:vAlign w:val="bottom"/>
          </w:tcPr>
          <w:p w14:paraId="54067ABA" w14:textId="77777777" w:rsidR="00611BDD" w:rsidRDefault="00611BDD">
            <w:pPr>
              <w:rPr>
                <w:rFonts w:ascii="宋体"/>
              </w:rPr>
            </w:pPr>
          </w:p>
        </w:tc>
        <w:tc>
          <w:tcPr>
            <w:tcW w:w="700" w:type="pct"/>
            <w:shd w:val="clear" w:color="auto" w:fill="auto"/>
            <w:vAlign w:val="bottom"/>
          </w:tcPr>
          <w:p w14:paraId="54067ABB" w14:textId="77777777" w:rsidR="00611BDD" w:rsidRDefault="00611BDD">
            <w:pPr>
              <w:rPr>
                <w:rFonts w:ascii="宋体"/>
              </w:rPr>
            </w:pPr>
          </w:p>
        </w:tc>
        <w:tc>
          <w:tcPr>
            <w:tcW w:w="5" w:type="pct"/>
            <w:shd w:val="clear" w:color="auto" w:fill="auto"/>
            <w:vAlign w:val="bottom"/>
          </w:tcPr>
          <w:p w14:paraId="54067ABC" w14:textId="77777777" w:rsidR="00611BDD" w:rsidRDefault="00611BDD">
            <w:pPr>
              <w:rPr>
                <w:rFonts w:ascii="宋体"/>
              </w:rPr>
            </w:pPr>
          </w:p>
        </w:tc>
      </w:tr>
      <w:tr w:rsidR="00611BDD" w14:paraId="54067AC9" w14:textId="77777777">
        <w:tc>
          <w:tcPr>
            <w:tcW w:w="0" w:type="auto"/>
            <w:gridSpan w:val="3"/>
            <w:shd w:val="clear" w:color="auto" w:fill="auto"/>
            <w:tcMar>
              <w:top w:w="40" w:type="dxa"/>
              <w:left w:w="20" w:type="dxa"/>
              <w:bottom w:w="40" w:type="dxa"/>
              <w:right w:w="20" w:type="dxa"/>
            </w:tcMar>
            <w:vAlign w:val="bottom"/>
          </w:tcPr>
          <w:p w14:paraId="54067ABE" w14:textId="77777777" w:rsidR="00611BDD" w:rsidRDefault="002E18C7">
            <w:pPr>
              <w:jc w:val="center"/>
              <w:textAlignment w:val="bottom"/>
            </w:pPr>
            <w:r>
              <w:rPr>
                <w:rFonts w:ascii="sans-serif" w:eastAsia="sans-serif" w:hAnsi="sans-serif" w:cs="sans-serif"/>
                <w:b/>
                <w:bCs/>
                <w:color w:val="000000"/>
                <w:sz w:val="20"/>
                <w:szCs w:val="20"/>
              </w:rPr>
              <w:t>Exhibit No.</w:t>
            </w:r>
          </w:p>
        </w:tc>
        <w:tc>
          <w:tcPr>
            <w:tcW w:w="0" w:type="auto"/>
            <w:gridSpan w:val="3"/>
            <w:shd w:val="clear" w:color="auto" w:fill="auto"/>
            <w:tcMar>
              <w:top w:w="0" w:type="dxa"/>
              <w:left w:w="20" w:type="dxa"/>
              <w:bottom w:w="0" w:type="dxa"/>
              <w:right w:w="20" w:type="dxa"/>
            </w:tcMar>
            <w:vAlign w:val="bottom"/>
          </w:tcPr>
          <w:p w14:paraId="54067ABF"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AC0" w14:textId="77777777" w:rsidR="00611BDD" w:rsidRDefault="002E18C7">
            <w:pPr>
              <w:pBdr>
                <w:top w:val="none" w:sz="0" w:space="0" w:color="auto"/>
                <w:left w:val="none" w:sz="0" w:space="0" w:color="auto"/>
                <w:bottom w:val="none" w:sz="0" w:space="0" w:color="auto"/>
                <w:right w:val="none" w:sz="0" w:space="0" w:color="auto"/>
              </w:pBdr>
              <w:spacing w:before="40" w:after="40"/>
              <w:jc w:val="center"/>
              <w:textAlignment w:val="bottom"/>
            </w:pPr>
            <w:r>
              <w:rPr>
                <w:rFonts w:ascii="sans-serif" w:eastAsia="sans-serif" w:hAnsi="sans-serif" w:cs="sans-serif"/>
                <w:b/>
                <w:bCs/>
                <w:color w:val="000000"/>
                <w:sz w:val="20"/>
                <w:szCs w:val="20"/>
              </w:rPr>
              <w:t> Exhibit Description</w:t>
            </w:r>
          </w:p>
        </w:tc>
        <w:tc>
          <w:tcPr>
            <w:tcW w:w="0" w:type="auto"/>
            <w:gridSpan w:val="3"/>
            <w:shd w:val="clear" w:color="auto" w:fill="auto"/>
            <w:tcMar>
              <w:top w:w="0" w:type="dxa"/>
              <w:left w:w="20" w:type="dxa"/>
              <w:bottom w:w="0" w:type="dxa"/>
              <w:right w:w="20" w:type="dxa"/>
            </w:tcMar>
            <w:vAlign w:val="bottom"/>
          </w:tcPr>
          <w:p w14:paraId="54067AC1"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AC2" w14:textId="77777777" w:rsidR="00611BDD" w:rsidRDefault="002E18C7">
            <w:pPr>
              <w:jc w:val="center"/>
              <w:textAlignment w:val="bottom"/>
            </w:pPr>
            <w:r>
              <w:rPr>
                <w:rFonts w:ascii="sans-serif" w:eastAsia="sans-serif" w:hAnsi="sans-serif" w:cs="sans-serif"/>
                <w:b/>
                <w:bCs/>
                <w:color w:val="000000"/>
                <w:sz w:val="20"/>
                <w:szCs w:val="20"/>
              </w:rPr>
              <w:t>Schedule</w:t>
            </w:r>
            <w:r>
              <w:rPr>
                <w:rFonts w:ascii="sans-serif" w:eastAsia="sans-serif" w:hAnsi="sans-serif" w:cs="sans-serif"/>
                <w:b/>
                <w:bCs/>
                <w:color w:val="000000"/>
                <w:sz w:val="20"/>
                <w:szCs w:val="20"/>
              </w:rPr>
              <w:br/>
              <w:t>/Form</w:t>
            </w:r>
          </w:p>
        </w:tc>
        <w:tc>
          <w:tcPr>
            <w:tcW w:w="0" w:type="auto"/>
            <w:gridSpan w:val="3"/>
            <w:shd w:val="clear" w:color="auto" w:fill="auto"/>
            <w:tcMar>
              <w:top w:w="0" w:type="dxa"/>
              <w:left w:w="20" w:type="dxa"/>
              <w:bottom w:w="0" w:type="dxa"/>
              <w:right w:w="20" w:type="dxa"/>
            </w:tcMar>
            <w:vAlign w:val="bottom"/>
          </w:tcPr>
          <w:p w14:paraId="54067AC3"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AC4" w14:textId="77777777" w:rsidR="00611BDD" w:rsidRDefault="002E18C7">
            <w:pPr>
              <w:jc w:val="center"/>
              <w:textAlignment w:val="bottom"/>
            </w:pPr>
            <w:r>
              <w:rPr>
                <w:rFonts w:ascii="sans-serif" w:eastAsia="sans-serif" w:hAnsi="sans-serif" w:cs="sans-serif"/>
                <w:b/>
                <w:bCs/>
                <w:color w:val="000000"/>
                <w:sz w:val="20"/>
                <w:szCs w:val="20"/>
              </w:rPr>
              <w:t>File Number</w:t>
            </w:r>
          </w:p>
        </w:tc>
        <w:tc>
          <w:tcPr>
            <w:tcW w:w="0" w:type="auto"/>
            <w:gridSpan w:val="3"/>
            <w:shd w:val="clear" w:color="auto" w:fill="auto"/>
            <w:tcMar>
              <w:top w:w="0" w:type="dxa"/>
              <w:left w:w="20" w:type="dxa"/>
              <w:bottom w:w="0" w:type="dxa"/>
              <w:right w:w="20" w:type="dxa"/>
            </w:tcMar>
            <w:vAlign w:val="bottom"/>
          </w:tcPr>
          <w:p w14:paraId="54067AC5"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AC6" w14:textId="77777777" w:rsidR="00611BDD" w:rsidRDefault="002E18C7">
            <w:pPr>
              <w:jc w:val="center"/>
              <w:textAlignment w:val="bottom"/>
            </w:pPr>
            <w:r>
              <w:rPr>
                <w:rFonts w:ascii="sans-serif" w:eastAsia="sans-serif" w:hAnsi="sans-serif" w:cs="sans-serif"/>
                <w:b/>
                <w:bCs/>
                <w:color w:val="000000"/>
                <w:sz w:val="20"/>
                <w:szCs w:val="20"/>
              </w:rPr>
              <w:t>Exhibit</w:t>
            </w:r>
          </w:p>
        </w:tc>
        <w:tc>
          <w:tcPr>
            <w:tcW w:w="0" w:type="auto"/>
            <w:gridSpan w:val="3"/>
            <w:shd w:val="clear" w:color="auto" w:fill="auto"/>
            <w:tcMar>
              <w:top w:w="0" w:type="dxa"/>
              <w:left w:w="20" w:type="dxa"/>
              <w:bottom w:w="0" w:type="dxa"/>
              <w:right w:w="20" w:type="dxa"/>
            </w:tcMar>
            <w:vAlign w:val="bottom"/>
          </w:tcPr>
          <w:p w14:paraId="54067AC7"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vAlign w:val="bottom"/>
          </w:tcPr>
          <w:p w14:paraId="54067AC8" w14:textId="77777777" w:rsidR="00611BDD" w:rsidRDefault="002E18C7">
            <w:pPr>
              <w:jc w:val="center"/>
              <w:textAlignment w:val="bottom"/>
            </w:pPr>
            <w:r>
              <w:rPr>
                <w:rFonts w:ascii="sans-serif" w:eastAsia="sans-serif" w:hAnsi="sans-serif" w:cs="sans-serif"/>
                <w:b/>
                <w:bCs/>
                <w:color w:val="000000"/>
                <w:sz w:val="20"/>
                <w:szCs w:val="20"/>
              </w:rPr>
              <w:t>Filing Date</w:t>
            </w:r>
          </w:p>
        </w:tc>
      </w:tr>
      <w:tr w:rsidR="00611BDD" w14:paraId="54067AD5" w14:textId="77777777">
        <w:tc>
          <w:tcPr>
            <w:tcW w:w="0" w:type="auto"/>
            <w:gridSpan w:val="3"/>
            <w:shd w:val="clear" w:color="auto" w:fill="auto"/>
            <w:tcMar>
              <w:top w:w="40" w:type="dxa"/>
              <w:left w:w="20" w:type="dxa"/>
              <w:bottom w:w="40" w:type="dxa"/>
              <w:right w:w="20" w:type="dxa"/>
            </w:tcMar>
          </w:tcPr>
          <w:p w14:paraId="54067ACA" w14:textId="77777777" w:rsidR="00611BDD" w:rsidRDefault="002E18C7">
            <w:pPr>
              <w:jc w:val="center"/>
              <w:textAlignment w:val="top"/>
            </w:pPr>
            <w:r>
              <w:rPr>
                <w:rFonts w:ascii="sans-serif" w:eastAsia="sans-serif" w:hAnsi="sans-serif" w:cs="sans-serif"/>
                <w:color w:val="000000"/>
                <w:sz w:val="20"/>
                <w:szCs w:val="20"/>
              </w:rPr>
              <w:t>3.1</w:t>
            </w:r>
          </w:p>
        </w:tc>
        <w:tc>
          <w:tcPr>
            <w:tcW w:w="0" w:type="auto"/>
            <w:gridSpan w:val="3"/>
            <w:shd w:val="clear" w:color="auto" w:fill="auto"/>
            <w:tcMar>
              <w:top w:w="0" w:type="dxa"/>
              <w:left w:w="20" w:type="dxa"/>
              <w:bottom w:w="0" w:type="dxa"/>
              <w:right w:w="20" w:type="dxa"/>
            </w:tcMar>
            <w:vAlign w:val="bottom"/>
          </w:tcPr>
          <w:p w14:paraId="54067ACB"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ACC" w14:textId="77777777" w:rsidR="00611BDD" w:rsidRDefault="002E18C7">
            <w:pPr>
              <w:pBdr>
                <w:top w:val="none" w:sz="0" w:space="0" w:color="auto"/>
                <w:left w:val="none" w:sz="0" w:space="0" w:color="auto"/>
                <w:bottom w:val="none" w:sz="0" w:space="0" w:color="auto"/>
                <w:right w:val="none" w:sz="0" w:space="0" w:color="auto"/>
              </w:pBdr>
              <w:textAlignment w:val="top"/>
            </w:pPr>
            <w:hyperlink r:id="rId32" w:history="1">
              <w:r>
                <w:rPr>
                  <w:rStyle w:val="a5"/>
                  <w:rFonts w:ascii="sans-serif" w:eastAsia="sans-serif" w:hAnsi="sans-serif" w:cs="sans-serif"/>
                  <w:sz w:val="20"/>
                  <w:szCs w:val="20"/>
                </w:rPr>
                <w:t xml:space="preserve">Amendment to </w:t>
              </w:r>
            </w:hyperlink>
            <w:hyperlink r:id="rId33" w:history="1">
              <w:r>
                <w:rPr>
                  <w:rStyle w:val="a5"/>
                  <w:rFonts w:ascii="sans-serif" w:eastAsia="sans-serif" w:hAnsi="sans-serif" w:cs="sans-serif"/>
                  <w:sz w:val="20"/>
                  <w:szCs w:val="20"/>
                </w:rPr>
                <w:t>Amended and Restated Certificate of Incorporation of NVIDIA Corporation</w:t>
              </w:r>
            </w:hyperlink>
          </w:p>
        </w:tc>
        <w:tc>
          <w:tcPr>
            <w:tcW w:w="0" w:type="auto"/>
            <w:gridSpan w:val="3"/>
            <w:shd w:val="clear" w:color="auto" w:fill="auto"/>
            <w:tcMar>
              <w:top w:w="0" w:type="dxa"/>
              <w:left w:w="20" w:type="dxa"/>
              <w:bottom w:w="0" w:type="dxa"/>
              <w:right w:w="20" w:type="dxa"/>
            </w:tcMar>
            <w:vAlign w:val="bottom"/>
          </w:tcPr>
          <w:p w14:paraId="54067ACD"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ACE" w14:textId="77777777" w:rsidR="00611BDD" w:rsidRDefault="002E18C7">
            <w:pPr>
              <w:jc w:val="center"/>
              <w:textAlignment w:val="top"/>
            </w:pPr>
            <w:r>
              <w:rPr>
                <w:rFonts w:ascii="sans-serif" w:eastAsia="sans-serif" w:hAnsi="sans-serif" w:cs="sans-serif"/>
                <w:color w:val="000000"/>
                <w:sz w:val="20"/>
                <w:szCs w:val="20"/>
              </w:rPr>
              <w:t>8-K</w:t>
            </w:r>
          </w:p>
        </w:tc>
        <w:tc>
          <w:tcPr>
            <w:tcW w:w="0" w:type="auto"/>
            <w:gridSpan w:val="3"/>
            <w:shd w:val="clear" w:color="auto" w:fill="auto"/>
            <w:tcMar>
              <w:top w:w="0" w:type="dxa"/>
              <w:left w:w="20" w:type="dxa"/>
              <w:bottom w:w="0" w:type="dxa"/>
              <w:right w:w="20" w:type="dxa"/>
            </w:tcMar>
            <w:vAlign w:val="bottom"/>
          </w:tcPr>
          <w:p w14:paraId="54067ACF"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AD0" w14:textId="77777777" w:rsidR="00611BDD" w:rsidRDefault="002E18C7">
            <w:pPr>
              <w:jc w:val="center"/>
              <w:textAlignment w:val="top"/>
            </w:pPr>
            <w:r>
              <w:rPr>
                <w:rFonts w:ascii="sans-serif" w:eastAsia="sans-serif" w:hAnsi="sans-serif" w:cs="sans-serif"/>
                <w:color w:val="000000"/>
                <w:sz w:val="20"/>
                <w:szCs w:val="20"/>
              </w:rPr>
              <w:t>000-23985</w:t>
            </w:r>
          </w:p>
        </w:tc>
        <w:tc>
          <w:tcPr>
            <w:tcW w:w="0" w:type="auto"/>
            <w:gridSpan w:val="3"/>
            <w:shd w:val="clear" w:color="auto" w:fill="auto"/>
            <w:tcMar>
              <w:top w:w="0" w:type="dxa"/>
              <w:left w:w="20" w:type="dxa"/>
              <w:bottom w:w="0" w:type="dxa"/>
              <w:right w:w="20" w:type="dxa"/>
            </w:tcMar>
            <w:vAlign w:val="bottom"/>
          </w:tcPr>
          <w:p w14:paraId="54067AD1"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AD2" w14:textId="77777777" w:rsidR="00611BDD" w:rsidRDefault="002E18C7">
            <w:pPr>
              <w:jc w:val="center"/>
              <w:textAlignment w:val="top"/>
            </w:pPr>
            <w:r>
              <w:rPr>
                <w:rFonts w:ascii="sans-serif" w:eastAsia="sans-serif" w:hAnsi="sans-serif" w:cs="sans-serif"/>
                <w:color w:val="000000"/>
                <w:sz w:val="20"/>
                <w:szCs w:val="20"/>
              </w:rPr>
              <w:t>3.1</w:t>
            </w:r>
          </w:p>
        </w:tc>
        <w:tc>
          <w:tcPr>
            <w:tcW w:w="0" w:type="auto"/>
            <w:gridSpan w:val="3"/>
            <w:shd w:val="clear" w:color="auto" w:fill="auto"/>
            <w:tcMar>
              <w:top w:w="0" w:type="dxa"/>
              <w:left w:w="20" w:type="dxa"/>
              <w:bottom w:w="0" w:type="dxa"/>
              <w:right w:w="20" w:type="dxa"/>
            </w:tcMar>
            <w:vAlign w:val="bottom"/>
          </w:tcPr>
          <w:p w14:paraId="54067AD3"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AD4" w14:textId="77777777" w:rsidR="00611BDD" w:rsidRDefault="002E18C7">
            <w:pPr>
              <w:jc w:val="center"/>
              <w:textAlignment w:val="top"/>
            </w:pPr>
            <w:r>
              <w:rPr>
                <w:rFonts w:ascii="sans-serif" w:eastAsia="sans-serif" w:hAnsi="sans-serif" w:cs="sans-serif"/>
                <w:color w:val="000000"/>
                <w:sz w:val="20"/>
                <w:szCs w:val="20"/>
              </w:rPr>
              <w:t>6/7/2021</w:t>
            </w:r>
          </w:p>
        </w:tc>
      </w:tr>
      <w:tr w:rsidR="00611BDD" w14:paraId="54067AE1" w14:textId="77777777">
        <w:tc>
          <w:tcPr>
            <w:tcW w:w="0" w:type="auto"/>
            <w:gridSpan w:val="3"/>
            <w:shd w:val="clear" w:color="auto" w:fill="auto"/>
            <w:tcMar>
              <w:top w:w="40" w:type="dxa"/>
              <w:left w:w="20" w:type="dxa"/>
              <w:bottom w:w="40" w:type="dxa"/>
              <w:right w:w="20" w:type="dxa"/>
            </w:tcMar>
          </w:tcPr>
          <w:p w14:paraId="54067AD6" w14:textId="77777777" w:rsidR="00611BDD" w:rsidRDefault="002E18C7">
            <w:pPr>
              <w:jc w:val="center"/>
              <w:textAlignment w:val="top"/>
            </w:pPr>
            <w:r>
              <w:rPr>
                <w:rFonts w:ascii="sans-serif" w:eastAsia="sans-serif" w:hAnsi="sans-serif" w:cs="sans-serif"/>
                <w:color w:val="000000"/>
                <w:sz w:val="20"/>
                <w:szCs w:val="20"/>
              </w:rPr>
              <w:t>4.1</w:t>
            </w:r>
          </w:p>
        </w:tc>
        <w:tc>
          <w:tcPr>
            <w:tcW w:w="0" w:type="auto"/>
            <w:gridSpan w:val="3"/>
            <w:shd w:val="clear" w:color="auto" w:fill="auto"/>
            <w:tcMar>
              <w:top w:w="0" w:type="dxa"/>
              <w:left w:w="20" w:type="dxa"/>
              <w:bottom w:w="0" w:type="dxa"/>
              <w:right w:w="20" w:type="dxa"/>
            </w:tcMar>
            <w:vAlign w:val="bottom"/>
          </w:tcPr>
          <w:p w14:paraId="54067AD7"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AD8" w14:textId="77777777" w:rsidR="00611BDD" w:rsidRDefault="002E18C7">
            <w:pPr>
              <w:pBdr>
                <w:top w:val="none" w:sz="0" w:space="0" w:color="auto"/>
                <w:left w:val="none" w:sz="0" w:space="0" w:color="auto"/>
                <w:bottom w:val="none" w:sz="0" w:space="0" w:color="auto"/>
                <w:right w:val="none" w:sz="0" w:space="0" w:color="auto"/>
              </w:pBdr>
              <w:textAlignment w:val="top"/>
            </w:pPr>
            <w:hyperlink r:id="rId34" w:history="1">
              <w:r>
                <w:rPr>
                  <w:rStyle w:val="a5"/>
                  <w:rFonts w:ascii="sans-serif" w:eastAsia="sans-serif" w:hAnsi="sans-serif" w:cs="sans-serif"/>
                  <w:sz w:val="20"/>
                  <w:szCs w:val="20"/>
                </w:rPr>
                <w:t>Officers’ Certificate, dated as of June 16, 2021</w:t>
              </w:r>
            </w:hyperlink>
          </w:p>
        </w:tc>
        <w:tc>
          <w:tcPr>
            <w:tcW w:w="0" w:type="auto"/>
            <w:gridSpan w:val="3"/>
            <w:shd w:val="clear" w:color="auto" w:fill="auto"/>
            <w:tcMar>
              <w:top w:w="0" w:type="dxa"/>
              <w:left w:w="20" w:type="dxa"/>
              <w:bottom w:w="0" w:type="dxa"/>
              <w:right w:w="20" w:type="dxa"/>
            </w:tcMar>
            <w:vAlign w:val="bottom"/>
          </w:tcPr>
          <w:p w14:paraId="54067AD9"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ADA" w14:textId="77777777" w:rsidR="00611BDD" w:rsidRDefault="002E18C7">
            <w:pPr>
              <w:jc w:val="center"/>
              <w:textAlignment w:val="top"/>
            </w:pPr>
            <w:r>
              <w:rPr>
                <w:rFonts w:ascii="sans-serif" w:eastAsia="sans-serif" w:hAnsi="sans-serif" w:cs="sans-serif"/>
                <w:color w:val="000000"/>
                <w:sz w:val="20"/>
                <w:szCs w:val="20"/>
              </w:rPr>
              <w:t>8-K</w:t>
            </w:r>
          </w:p>
        </w:tc>
        <w:tc>
          <w:tcPr>
            <w:tcW w:w="0" w:type="auto"/>
            <w:gridSpan w:val="3"/>
            <w:shd w:val="clear" w:color="auto" w:fill="auto"/>
            <w:tcMar>
              <w:top w:w="0" w:type="dxa"/>
              <w:left w:w="20" w:type="dxa"/>
              <w:bottom w:w="0" w:type="dxa"/>
              <w:right w:w="20" w:type="dxa"/>
            </w:tcMar>
            <w:vAlign w:val="bottom"/>
          </w:tcPr>
          <w:p w14:paraId="54067ADB"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ADC" w14:textId="77777777" w:rsidR="00611BDD" w:rsidRDefault="002E18C7">
            <w:pPr>
              <w:jc w:val="center"/>
              <w:textAlignment w:val="top"/>
            </w:pPr>
            <w:r>
              <w:rPr>
                <w:rFonts w:ascii="sans-serif" w:eastAsia="sans-serif" w:hAnsi="sans-serif" w:cs="sans-serif"/>
                <w:color w:val="000000"/>
                <w:sz w:val="20"/>
                <w:szCs w:val="20"/>
              </w:rPr>
              <w:t>000-23985</w:t>
            </w:r>
          </w:p>
        </w:tc>
        <w:tc>
          <w:tcPr>
            <w:tcW w:w="0" w:type="auto"/>
            <w:gridSpan w:val="3"/>
            <w:shd w:val="clear" w:color="auto" w:fill="auto"/>
            <w:tcMar>
              <w:top w:w="0" w:type="dxa"/>
              <w:left w:w="20" w:type="dxa"/>
              <w:bottom w:w="0" w:type="dxa"/>
              <w:right w:w="20" w:type="dxa"/>
            </w:tcMar>
            <w:vAlign w:val="bottom"/>
          </w:tcPr>
          <w:p w14:paraId="54067ADD"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ADE" w14:textId="77777777" w:rsidR="00611BDD" w:rsidRDefault="002E18C7">
            <w:pPr>
              <w:jc w:val="center"/>
              <w:textAlignment w:val="top"/>
            </w:pPr>
            <w:r>
              <w:rPr>
                <w:rFonts w:ascii="sans-serif" w:eastAsia="sans-serif" w:hAnsi="sans-serif" w:cs="sans-serif"/>
                <w:color w:val="000000"/>
                <w:sz w:val="20"/>
                <w:szCs w:val="20"/>
              </w:rPr>
              <w:t>4.2</w:t>
            </w:r>
          </w:p>
        </w:tc>
        <w:tc>
          <w:tcPr>
            <w:tcW w:w="0" w:type="auto"/>
            <w:gridSpan w:val="3"/>
            <w:shd w:val="clear" w:color="auto" w:fill="auto"/>
            <w:tcMar>
              <w:top w:w="0" w:type="dxa"/>
              <w:left w:w="20" w:type="dxa"/>
              <w:bottom w:w="0" w:type="dxa"/>
              <w:right w:w="20" w:type="dxa"/>
            </w:tcMar>
            <w:vAlign w:val="bottom"/>
          </w:tcPr>
          <w:p w14:paraId="54067ADF"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AE0" w14:textId="77777777" w:rsidR="00611BDD" w:rsidRDefault="002E18C7">
            <w:pPr>
              <w:jc w:val="center"/>
              <w:textAlignment w:val="top"/>
            </w:pPr>
            <w:r>
              <w:rPr>
                <w:rFonts w:ascii="sans-serif" w:eastAsia="sans-serif" w:hAnsi="sans-serif" w:cs="sans-serif"/>
                <w:color w:val="000000"/>
                <w:sz w:val="20"/>
                <w:szCs w:val="20"/>
              </w:rPr>
              <w:t>6/16/2021</w:t>
            </w:r>
          </w:p>
        </w:tc>
      </w:tr>
      <w:tr w:rsidR="00611BDD" w14:paraId="54067AED" w14:textId="77777777">
        <w:tc>
          <w:tcPr>
            <w:tcW w:w="0" w:type="auto"/>
            <w:gridSpan w:val="3"/>
            <w:shd w:val="clear" w:color="auto" w:fill="auto"/>
            <w:tcMar>
              <w:top w:w="40" w:type="dxa"/>
              <w:left w:w="20" w:type="dxa"/>
              <w:bottom w:w="40" w:type="dxa"/>
              <w:right w:w="20" w:type="dxa"/>
            </w:tcMar>
          </w:tcPr>
          <w:p w14:paraId="54067AE2" w14:textId="77777777" w:rsidR="00611BDD" w:rsidRDefault="002E18C7">
            <w:pPr>
              <w:jc w:val="center"/>
              <w:textAlignment w:val="top"/>
            </w:pPr>
            <w:r>
              <w:rPr>
                <w:rFonts w:ascii="sans-serif" w:eastAsia="sans-serif" w:hAnsi="sans-serif" w:cs="sans-serif"/>
                <w:color w:val="000000"/>
                <w:sz w:val="20"/>
                <w:szCs w:val="20"/>
              </w:rPr>
              <w:t>4.2</w:t>
            </w:r>
          </w:p>
        </w:tc>
        <w:tc>
          <w:tcPr>
            <w:tcW w:w="0" w:type="auto"/>
            <w:gridSpan w:val="3"/>
            <w:shd w:val="clear" w:color="auto" w:fill="auto"/>
            <w:tcMar>
              <w:top w:w="0" w:type="dxa"/>
              <w:left w:w="20" w:type="dxa"/>
              <w:bottom w:w="0" w:type="dxa"/>
              <w:right w:w="20" w:type="dxa"/>
            </w:tcMar>
            <w:vAlign w:val="bottom"/>
          </w:tcPr>
          <w:p w14:paraId="54067AE3"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AE4" w14:textId="77777777" w:rsidR="00611BDD" w:rsidRDefault="002E18C7">
            <w:pPr>
              <w:pBdr>
                <w:top w:val="none" w:sz="0" w:space="0" w:color="auto"/>
                <w:left w:val="none" w:sz="0" w:space="0" w:color="auto"/>
                <w:bottom w:val="none" w:sz="0" w:space="0" w:color="auto"/>
                <w:right w:val="none" w:sz="0" w:space="0" w:color="auto"/>
              </w:pBdr>
              <w:textAlignment w:val="top"/>
            </w:pPr>
            <w:hyperlink r:id="rId35" w:history="1">
              <w:r>
                <w:rPr>
                  <w:rStyle w:val="a5"/>
                  <w:rFonts w:ascii="sans-serif" w:eastAsia="sans-serif" w:hAnsi="sans-serif" w:cs="sans-serif"/>
                  <w:sz w:val="20"/>
                  <w:szCs w:val="20"/>
                </w:rPr>
                <w:t>Form of 2023 Note</w:t>
              </w:r>
            </w:hyperlink>
          </w:p>
        </w:tc>
        <w:tc>
          <w:tcPr>
            <w:tcW w:w="0" w:type="auto"/>
            <w:gridSpan w:val="3"/>
            <w:shd w:val="clear" w:color="auto" w:fill="auto"/>
            <w:tcMar>
              <w:top w:w="0" w:type="dxa"/>
              <w:left w:w="20" w:type="dxa"/>
              <w:bottom w:w="0" w:type="dxa"/>
              <w:right w:w="20" w:type="dxa"/>
            </w:tcMar>
            <w:vAlign w:val="bottom"/>
          </w:tcPr>
          <w:p w14:paraId="54067AE5"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AE6" w14:textId="77777777" w:rsidR="00611BDD" w:rsidRDefault="002E18C7">
            <w:pPr>
              <w:jc w:val="center"/>
              <w:textAlignment w:val="top"/>
            </w:pPr>
            <w:r>
              <w:rPr>
                <w:rFonts w:ascii="sans-serif" w:eastAsia="sans-serif" w:hAnsi="sans-serif" w:cs="sans-serif"/>
                <w:color w:val="000000"/>
                <w:sz w:val="20"/>
                <w:szCs w:val="20"/>
              </w:rPr>
              <w:t>8-K</w:t>
            </w:r>
          </w:p>
        </w:tc>
        <w:tc>
          <w:tcPr>
            <w:tcW w:w="0" w:type="auto"/>
            <w:gridSpan w:val="3"/>
            <w:shd w:val="clear" w:color="auto" w:fill="auto"/>
            <w:tcMar>
              <w:top w:w="0" w:type="dxa"/>
              <w:left w:w="20" w:type="dxa"/>
              <w:bottom w:w="0" w:type="dxa"/>
              <w:right w:w="20" w:type="dxa"/>
            </w:tcMar>
            <w:vAlign w:val="bottom"/>
          </w:tcPr>
          <w:p w14:paraId="54067AE7"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AE8" w14:textId="77777777" w:rsidR="00611BDD" w:rsidRDefault="002E18C7">
            <w:pPr>
              <w:jc w:val="center"/>
              <w:textAlignment w:val="top"/>
            </w:pPr>
            <w:r>
              <w:rPr>
                <w:rFonts w:ascii="sans-serif" w:eastAsia="sans-serif" w:hAnsi="sans-serif" w:cs="sans-serif"/>
                <w:color w:val="000000"/>
                <w:sz w:val="20"/>
                <w:szCs w:val="20"/>
              </w:rPr>
              <w:t>000-23985</w:t>
            </w:r>
          </w:p>
        </w:tc>
        <w:tc>
          <w:tcPr>
            <w:tcW w:w="0" w:type="auto"/>
            <w:gridSpan w:val="3"/>
            <w:shd w:val="clear" w:color="auto" w:fill="auto"/>
            <w:tcMar>
              <w:top w:w="0" w:type="dxa"/>
              <w:left w:w="20" w:type="dxa"/>
              <w:bottom w:w="0" w:type="dxa"/>
              <w:right w:w="20" w:type="dxa"/>
            </w:tcMar>
            <w:vAlign w:val="bottom"/>
          </w:tcPr>
          <w:p w14:paraId="54067AE9"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AEA" w14:textId="77777777" w:rsidR="00611BDD" w:rsidRDefault="002E18C7">
            <w:pPr>
              <w:jc w:val="center"/>
              <w:textAlignment w:val="top"/>
            </w:pPr>
            <w:r>
              <w:rPr>
                <w:rFonts w:ascii="sans-serif" w:eastAsia="sans-serif" w:hAnsi="sans-serif" w:cs="sans-serif"/>
                <w:color w:val="000000"/>
                <w:sz w:val="20"/>
                <w:szCs w:val="20"/>
              </w:rPr>
              <w:t>Annex A-1 to Exhibit 4.2</w:t>
            </w:r>
          </w:p>
        </w:tc>
        <w:tc>
          <w:tcPr>
            <w:tcW w:w="0" w:type="auto"/>
            <w:gridSpan w:val="3"/>
            <w:shd w:val="clear" w:color="auto" w:fill="auto"/>
            <w:tcMar>
              <w:top w:w="0" w:type="dxa"/>
              <w:left w:w="20" w:type="dxa"/>
              <w:bottom w:w="0" w:type="dxa"/>
              <w:right w:w="20" w:type="dxa"/>
            </w:tcMar>
            <w:vAlign w:val="bottom"/>
          </w:tcPr>
          <w:p w14:paraId="54067AEB"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AEC" w14:textId="77777777" w:rsidR="00611BDD" w:rsidRDefault="002E18C7">
            <w:pPr>
              <w:jc w:val="center"/>
              <w:textAlignment w:val="top"/>
            </w:pPr>
            <w:r>
              <w:rPr>
                <w:rFonts w:ascii="sans-serif" w:eastAsia="sans-serif" w:hAnsi="sans-serif" w:cs="sans-serif"/>
                <w:color w:val="000000"/>
                <w:sz w:val="20"/>
                <w:szCs w:val="20"/>
              </w:rPr>
              <w:t>6/16/2021</w:t>
            </w:r>
          </w:p>
        </w:tc>
      </w:tr>
      <w:tr w:rsidR="00611BDD" w14:paraId="54067AF9" w14:textId="77777777">
        <w:tc>
          <w:tcPr>
            <w:tcW w:w="0" w:type="auto"/>
            <w:gridSpan w:val="3"/>
            <w:shd w:val="clear" w:color="auto" w:fill="auto"/>
            <w:tcMar>
              <w:top w:w="40" w:type="dxa"/>
              <w:left w:w="20" w:type="dxa"/>
              <w:bottom w:w="40" w:type="dxa"/>
              <w:right w:w="20" w:type="dxa"/>
            </w:tcMar>
          </w:tcPr>
          <w:p w14:paraId="54067AEE" w14:textId="77777777" w:rsidR="00611BDD" w:rsidRDefault="002E18C7">
            <w:pPr>
              <w:jc w:val="center"/>
              <w:textAlignment w:val="top"/>
            </w:pPr>
            <w:r>
              <w:rPr>
                <w:rFonts w:ascii="sans-serif" w:eastAsia="sans-serif" w:hAnsi="sans-serif" w:cs="sans-serif"/>
                <w:color w:val="000000"/>
                <w:sz w:val="20"/>
                <w:szCs w:val="20"/>
              </w:rPr>
              <w:t>4.3</w:t>
            </w:r>
          </w:p>
        </w:tc>
        <w:tc>
          <w:tcPr>
            <w:tcW w:w="0" w:type="auto"/>
            <w:gridSpan w:val="3"/>
            <w:shd w:val="clear" w:color="auto" w:fill="auto"/>
            <w:tcMar>
              <w:top w:w="0" w:type="dxa"/>
              <w:left w:w="20" w:type="dxa"/>
              <w:bottom w:w="0" w:type="dxa"/>
              <w:right w:w="20" w:type="dxa"/>
            </w:tcMar>
            <w:vAlign w:val="bottom"/>
          </w:tcPr>
          <w:p w14:paraId="54067AEF"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AF0" w14:textId="77777777" w:rsidR="00611BDD" w:rsidRDefault="002E18C7">
            <w:pPr>
              <w:pBdr>
                <w:top w:val="none" w:sz="0" w:space="0" w:color="auto"/>
                <w:left w:val="none" w:sz="0" w:space="0" w:color="auto"/>
                <w:bottom w:val="none" w:sz="0" w:space="0" w:color="auto"/>
                <w:right w:val="none" w:sz="0" w:space="0" w:color="auto"/>
              </w:pBdr>
              <w:textAlignment w:val="top"/>
            </w:pPr>
            <w:hyperlink r:id="rId36" w:history="1">
              <w:r>
                <w:rPr>
                  <w:rStyle w:val="a5"/>
                  <w:rFonts w:ascii="sans-serif" w:eastAsia="sans-serif" w:hAnsi="sans-serif" w:cs="sans-serif"/>
                  <w:sz w:val="20"/>
                  <w:szCs w:val="20"/>
                </w:rPr>
                <w:t>Form of 202</w:t>
              </w:r>
            </w:hyperlink>
            <w:hyperlink r:id="rId37" w:history="1">
              <w:r>
                <w:rPr>
                  <w:rStyle w:val="a5"/>
                  <w:rFonts w:ascii="sans-serif" w:eastAsia="sans-serif" w:hAnsi="sans-serif" w:cs="sans-serif"/>
                  <w:sz w:val="20"/>
                  <w:szCs w:val="20"/>
                </w:rPr>
                <w:t>4</w:t>
              </w:r>
            </w:hyperlink>
            <w:hyperlink r:id="rId38" w:history="1">
              <w:r>
                <w:rPr>
                  <w:rStyle w:val="a5"/>
                  <w:rFonts w:ascii="sans-serif" w:eastAsia="sans-serif" w:hAnsi="sans-serif" w:cs="sans-serif"/>
                  <w:sz w:val="20"/>
                  <w:szCs w:val="20"/>
                </w:rPr>
                <w:t xml:space="preserve"> Note</w:t>
              </w:r>
            </w:hyperlink>
          </w:p>
        </w:tc>
        <w:tc>
          <w:tcPr>
            <w:tcW w:w="0" w:type="auto"/>
            <w:gridSpan w:val="3"/>
            <w:shd w:val="clear" w:color="auto" w:fill="auto"/>
            <w:tcMar>
              <w:top w:w="0" w:type="dxa"/>
              <w:left w:w="20" w:type="dxa"/>
              <w:bottom w:w="0" w:type="dxa"/>
              <w:right w:w="20" w:type="dxa"/>
            </w:tcMar>
            <w:vAlign w:val="bottom"/>
          </w:tcPr>
          <w:p w14:paraId="54067AF1"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AF2" w14:textId="77777777" w:rsidR="00611BDD" w:rsidRDefault="002E18C7">
            <w:pPr>
              <w:jc w:val="center"/>
              <w:textAlignment w:val="top"/>
            </w:pPr>
            <w:r>
              <w:rPr>
                <w:rFonts w:ascii="sans-serif" w:eastAsia="sans-serif" w:hAnsi="sans-serif" w:cs="sans-serif"/>
                <w:color w:val="000000"/>
                <w:sz w:val="20"/>
                <w:szCs w:val="20"/>
              </w:rPr>
              <w:t>8-K</w:t>
            </w:r>
          </w:p>
        </w:tc>
        <w:tc>
          <w:tcPr>
            <w:tcW w:w="0" w:type="auto"/>
            <w:gridSpan w:val="3"/>
            <w:shd w:val="clear" w:color="auto" w:fill="auto"/>
            <w:tcMar>
              <w:top w:w="0" w:type="dxa"/>
              <w:left w:w="20" w:type="dxa"/>
              <w:bottom w:w="0" w:type="dxa"/>
              <w:right w:w="20" w:type="dxa"/>
            </w:tcMar>
            <w:vAlign w:val="bottom"/>
          </w:tcPr>
          <w:p w14:paraId="54067AF3"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AF4" w14:textId="77777777" w:rsidR="00611BDD" w:rsidRDefault="002E18C7">
            <w:pPr>
              <w:jc w:val="center"/>
              <w:textAlignment w:val="top"/>
            </w:pPr>
            <w:r>
              <w:rPr>
                <w:rFonts w:ascii="sans-serif" w:eastAsia="sans-serif" w:hAnsi="sans-serif" w:cs="sans-serif"/>
                <w:color w:val="000000"/>
                <w:sz w:val="20"/>
                <w:szCs w:val="20"/>
              </w:rPr>
              <w:t>000-23985</w:t>
            </w:r>
          </w:p>
        </w:tc>
        <w:tc>
          <w:tcPr>
            <w:tcW w:w="0" w:type="auto"/>
            <w:gridSpan w:val="3"/>
            <w:shd w:val="clear" w:color="auto" w:fill="auto"/>
            <w:tcMar>
              <w:top w:w="0" w:type="dxa"/>
              <w:left w:w="20" w:type="dxa"/>
              <w:bottom w:w="0" w:type="dxa"/>
              <w:right w:w="20" w:type="dxa"/>
            </w:tcMar>
            <w:vAlign w:val="bottom"/>
          </w:tcPr>
          <w:p w14:paraId="54067AF5"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AF6" w14:textId="77777777" w:rsidR="00611BDD" w:rsidRDefault="002E18C7">
            <w:pPr>
              <w:jc w:val="center"/>
              <w:textAlignment w:val="top"/>
            </w:pPr>
            <w:r>
              <w:rPr>
                <w:rFonts w:ascii="sans-serif" w:eastAsia="sans-serif" w:hAnsi="sans-serif" w:cs="sans-serif"/>
                <w:color w:val="000000"/>
                <w:sz w:val="20"/>
                <w:szCs w:val="20"/>
              </w:rPr>
              <w:t>Annex B-1 to Exhibit 4.2</w:t>
            </w:r>
          </w:p>
        </w:tc>
        <w:tc>
          <w:tcPr>
            <w:tcW w:w="0" w:type="auto"/>
            <w:gridSpan w:val="3"/>
            <w:shd w:val="clear" w:color="auto" w:fill="auto"/>
            <w:tcMar>
              <w:top w:w="0" w:type="dxa"/>
              <w:left w:w="20" w:type="dxa"/>
              <w:bottom w:w="0" w:type="dxa"/>
              <w:right w:w="20" w:type="dxa"/>
            </w:tcMar>
            <w:vAlign w:val="bottom"/>
          </w:tcPr>
          <w:p w14:paraId="54067AF7"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AF8" w14:textId="77777777" w:rsidR="00611BDD" w:rsidRDefault="002E18C7">
            <w:pPr>
              <w:jc w:val="center"/>
              <w:textAlignment w:val="top"/>
            </w:pPr>
            <w:r>
              <w:rPr>
                <w:rFonts w:ascii="sans-serif" w:eastAsia="sans-serif" w:hAnsi="sans-serif" w:cs="sans-serif"/>
                <w:color w:val="000000"/>
                <w:sz w:val="20"/>
                <w:szCs w:val="20"/>
              </w:rPr>
              <w:t>6/16/2021</w:t>
            </w:r>
          </w:p>
        </w:tc>
      </w:tr>
      <w:tr w:rsidR="00611BDD" w14:paraId="54067B05" w14:textId="77777777">
        <w:tc>
          <w:tcPr>
            <w:tcW w:w="0" w:type="auto"/>
            <w:gridSpan w:val="3"/>
            <w:shd w:val="clear" w:color="auto" w:fill="auto"/>
            <w:tcMar>
              <w:top w:w="40" w:type="dxa"/>
              <w:left w:w="20" w:type="dxa"/>
              <w:bottom w:w="40" w:type="dxa"/>
              <w:right w:w="20" w:type="dxa"/>
            </w:tcMar>
          </w:tcPr>
          <w:p w14:paraId="54067AFA" w14:textId="77777777" w:rsidR="00611BDD" w:rsidRDefault="002E18C7">
            <w:pPr>
              <w:jc w:val="center"/>
              <w:textAlignment w:val="top"/>
            </w:pPr>
            <w:r>
              <w:rPr>
                <w:rFonts w:ascii="sans-serif" w:eastAsia="sans-serif" w:hAnsi="sans-serif" w:cs="sans-serif"/>
                <w:color w:val="000000"/>
                <w:sz w:val="20"/>
                <w:szCs w:val="20"/>
              </w:rPr>
              <w:t>4.4</w:t>
            </w:r>
          </w:p>
        </w:tc>
        <w:tc>
          <w:tcPr>
            <w:tcW w:w="0" w:type="auto"/>
            <w:gridSpan w:val="3"/>
            <w:shd w:val="clear" w:color="auto" w:fill="auto"/>
            <w:tcMar>
              <w:top w:w="0" w:type="dxa"/>
              <w:left w:w="20" w:type="dxa"/>
              <w:bottom w:w="0" w:type="dxa"/>
              <w:right w:w="20" w:type="dxa"/>
            </w:tcMar>
            <w:vAlign w:val="bottom"/>
          </w:tcPr>
          <w:p w14:paraId="54067AFB"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AFC" w14:textId="77777777" w:rsidR="00611BDD" w:rsidRDefault="002E18C7">
            <w:pPr>
              <w:pBdr>
                <w:top w:val="none" w:sz="0" w:space="0" w:color="auto"/>
                <w:left w:val="none" w:sz="0" w:space="0" w:color="auto"/>
                <w:bottom w:val="none" w:sz="0" w:space="0" w:color="auto"/>
                <w:right w:val="none" w:sz="0" w:space="0" w:color="auto"/>
              </w:pBdr>
              <w:textAlignment w:val="top"/>
            </w:pPr>
            <w:hyperlink r:id="rId39" w:history="1">
              <w:r>
                <w:rPr>
                  <w:rStyle w:val="a5"/>
                  <w:rFonts w:ascii="sans-serif" w:eastAsia="sans-serif" w:hAnsi="sans-serif" w:cs="sans-serif"/>
                  <w:sz w:val="20"/>
                  <w:szCs w:val="20"/>
                </w:rPr>
                <w:t>Form of 202</w:t>
              </w:r>
            </w:hyperlink>
            <w:hyperlink r:id="rId40" w:history="1">
              <w:r>
                <w:rPr>
                  <w:rStyle w:val="a5"/>
                  <w:rFonts w:ascii="sans-serif" w:eastAsia="sans-serif" w:hAnsi="sans-serif" w:cs="sans-serif"/>
                  <w:sz w:val="20"/>
                  <w:szCs w:val="20"/>
                </w:rPr>
                <w:t>8</w:t>
              </w:r>
            </w:hyperlink>
            <w:hyperlink r:id="rId41" w:history="1">
              <w:r>
                <w:rPr>
                  <w:rStyle w:val="a5"/>
                  <w:rFonts w:ascii="sans-serif" w:eastAsia="sans-serif" w:hAnsi="sans-serif" w:cs="sans-serif"/>
                  <w:sz w:val="20"/>
                  <w:szCs w:val="20"/>
                </w:rPr>
                <w:t xml:space="preserve"> Note</w:t>
              </w:r>
            </w:hyperlink>
          </w:p>
        </w:tc>
        <w:tc>
          <w:tcPr>
            <w:tcW w:w="0" w:type="auto"/>
            <w:gridSpan w:val="3"/>
            <w:shd w:val="clear" w:color="auto" w:fill="auto"/>
            <w:tcMar>
              <w:top w:w="0" w:type="dxa"/>
              <w:left w:w="20" w:type="dxa"/>
              <w:bottom w:w="0" w:type="dxa"/>
              <w:right w:w="20" w:type="dxa"/>
            </w:tcMar>
            <w:vAlign w:val="bottom"/>
          </w:tcPr>
          <w:p w14:paraId="54067AFD"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AFE" w14:textId="77777777" w:rsidR="00611BDD" w:rsidRDefault="002E18C7">
            <w:pPr>
              <w:jc w:val="center"/>
              <w:textAlignment w:val="top"/>
            </w:pPr>
            <w:r>
              <w:rPr>
                <w:rFonts w:ascii="sans-serif" w:eastAsia="sans-serif" w:hAnsi="sans-serif" w:cs="sans-serif"/>
                <w:color w:val="000000"/>
                <w:sz w:val="20"/>
                <w:szCs w:val="20"/>
              </w:rPr>
              <w:t>8-K</w:t>
            </w:r>
          </w:p>
        </w:tc>
        <w:tc>
          <w:tcPr>
            <w:tcW w:w="0" w:type="auto"/>
            <w:gridSpan w:val="3"/>
            <w:shd w:val="clear" w:color="auto" w:fill="auto"/>
            <w:tcMar>
              <w:top w:w="0" w:type="dxa"/>
              <w:left w:w="20" w:type="dxa"/>
              <w:bottom w:w="0" w:type="dxa"/>
              <w:right w:w="20" w:type="dxa"/>
            </w:tcMar>
            <w:vAlign w:val="bottom"/>
          </w:tcPr>
          <w:p w14:paraId="54067AFF"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B00" w14:textId="77777777" w:rsidR="00611BDD" w:rsidRDefault="002E18C7">
            <w:pPr>
              <w:jc w:val="center"/>
              <w:textAlignment w:val="top"/>
            </w:pPr>
            <w:r>
              <w:rPr>
                <w:rFonts w:ascii="sans-serif" w:eastAsia="sans-serif" w:hAnsi="sans-serif" w:cs="sans-serif"/>
                <w:color w:val="000000"/>
                <w:sz w:val="20"/>
                <w:szCs w:val="20"/>
              </w:rPr>
              <w:t>000-23985</w:t>
            </w:r>
          </w:p>
        </w:tc>
        <w:tc>
          <w:tcPr>
            <w:tcW w:w="0" w:type="auto"/>
            <w:gridSpan w:val="3"/>
            <w:shd w:val="clear" w:color="auto" w:fill="auto"/>
            <w:tcMar>
              <w:top w:w="0" w:type="dxa"/>
              <w:left w:w="20" w:type="dxa"/>
              <w:bottom w:w="0" w:type="dxa"/>
              <w:right w:w="20" w:type="dxa"/>
            </w:tcMar>
            <w:vAlign w:val="bottom"/>
          </w:tcPr>
          <w:p w14:paraId="54067B01"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B02" w14:textId="77777777" w:rsidR="00611BDD" w:rsidRDefault="002E18C7">
            <w:pPr>
              <w:jc w:val="center"/>
              <w:textAlignment w:val="top"/>
            </w:pPr>
            <w:r>
              <w:rPr>
                <w:rFonts w:ascii="sans-serif" w:eastAsia="sans-serif" w:hAnsi="sans-serif" w:cs="sans-serif"/>
                <w:color w:val="000000"/>
                <w:sz w:val="20"/>
                <w:szCs w:val="20"/>
              </w:rPr>
              <w:t>Annex C-1 to Exhibit 4.2</w:t>
            </w:r>
          </w:p>
        </w:tc>
        <w:tc>
          <w:tcPr>
            <w:tcW w:w="0" w:type="auto"/>
            <w:gridSpan w:val="3"/>
            <w:shd w:val="clear" w:color="auto" w:fill="auto"/>
            <w:tcMar>
              <w:top w:w="0" w:type="dxa"/>
              <w:left w:w="20" w:type="dxa"/>
              <w:bottom w:w="0" w:type="dxa"/>
              <w:right w:w="20" w:type="dxa"/>
            </w:tcMar>
            <w:vAlign w:val="bottom"/>
          </w:tcPr>
          <w:p w14:paraId="54067B03"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B04" w14:textId="77777777" w:rsidR="00611BDD" w:rsidRDefault="002E18C7">
            <w:pPr>
              <w:jc w:val="center"/>
              <w:textAlignment w:val="top"/>
            </w:pPr>
            <w:r>
              <w:rPr>
                <w:rFonts w:ascii="sans-serif" w:eastAsia="sans-serif" w:hAnsi="sans-serif" w:cs="sans-serif"/>
                <w:color w:val="000000"/>
                <w:sz w:val="20"/>
                <w:szCs w:val="20"/>
              </w:rPr>
              <w:t>6/16/2021</w:t>
            </w:r>
          </w:p>
        </w:tc>
      </w:tr>
      <w:tr w:rsidR="00611BDD" w14:paraId="54067B11" w14:textId="77777777">
        <w:tc>
          <w:tcPr>
            <w:tcW w:w="0" w:type="auto"/>
            <w:gridSpan w:val="3"/>
            <w:shd w:val="clear" w:color="auto" w:fill="auto"/>
            <w:tcMar>
              <w:top w:w="40" w:type="dxa"/>
              <w:left w:w="20" w:type="dxa"/>
              <w:bottom w:w="40" w:type="dxa"/>
              <w:right w:w="20" w:type="dxa"/>
            </w:tcMar>
          </w:tcPr>
          <w:p w14:paraId="54067B06" w14:textId="77777777" w:rsidR="00611BDD" w:rsidRDefault="002E18C7">
            <w:pPr>
              <w:jc w:val="center"/>
              <w:textAlignment w:val="top"/>
            </w:pPr>
            <w:r>
              <w:rPr>
                <w:rFonts w:ascii="sans-serif" w:eastAsia="sans-serif" w:hAnsi="sans-serif" w:cs="sans-serif"/>
                <w:color w:val="000000"/>
                <w:sz w:val="20"/>
                <w:szCs w:val="20"/>
              </w:rPr>
              <w:t>4.5</w:t>
            </w:r>
          </w:p>
        </w:tc>
        <w:tc>
          <w:tcPr>
            <w:tcW w:w="0" w:type="auto"/>
            <w:gridSpan w:val="3"/>
            <w:shd w:val="clear" w:color="auto" w:fill="auto"/>
            <w:tcMar>
              <w:top w:w="0" w:type="dxa"/>
              <w:left w:w="20" w:type="dxa"/>
              <w:bottom w:w="0" w:type="dxa"/>
              <w:right w:w="20" w:type="dxa"/>
            </w:tcMar>
            <w:vAlign w:val="bottom"/>
          </w:tcPr>
          <w:p w14:paraId="54067B07"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B08" w14:textId="77777777" w:rsidR="00611BDD" w:rsidRDefault="002E18C7">
            <w:pPr>
              <w:pBdr>
                <w:top w:val="none" w:sz="0" w:space="0" w:color="auto"/>
                <w:left w:val="none" w:sz="0" w:space="0" w:color="auto"/>
                <w:bottom w:val="none" w:sz="0" w:space="0" w:color="auto"/>
                <w:right w:val="none" w:sz="0" w:space="0" w:color="auto"/>
              </w:pBdr>
              <w:textAlignment w:val="top"/>
            </w:pPr>
            <w:hyperlink r:id="rId42" w:history="1">
              <w:r>
                <w:rPr>
                  <w:rStyle w:val="a5"/>
                  <w:rFonts w:ascii="sans-serif" w:eastAsia="sans-serif" w:hAnsi="sans-serif" w:cs="sans-serif"/>
                  <w:sz w:val="20"/>
                  <w:szCs w:val="20"/>
                </w:rPr>
                <w:t>Form of 20</w:t>
              </w:r>
            </w:hyperlink>
            <w:hyperlink r:id="rId43" w:history="1">
              <w:r>
                <w:rPr>
                  <w:rStyle w:val="a5"/>
                  <w:rFonts w:ascii="sans-serif" w:eastAsia="sans-serif" w:hAnsi="sans-serif" w:cs="sans-serif"/>
                  <w:sz w:val="20"/>
                  <w:szCs w:val="20"/>
                </w:rPr>
                <w:t>31</w:t>
              </w:r>
            </w:hyperlink>
            <w:hyperlink r:id="rId44" w:history="1">
              <w:r>
                <w:rPr>
                  <w:rStyle w:val="a5"/>
                  <w:rFonts w:ascii="sans-serif" w:eastAsia="sans-serif" w:hAnsi="sans-serif" w:cs="sans-serif"/>
                  <w:sz w:val="20"/>
                  <w:szCs w:val="20"/>
                </w:rPr>
                <w:t xml:space="preserve"> Note</w:t>
              </w:r>
            </w:hyperlink>
          </w:p>
        </w:tc>
        <w:tc>
          <w:tcPr>
            <w:tcW w:w="0" w:type="auto"/>
            <w:gridSpan w:val="3"/>
            <w:shd w:val="clear" w:color="auto" w:fill="auto"/>
            <w:tcMar>
              <w:top w:w="0" w:type="dxa"/>
              <w:left w:w="20" w:type="dxa"/>
              <w:bottom w:w="0" w:type="dxa"/>
              <w:right w:w="20" w:type="dxa"/>
            </w:tcMar>
            <w:vAlign w:val="bottom"/>
          </w:tcPr>
          <w:p w14:paraId="54067B09"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B0A" w14:textId="77777777" w:rsidR="00611BDD" w:rsidRDefault="002E18C7">
            <w:pPr>
              <w:jc w:val="center"/>
              <w:textAlignment w:val="top"/>
            </w:pPr>
            <w:r>
              <w:rPr>
                <w:rFonts w:ascii="sans-serif" w:eastAsia="sans-serif" w:hAnsi="sans-serif" w:cs="sans-serif"/>
                <w:color w:val="000000"/>
                <w:sz w:val="20"/>
                <w:szCs w:val="20"/>
              </w:rPr>
              <w:t>8-K</w:t>
            </w:r>
          </w:p>
        </w:tc>
        <w:tc>
          <w:tcPr>
            <w:tcW w:w="0" w:type="auto"/>
            <w:gridSpan w:val="3"/>
            <w:shd w:val="clear" w:color="auto" w:fill="auto"/>
            <w:tcMar>
              <w:top w:w="0" w:type="dxa"/>
              <w:left w:w="20" w:type="dxa"/>
              <w:bottom w:w="0" w:type="dxa"/>
              <w:right w:w="20" w:type="dxa"/>
            </w:tcMar>
            <w:vAlign w:val="bottom"/>
          </w:tcPr>
          <w:p w14:paraId="54067B0B"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B0C" w14:textId="77777777" w:rsidR="00611BDD" w:rsidRDefault="002E18C7">
            <w:pPr>
              <w:jc w:val="center"/>
              <w:textAlignment w:val="top"/>
            </w:pPr>
            <w:r>
              <w:rPr>
                <w:rFonts w:ascii="sans-serif" w:eastAsia="sans-serif" w:hAnsi="sans-serif" w:cs="sans-serif"/>
                <w:color w:val="000000"/>
                <w:sz w:val="20"/>
                <w:szCs w:val="20"/>
              </w:rPr>
              <w:t>000-23985</w:t>
            </w:r>
          </w:p>
        </w:tc>
        <w:tc>
          <w:tcPr>
            <w:tcW w:w="0" w:type="auto"/>
            <w:gridSpan w:val="3"/>
            <w:shd w:val="clear" w:color="auto" w:fill="auto"/>
            <w:tcMar>
              <w:top w:w="0" w:type="dxa"/>
              <w:left w:w="20" w:type="dxa"/>
              <w:bottom w:w="0" w:type="dxa"/>
              <w:right w:w="20" w:type="dxa"/>
            </w:tcMar>
            <w:vAlign w:val="bottom"/>
          </w:tcPr>
          <w:p w14:paraId="54067B0D"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B0E" w14:textId="77777777" w:rsidR="00611BDD" w:rsidRDefault="002E18C7">
            <w:pPr>
              <w:jc w:val="center"/>
              <w:textAlignment w:val="top"/>
            </w:pPr>
            <w:r>
              <w:rPr>
                <w:rFonts w:ascii="sans-serif" w:eastAsia="sans-serif" w:hAnsi="sans-serif" w:cs="sans-serif"/>
                <w:color w:val="000000"/>
                <w:sz w:val="20"/>
                <w:szCs w:val="20"/>
              </w:rPr>
              <w:t>Annex D-1 to Exhibit 4.2</w:t>
            </w:r>
          </w:p>
        </w:tc>
        <w:tc>
          <w:tcPr>
            <w:tcW w:w="0" w:type="auto"/>
            <w:gridSpan w:val="3"/>
            <w:shd w:val="clear" w:color="auto" w:fill="auto"/>
            <w:tcMar>
              <w:top w:w="0" w:type="dxa"/>
              <w:left w:w="20" w:type="dxa"/>
              <w:bottom w:w="0" w:type="dxa"/>
              <w:right w:w="20" w:type="dxa"/>
            </w:tcMar>
            <w:vAlign w:val="bottom"/>
          </w:tcPr>
          <w:p w14:paraId="54067B0F"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B10" w14:textId="77777777" w:rsidR="00611BDD" w:rsidRDefault="002E18C7">
            <w:pPr>
              <w:jc w:val="center"/>
              <w:textAlignment w:val="top"/>
            </w:pPr>
            <w:r>
              <w:rPr>
                <w:rFonts w:ascii="sans-serif" w:eastAsia="sans-serif" w:hAnsi="sans-serif" w:cs="sans-serif"/>
                <w:color w:val="000000"/>
                <w:sz w:val="20"/>
                <w:szCs w:val="20"/>
              </w:rPr>
              <w:t>6/16/2021</w:t>
            </w:r>
          </w:p>
        </w:tc>
      </w:tr>
      <w:tr w:rsidR="00611BDD" w14:paraId="54067B1D" w14:textId="77777777">
        <w:tc>
          <w:tcPr>
            <w:tcW w:w="0" w:type="auto"/>
            <w:gridSpan w:val="3"/>
            <w:shd w:val="clear" w:color="auto" w:fill="auto"/>
            <w:tcMar>
              <w:top w:w="40" w:type="dxa"/>
              <w:left w:w="20" w:type="dxa"/>
              <w:bottom w:w="40" w:type="dxa"/>
              <w:right w:w="20" w:type="dxa"/>
            </w:tcMar>
          </w:tcPr>
          <w:p w14:paraId="54067B12" w14:textId="77777777" w:rsidR="00611BDD" w:rsidRDefault="002E18C7">
            <w:pPr>
              <w:jc w:val="center"/>
              <w:textAlignment w:val="top"/>
            </w:pPr>
            <w:r>
              <w:rPr>
                <w:rFonts w:ascii="sans-serif" w:eastAsia="sans-serif" w:hAnsi="sans-serif" w:cs="sans-serif"/>
                <w:color w:val="000000"/>
                <w:sz w:val="20"/>
                <w:szCs w:val="20"/>
              </w:rPr>
              <w:t>10.1**+</w:t>
            </w:r>
          </w:p>
        </w:tc>
        <w:tc>
          <w:tcPr>
            <w:tcW w:w="0" w:type="auto"/>
            <w:gridSpan w:val="3"/>
            <w:shd w:val="clear" w:color="auto" w:fill="auto"/>
            <w:tcMar>
              <w:top w:w="0" w:type="dxa"/>
              <w:left w:w="20" w:type="dxa"/>
              <w:bottom w:w="0" w:type="dxa"/>
              <w:right w:w="20" w:type="dxa"/>
            </w:tcMar>
            <w:vAlign w:val="bottom"/>
          </w:tcPr>
          <w:p w14:paraId="54067B13"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B14" w14:textId="77777777" w:rsidR="00611BDD" w:rsidRDefault="002E18C7">
            <w:pPr>
              <w:pBdr>
                <w:top w:val="none" w:sz="0" w:space="0" w:color="auto"/>
                <w:left w:val="none" w:sz="0" w:space="0" w:color="auto"/>
                <w:bottom w:val="none" w:sz="0" w:space="0" w:color="auto"/>
                <w:right w:val="none" w:sz="0" w:space="0" w:color="auto"/>
              </w:pBdr>
              <w:textAlignment w:val="top"/>
            </w:pPr>
            <w:hyperlink r:id="rId45" w:history="1">
              <w:r>
                <w:rPr>
                  <w:rStyle w:val="a5"/>
                  <w:rFonts w:ascii="sans-serif" w:eastAsia="sans-serif" w:hAnsi="sans-serif" w:cs="sans-serif"/>
                  <w:sz w:val="20"/>
                  <w:szCs w:val="20"/>
                </w:rPr>
                <w:t>Amended and Restated 2007 Equity Incentive Plan</w:t>
              </w:r>
            </w:hyperlink>
          </w:p>
        </w:tc>
        <w:tc>
          <w:tcPr>
            <w:tcW w:w="0" w:type="auto"/>
            <w:gridSpan w:val="3"/>
            <w:shd w:val="clear" w:color="auto" w:fill="auto"/>
            <w:tcMar>
              <w:top w:w="0" w:type="dxa"/>
              <w:left w:w="20" w:type="dxa"/>
              <w:bottom w:w="0" w:type="dxa"/>
              <w:right w:w="20" w:type="dxa"/>
            </w:tcMar>
            <w:vAlign w:val="bottom"/>
          </w:tcPr>
          <w:p w14:paraId="54067B15"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16"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17"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18"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19"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1A"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1B"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1C" w14:textId="77777777" w:rsidR="00611BDD" w:rsidRDefault="00611BDD">
            <w:pPr>
              <w:rPr>
                <w:rFonts w:ascii="宋体"/>
              </w:rPr>
            </w:pPr>
          </w:p>
        </w:tc>
      </w:tr>
      <w:tr w:rsidR="00611BDD" w14:paraId="54067B29" w14:textId="77777777">
        <w:tc>
          <w:tcPr>
            <w:tcW w:w="0" w:type="auto"/>
            <w:gridSpan w:val="3"/>
            <w:shd w:val="clear" w:color="auto" w:fill="auto"/>
            <w:tcMar>
              <w:top w:w="40" w:type="dxa"/>
              <w:left w:w="20" w:type="dxa"/>
              <w:bottom w:w="40" w:type="dxa"/>
              <w:right w:w="20" w:type="dxa"/>
            </w:tcMar>
          </w:tcPr>
          <w:p w14:paraId="54067B1E" w14:textId="77777777" w:rsidR="00611BDD" w:rsidRDefault="002E18C7">
            <w:pPr>
              <w:jc w:val="center"/>
              <w:textAlignment w:val="top"/>
            </w:pPr>
            <w:r>
              <w:rPr>
                <w:rFonts w:ascii="sans-serif" w:eastAsia="sans-serif" w:hAnsi="sans-serif" w:cs="sans-serif"/>
                <w:color w:val="000000"/>
                <w:sz w:val="20"/>
                <w:szCs w:val="20"/>
              </w:rPr>
              <w:t>10.2**+</w:t>
            </w:r>
          </w:p>
        </w:tc>
        <w:tc>
          <w:tcPr>
            <w:tcW w:w="0" w:type="auto"/>
            <w:gridSpan w:val="3"/>
            <w:shd w:val="clear" w:color="auto" w:fill="auto"/>
            <w:tcMar>
              <w:top w:w="0" w:type="dxa"/>
              <w:left w:w="20" w:type="dxa"/>
              <w:bottom w:w="0" w:type="dxa"/>
              <w:right w:w="20" w:type="dxa"/>
            </w:tcMar>
            <w:vAlign w:val="bottom"/>
          </w:tcPr>
          <w:p w14:paraId="54067B1F"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B20" w14:textId="77777777" w:rsidR="00611BDD" w:rsidRDefault="002E18C7">
            <w:pPr>
              <w:pBdr>
                <w:top w:val="none" w:sz="0" w:space="0" w:color="auto"/>
                <w:left w:val="none" w:sz="0" w:space="0" w:color="auto"/>
                <w:bottom w:val="none" w:sz="0" w:space="0" w:color="auto"/>
                <w:right w:val="none" w:sz="0" w:space="0" w:color="auto"/>
              </w:pBdr>
              <w:textAlignment w:val="top"/>
            </w:pPr>
            <w:hyperlink r:id="rId46" w:history="1">
              <w:r>
                <w:rPr>
                  <w:rStyle w:val="a5"/>
                  <w:rFonts w:ascii="sans-serif" w:eastAsia="sans-serif" w:hAnsi="sans-serif" w:cs="sans-serif"/>
                  <w:sz w:val="20"/>
                  <w:szCs w:val="20"/>
                </w:rPr>
                <w:t>Amended and Restated 2012 Employee Stock Purchase Plan</w:t>
              </w:r>
            </w:hyperlink>
          </w:p>
        </w:tc>
        <w:tc>
          <w:tcPr>
            <w:tcW w:w="0" w:type="auto"/>
            <w:gridSpan w:val="3"/>
            <w:shd w:val="clear" w:color="auto" w:fill="auto"/>
            <w:tcMar>
              <w:top w:w="0" w:type="dxa"/>
              <w:left w:w="20" w:type="dxa"/>
              <w:bottom w:w="0" w:type="dxa"/>
              <w:right w:w="20" w:type="dxa"/>
            </w:tcMar>
            <w:vAlign w:val="bottom"/>
          </w:tcPr>
          <w:p w14:paraId="54067B21"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22"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23"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24"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25"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26"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27"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28" w14:textId="77777777" w:rsidR="00611BDD" w:rsidRDefault="00611BDD">
            <w:pPr>
              <w:rPr>
                <w:rFonts w:ascii="宋体"/>
              </w:rPr>
            </w:pPr>
          </w:p>
        </w:tc>
      </w:tr>
      <w:tr w:rsidR="00611BDD" w14:paraId="54067B35" w14:textId="77777777">
        <w:tc>
          <w:tcPr>
            <w:tcW w:w="0" w:type="auto"/>
            <w:gridSpan w:val="3"/>
            <w:shd w:val="clear" w:color="auto" w:fill="auto"/>
            <w:tcMar>
              <w:top w:w="40" w:type="dxa"/>
              <w:left w:w="20" w:type="dxa"/>
              <w:bottom w:w="40" w:type="dxa"/>
              <w:right w:w="20" w:type="dxa"/>
            </w:tcMar>
          </w:tcPr>
          <w:p w14:paraId="54067B2A" w14:textId="77777777" w:rsidR="00611BDD" w:rsidRDefault="002E18C7">
            <w:pPr>
              <w:jc w:val="center"/>
              <w:textAlignment w:val="top"/>
            </w:pPr>
            <w:r>
              <w:rPr>
                <w:rFonts w:ascii="sans-serif" w:eastAsia="sans-serif" w:hAnsi="sans-serif" w:cs="sans-serif"/>
                <w:color w:val="000000"/>
                <w:sz w:val="20"/>
                <w:szCs w:val="20"/>
              </w:rPr>
              <w:t>31.1**</w:t>
            </w:r>
          </w:p>
        </w:tc>
        <w:tc>
          <w:tcPr>
            <w:tcW w:w="0" w:type="auto"/>
            <w:gridSpan w:val="3"/>
            <w:shd w:val="clear" w:color="auto" w:fill="auto"/>
            <w:tcMar>
              <w:top w:w="0" w:type="dxa"/>
              <w:left w:w="20" w:type="dxa"/>
              <w:bottom w:w="0" w:type="dxa"/>
              <w:right w:w="20" w:type="dxa"/>
            </w:tcMar>
            <w:vAlign w:val="bottom"/>
          </w:tcPr>
          <w:p w14:paraId="54067B2B"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B2C" w14:textId="77777777" w:rsidR="00611BDD" w:rsidRDefault="002E18C7">
            <w:pPr>
              <w:pBdr>
                <w:top w:val="none" w:sz="0" w:space="0" w:color="auto"/>
                <w:left w:val="none" w:sz="0" w:space="0" w:color="auto"/>
                <w:bottom w:val="none" w:sz="0" w:space="0" w:color="auto"/>
                <w:right w:val="none" w:sz="0" w:space="0" w:color="auto"/>
              </w:pBdr>
              <w:textAlignment w:val="top"/>
            </w:pPr>
            <w:hyperlink r:id="rId47" w:history="1">
              <w:r>
                <w:rPr>
                  <w:rStyle w:val="a5"/>
                  <w:rFonts w:ascii="sans-serif" w:eastAsia="sans-serif" w:hAnsi="sans-serif" w:cs="sans-serif"/>
                  <w:sz w:val="20"/>
                  <w:szCs w:val="20"/>
                </w:rPr>
                <w:t>Certification of Chief Executive Officer as required by Rule 13a-14(a) of the Securities Exchange Act of 1934</w:t>
              </w:r>
            </w:hyperlink>
          </w:p>
        </w:tc>
        <w:tc>
          <w:tcPr>
            <w:tcW w:w="0" w:type="auto"/>
            <w:gridSpan w:val="3"/>
            <w:shd w:val="clear" w:color="auto" w:fill="auto"/>
            <w:tcMar>
              <w:top w:w="0" w:type="dxa"/>
              <w:left w:w="20" w:type="dxa"/>
              <w:bottom w:w="0" w:type="dxa"/>
              <w:right w:w="20" w:type="dxa"/>
            </w:tcMar>
            <w:vAlign w:val="bottom"/>
          </w:tcPr>
          <w:p w14:paraId="54067B2D"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2E"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2F"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30"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31"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32"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33"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34" w14:textId="77777777" w:rsidR="00611BDD" w:rsidRDefault="00611BDD">
            <w:pPr>
              <w:rPr>
                <w:rFonts w:ascii="宋体"/>
              </w:rPr>
            </w:pPr>
          </w:p>
        </w:tc>
      </w:tr>
      <w:tr w:rsidR="00611BDD" w14:paraId="54067B41" w14:textId="77777777">
        <w:tc>
          <w:tcPr>
            <w:tcW w:w="0" w:type="auto"/>
            <w:gridSpan w:val="3"/>
            <w:shd w:val="clear" w:color="auto" w:fill="auto"/>
            <w:tcMar>
              <w:top w:w="40" w:type="dxa"/>
              <w:left w:w="20" w:type="dxa"/>
              <w:bottom w:w="40" w:type="dxa"/>
              <w:right w:w="20" w:type="dxa"/>
            </w:tcMar>
          </w:tcPr>
          <w:p w14:paraId="54067B36" w14:textId="77777777" w:rsidR="00611BDD" w:rsidRDefault="002E18C7">
            <w:pPr>
              <w:jc w:val="center"/>
              <w:textAlignment w:val="top"/>
            </w:pPr>
            <w:r>
              <w:rPr>
                <w:rFonts w:ascii="sans-serif" w:eastAsia="sans-serif" w:hAnsi="sans-serif" w:cs="sans-serif"/>
                <w:color w:val="000000"/>
                <w:sz w:val="20"/>
                <w:szCs w:val="20"/>
              </w:rPr>
              <w:t>31.2**</w:t>
            </w:r>
          </w:p>
        </w:tc>
        <w:tc>
          <w:tcPr>
            <w:tcW w:w="0" w:type="auto"/>
            <w:gridSpan w:val="3"/>
            <w:shd w:val="clear" w:color="auto" w:fill="auto"/>
            <w:tcMar>
              <w:top w:w="0" w:type="dxa"/>
              <w:left w:w="20" w:type="dxa"/>
              <w:bottom w:w="0" w:type="dxa"/>
              <w:right w:w="20" w:type="dxa"/>
            </w:tcMar>
            <w:vAlign w:val="bottom"/>
          </w:tcPr>
          <w:p w14:paraId="54067B37"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B38" w14:textId="77777777" w:rsidR="00611BDD" w:rsidRDefault="002E18C7">
            <w:pPr>
              <w:pBdr>
                <w:top w:val="none" w:sz="0" w:space="0" w:color="auto"/>
                <w:left w:val="none" w:sz="0" w:space="0" w:color="auto"/>
                <w:bottom w:val="none" w:sz="0" w:space="0" w:color="auto"/>
                <w:right w:val="none" w:sz="0" w:space="0" w:color="auto"/>
              </w:pBdr>
              <w:textAlignment w:val="top"/>
            </w:pPr>
            <w:hyperlink r:id="rId48" w:history="1">
              <w:r>
                <w:rPr>
                  <w:rStyle w:val="a5"/>
                  <w:rFonts w:ascii="sans-serif" w:eastAsia="sans-serif" w:hAnsi="sans-serif" w:cs="sans-serif"/>
                  <w:sz w:val="20"/>
                  <w:szCs w:val="20"/>
                </w:rPr>
                <w:t>Certification of Chief Financial Officer as required by Rule 13a-14(a) of the Securities Exchange Act of 1934</w:t>
              </w:r>
            </w:hyperlink>
          </w:p>
        </w:tc>
        <w:tc>
          <w:tcPr>
            <w:tcW w:w="0" w:type="auto"/>
            <w:gridSpan w:val="3"/>
            <w:shd w:val="clear" w:color="auto" w:fill="auto"/>
            <w:tcMar>
              <w:top w:w="0" w:type="dxa"/>
              <w:left w:w="20" w:type="dxa"/>
              <w:bottom w:w="0" w:type="dxa"/>
              <w:right w:w="20" w:type="dxa"/>
            </w:tcMar>
            <w:vAlign w:val="bottom"/>
          </w:tcPr>
          <w:p w14:paraId="54067B39"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3A"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3B"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3C"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3D"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3E"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3F"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40" w14:textId="77777777" w:rsidR="00611BDD" w:rsidRDefault="00611BDD">
            <w:pPr>
              <w:rPr>
                <w:rFonts w:ascii="宋体"/>
              </w:rPr>
            </w:pPr>
          </w:p>
        </w:tc>
      </w:tr>
      <w:tr w:rsidR="00611BDD" w14:paraId="54067B4D" w14:textId="77777777">
        <w:tc>
          <w:tcPr>
            <w:tcW w:w="0" w:type="auto"/>
            <w:gridSpan w:val="3"/>
            <w:shd w:val="clear" w:color="auto" w:fill="auto"/>
            <w:tcMar>
              <w:top w:w="40" w:type="dxa"/>
              <w:left w:w="20" w:type="dxa"/>
              <w:bottom w:w="40" w:type="dxa"/>
              <w:right w:w="20" w:type="dxa"/>
            </w:tcMar>
          </w:tcPr>
          <w:p w14:paraId="54067B42" w14:textId="77777777" w:rsidR="00611BDD" w:rsidRDefault="002E18C7">
            <w:pPr>
              <w:jc w:val="center"/>
              <w:textAlignment w:val="top"/>
            </w:pPr>
            <w:r>
              <w:rPr>
                <w:rFonts w:ascii="sans-serif" w:eastAsia="sans-serif" w:hAnsi="sans-serif" w:cs="sans-serif"/>
                <w:color w:val="000000"/>
                <w:sz w:val="20"/>
                <w:szCs w:val="20"/>
              </w:rPr>
              <w:t>32.1#**</w:t>
            </w:r>
          </w:p>
        </w:tc>
        <w:tc>
          <w:tcPr>
            <w:tcW w:w="0" w:type="auto"/>
            <w:gridSpan w:val="3"/>
            <w:shd w:val="clear" w:color="auto" w:fill="auto"/>
            <w:tcMar>
              <w:top w:w="0" w:type="dxa"/>
              <w:left w:w="20" w:type="dxa"/>
              <w:bottom w:w="0" w:type="dxa"/>
              <w:right w:w="20" w:type="dxa"/>
            </w:tcMar>
            <w:vAlign w:val="bottom"/>
          </w:tcPr>
          <w:p w14:paraId="54067B43"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B44" w14:textId="77777777" w:rsidR="00611BDD" w:rsidRDefault="002E18C7">
            <w:pPr>
              <w:pBdr>
                <w:top w:val="none" w:sz="0" w:space="0" w:color="auto"/>
                <w:left w:val="none" w:sz="0" w:space="0" w:color="auto"/>
                <w:bottom w:val="none" w:sz="0" w:space="0" w:color="auto"/>
                <w:right w:val="none" w:sz="0" w:space="0" w:color="auto"/>
              </w:pBdr>
              <w:textAlignment w:val="top"/>
            </w:pPr>
            <w:hyperlink r:id="rId49" w:history="1">
              <w:r>
                <w:rPr>
                  <w:rStyle w:val="a5"/>
                  <w:rFonts w:ascii="sans-serif" w:eastAsia="sans-serif" w:hAnsi="sans-serif" w:cs="sans-serif"/>
                  <w:sz w:val="20"/>
                  <w:szCs w:val="20"/>
                </w:rPr>
                <w:t>Certification of Chief Executive Officer as required by Rule 13a-14(b) of the Securities Exchange Act of 1934</w:t>
              </w:r>
            </w:hyperlink>
          </w:p>
        </w:tc>
        <w:tc>
          <w:tcPr>
            <w:tcW w:w="0" w:type="auto"/>
            <w:gridSpan w:val="3"/>
            <w:shd w:val="clear" w:color="auto" w:fill="auto"/>
            <w:tcMar>
              <w:top w:w="0" w:type="dxa"/>
              <w:left w:w="20" w:type="dxa"/>
              <w:bottom w:w="0" w:type="dxa"/>
              <w:right w:w="20" w:type="dxa"/>
            </w:tcMar>
            <w:vAlign w:val="bottom"/>
          </w:tcPr>
          <w:p w14:paraId="54067B45"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46"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47"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48"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49"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4A"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4B"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4C" w14:textId="77777777" w:rsidR="00611BDD" w:rsidRDefault="00611BDD">
            <w:pPr>
              <w:rPr>
                <w:rFonts w:ascii="宋体"/>
              </w:rPr>
            </w:pPr>
          </w:p>
        </w:tc>
      </w:tr>
      <w:tr w:rsidR="00611BDD" w14:paraId="54067B59" w14:textId="77777777">
        <w:tc>
          <w:tcPr>
            <w:tcW w:w="0" w:type="auto"/>
            <w:gridSpan w:val="3"/>
            <w:shd w:val="clear" w:color="auto" w:fill="auto"/>
            <w:tcMar>
              <w:top w:w="40" w:type="dxa"/>
              <w:left w:w="20" w:type="dxa"/>
              <w:bottom w:w="40" w:type="dxa"/>
              <w:right w:w="20" w:type="dxa"/>
            </w:tcMar>
          </w:tcPr>
          <w:p w14:paraId="54067B4E" w14:textId="77777777" w:rsidR="00611BDD" w:rsidRDefault="002E18C7">
            <w:pPr>
              <w:jc w:val="center"/>
              <w:textAlignment w:val="top"/>
            </w:pPr>
            <w:r>
              <w:rPr>
                <w:rFonts w:ascii="sans-serif" w:eastAsia="sans-serif" w:hAnsi="sans-serif" w:cs="sans-serif"/>
                <w:color w:val="000000"/>
                <w:sz w:val="20"/>
                <w:szCs w:val="20"/>
              </w:rPr>
              <w:t>32.2#**</w:t>
            </w:r>
          </w:p>
        </w:tc>
        <w:tc>
          <w:tcPr>
            <w:tcW w:w="0" w:type="auto"/>
            <w:gridSpan w:val="3"/>
            <w:shd w:val="clear" w:color="auto" w:fill="auto"/>
            <w:tcMar>
              <w:top w:w="0" w:type="dxa"/>
              <w:left w:w="20" w:type="dxa"/>
              <w:bottom w:w="0" w:type="dxa"/>
              <w:right w:w="20" w:type="dxa"/>
            </w:tcMar>
            <w:vAlign w:val="bottom"/>
          </w:tcPr>
          <w:p w14:paraId="54067B4F"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B50" w14:textId="77777777" w:rsidR="00611BDD" w:rsidRDefault="002E18C7">
            <w:pPr>
              <w:pBdr>
                <w:top w:val="none" w:sz="0" w:space="0" w:color="auto"/>
                <w:left w:val="none" w:sz="0" w:space="0" w:color="auto"/>
                <w:bottom w:val="none" w:sz="0" w:space="0" w:color="auto"/>
                <w:right w:val="none" w:sz="0" w:space="0" w:color="auto"/>
              </w:pBdr>
              <w:textAlignment w:val="top"/>
            </w:pPr>
            <w:hyperlink r:id="rId50" w:history="1">
              <w:r>
                <w:rPr>
                  <w:rStyle w:val="a5"/>
                  <w:rFonts w:ascii="sans-serif" w:eastAsia="sans-serif" w:hAnsi="sans-serif" w:cs="sans-serif"/>
                  <w:sz w:val="20"/>
                  <w:szCs w:val="20"/>
                </w:rPr>
                <w:t>Certification of Chief Financial Officer as required by Rule 13a-14(b) of the Securities Exchange Act of 1934</w:t>
              </w:r>
            </w:hyperlink>
          </w:p>
        </w:tc>
        <w:tc>
          <w:tcPr>
            <w:tcW w:w="0" w:type="auto"/>
            <w:gridSpan w:val="3"/>
            <w:shd w:val="clear" w:color="auto" w:fill="auto"/>
            <w:tcMar>
              <w:top w:w="0" w:type="dxa"/>
              <w:left w:w="20" w:type="dxa"/>
              <w:bottom w:w="0" w:type="dxa"/>
              <w:right w:w="20" w:type="dxa"/>
            </w:tcMar>
            <w:vAlign w:val="bottom"/>
          </w:tcPr>
          <w:p w14:paraId="54067B51"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52"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53"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54"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55"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56"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57"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58" w14:textId="77777777" w:rsidR="00611BDD" w:rsidRDefault="00611BDD">
            <w:pPr>
              <w:rPr>
                <w:rFonts w:ascii="宋体"/>
              </w:rPr>
            </w:pPr>
          </w:p>
        </w:tc>
      </w:tr>
      <w:tr w:rsidR="00611BDD" w14:paraId="54067B65" w14:textId="77777777">
        <w:tc>
          <w:tcPr>
            <w:tcW w:w="0" w:type="auto"/>
            <w:gridSpan w:val="3"/>
            <w:shd w:val="clear" w:color="auto" w:fill="auto"/>
            <w:tcMar>
              <w:top w:w="40" w:type="dxa"/>
              <w:left w:w="20" w:type="dxa"/>
              <w:bottom w:w="40" w:type="dxa"/>
              <w:right w:w="20" w:type="dxa"/>
            </w:tcMar>
          </w:tcPr>
          <w:p w14:paraId="54067B5A" w14:textId="77777777" w:rsidR="00611BDD" w:rsidRDefault="002E18C7">
            <w:pPr>
              <w:jc w:val="center"/>
              <w:textAlignment w:val="top"/>
            </w:pPr>
            <w:r>
              <w:rPr>
                <w:rFonts w:ascii="sans-serif" w:eastAsia="sans-serif" w:hAnsi="sans-serif" w:cs="sans-serif"/>
                <w:color w:val="000000"/>
                <w:sz w:val="20"/>
                <w:szCs w:val="20"/>
              </w:rPr>
              <w:t>101.INS**</w:t>
            </w:r>
          </w:p>
        </w:tc>
        <w:tc>
          <w:tcPr>
            <w:tcW w:w="0" w:type="auto"/>
            <w:gridSpan w:val="3"/>
            <w:shd w:val="clear" w:color="auto" w:fill="auto"/>
            <w:tcMar>
              <w:top w:w="0" w:type="dxa"/>
              <w:left w:w="20" w:type="dxa"/>
              <w:bottom w:w="0" w:type="dxa"/>
              <w:right w:w="20" w:type="dxa"/>
            </w:tcMar>
            <w:vAlign w:val="bottom"/>
          </w:tcPr>
          <w:p w14:paraId="54067B5B"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B5C" w14:textId="77777777" w:rsidR="00611BDD" w:rsidRDefault="002E18C7">
            <w:pPr>
              <w:textAlignment w:val="top"/>
            </w:pPr>
            <w:r>
              <w:rPr>
                <w:rFonts w:ascii="sans-serif" w:eastAsia="sans-serif" w:hAnsi="sans-serif" w:cs="sans-serif"/>
                <w:color w:val="000000"/>
                <w:sz w:val="20"/>
                <w:szCs w:val="20"/>
              </w:rPr>
              <w:t xml:space="preserve">Inline XBRL </w:t>
            </w:r>
            <w:r>
              <w:rPr>
                <w:rFonts w:ascii="sans-serif" w:eastAsia="sans-serif" w:hAnsi="sans-serif" w:cs="sans-serif"/>
                <w:color w:val="000000"/>
                <w:sz w:val="20"/>
                <w:szCs w:val="20"/>
              </w:rPr>
              <w:t>Instance Document - the instance document does not appear in the Interactive Data File because its XBRL tags are embedded within the Inline XBRL document.</w:t>
            </w:r>
          </w:p>
        </w:tc>
        <w:tc>
          <w:tcPr>
            <w:tcW w:w="0" w:type="auto"/>
            <w:gridSpan w:val="3"/>
            <w:shd w:val="clear" w:color="auto" w:fill="auto"/>
            <w:tcMar>
              <w:top w:w="0" w:type="dxa"/>
              <w:left w:w="20" w:type="dxa"/>
              <w:bottom w:w="0" w:type="dxa"/>
              <w:right w:w="20" w:type="dxa"/>
            </w:tcMar>
            <w:vAlign w:val="bottom"/>
          </w:tcPr>
          <w:p w14:paraId="54067B5D"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5E"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5F"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60"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61"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62"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63"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64" w14:textId="77777777" w:rsidR="00611BDD" w:rsidRDefault="00611BDD">
            <w:pPr>
              <w:rPr>
                <w:rFonts w:ascii="宋体"/>
              </w:rPr>
            </w:pPr>
          </w:p>
        </w:tc>
      </w:tr>
      <w:tr w:rsidR="00611BDD" w14:paraId="54067B71" w14:textId="77777777">
        <w:tc>
          <w:tcPr>
            <w:tcW w:w="0" w:type="auto"/>
            <w:gridSpan w:val="3"/>
            <w:shd w:val="clear" w:color="auto" w:fill="auto"/>
            <w:tcMar>
              <w:top w:w="40" w:type="dxa"/>
              <w:left w:w="20" w:type="dxa"/>
              <w:bottom w:w="40" w:type="dxa"/>
              <w:right w:w="20" w:type="dxa"/>
            </w:tcMar>
          </w:tcPr>
          <w:p w14:paraId="54067B66" w14:textId="77777777" w:rsidR="00611BDD" w:rsidRDefault="002E18C7">
            <w:pPr>
              <w:jc w:val="center"/>
              <w:textAlignment w:val="top"/>
            </w:pPr>
            <w:r>
              <w:rPr>
                <w:rFonts w:ascii="sans-serif" w:eastAsia="sans-serif" w:hAnsi="sans-serif" w:cs="sans-serif"/>
                <w:color w:val="000000"/>
                <w:sz w:val="20"/>
                <w:szCs w:val="20"/>
              </w:rPr>
              <w:t>101.SCH**</w:t>
            </w:r>
          </w:p>
        </w:tc>
        <w:tc>
          <w:tcPr>
            <w:tcW w:w="0" w:type="auto"/>
            <w:gridSpan w:val="3"/>
            <w:shd w:val="clear" w:color="auto" w:fill="auto"/>
            <w:tcMar>
              <w:top w:w="0" w:type="dxa"/>
              <w:left w:w="20" w:type="dxa"/>
              <w:bottom w:w="0" w:type="dxa"/>
              <w:right w:w="20" w:type="dxa"/>
            </w:tcMar>
            <w:vAlign w:val="bottom"/>
          </w:tcPr>
          <w:p w14:paraId="54067B67"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B68" w14:textId="77777777" w:rsidR="00611BDD" w:rsidRDefault="002E18C7">
            <w:pPr>
              <w:textAlignment w:val="top"/>
            </w:pPr>
            <w:r>
              <w:rPr>
                <w:rFonts w:ascii="sans-serif" w:eastAsia="sans-serif" w:hAnsi="sans-serif" w:cs="sans-serif"/>
                <w:color w:val="000000"/>
                <w:sz w:val="20"/>
                <w:szCs w:val="20"/>
              </w:rPr>
              <w:t>Inline XBRL Taxonomy Extension Schema Document</w:t>
            </w:r>
          </w:p>
        </w:tc>
        <w:tc>
          <w:tcPr>
            <w:tcW w:w="0" w:type="auto"/>
            <w:gridSpan w:val="3"/>
            <w:shd w:val="clear" w:color="auto" w:fill="auto"/>
            <w:tcMar>
              <w:top w:w="0" w:type="dxa"/>
              <w:left w:w="20" w:type="dxa"/>
              <w:bottom w:w="0" w:type="dxa"/>
              <w:right w:w="20" w:type="dxa"/>
            </w:tcMar>
            <w:vAlign w:val="bottom"/>
          </w:tcPr>
          <w:p w14:paraId="54067B69"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6A"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6B"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6C"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6D"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6E"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6F"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70" w14:textId="77777777" w:rsidR="00611BDD" w:rsidRDefault="00611BDD">
            <w:pPr>
              <w:rPr>
                <w:rFonts w:ascii="宋体"/>
              </w:rPr>
            </w:pPr>
          </w:p>
        </w:tc>
      </w:tr>
      <w:tr w:rsidR="00611BDD" w14:paraId="54067B7D" w14:textId="77777777">
        <w:tc>
          <w:tcPr>
            <w:tcW w:w="0" w:type="auto"/>
            <w:gridSpan w:val="3"/>
            <w:shd w:val="clear" w:color="auto" w:fill="auto"/>
            <w:tcMar>
              <w:top w:w="40" w:type="dxa"/>
              <w:left w:w="20" w:type="dxa"/>
              <w:bottom w:w="40" w:type="dxa"/>
              <w:right w:w="20" w:type="dxa"/>
            </w:tcMar>
          </w:tcPr>
          <w:p w14:paraId="54067B72" w14:textId="77777777" w:rsidR="00611BDD" w:rsidRDefault="002E18C7">
            <w:pPr>
              <w:jc w:val="center"/>
              <w:textAlignment w:val="top"/>
            </w:pPr>
            <w:r>
              <w:rPr>
                <w:rFonts w:ascii="sans-serif" w:eastAsia="sans-serif" w:hAnsi="sans-serif" w:cs="sans-serif"/>
                <w:color w:val="000000"/>
                <w:sz w:val="20"/>
                <w:szCs w:val="20"/>
              </w:rPr>
              <w:t>101.CAL**</w:t>
            </w:r>
          </w:p>
        </w:tc>
        <w:tc>
          <w:tcPr>
            <w:tcW w:w="0" w:type="auto"/>
            <w:gridSpan w:val="3"/>
            <w:shd w:val="clear" w:color="auto" w:fill="auto"/>
            <w:tcMar>
              <w:top w:w="0" w:type="dxa"/>
              <w:left w:w="20" w:type="dxa"/>
              <w:bottom w:w="0" w:type="dxa"/>
              <w:right w:w="20" w:type="dxa"/>
            </w:tcMar>
            <w:vAlign w:val="bottom"/>
          </w:tcPr>
          <w:p w14:paraId="54067B73"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B74" w14:textId="77777777" w:rsidR="00611BDD" w:rsidRDefault="002E18C7">
            <w:pPr>
              <w:textAlignment w:val="top"/>
            </w:pPr>
            <w:r>
              <w:rPr>
                <w:rFonts w:ascii="sans-serif" w:eastAsia="sans-serif" w:hAnsi="sans-serif" w:cs="sans-serif"/>
                <w:color w:val="000000"/>
                <w:sz w:val="20"/>
                <w:szCs w:val="20"/>
              </w:rPr>
              <w:t xml:space="preserve">Inline </w:t>
            </w:r>
            <w:r>
              <w:rPr>
                <w:rFonts w:ascii="sans-serif" w:eastAsia="sans-serif" w:hAnsi="sans-serif" w:cs="sans-serif"/>
                <w:color w:val="000000"/>
                <w:sz w:val="20"/>
                <w:szCs w:val="20"/>
              </w:rPr>
              <w:t>XBRL Taxonomy Extension Calculation Linkbase Document</w:t>
            </w:r>
          </w:p>
        </w:tc>
        <w:tc>
          <w:tcPr>
            <w:tcW w:w="0" w:type="auto"/>
            <w:gridSpan w:val="3"/>
            <w:shd w:val="clear" w:color="auto" w:fill="auto"/>
            <w:tcMar>
              <w:top w:w="0" w:type="dxa"/>
              <w:left w:w="20" w:type="dxa"/>
              <w:bottom w:w="0" w:type="dxa"/>
              <w:right w:w="20" w:type="dxa"/>
            </w:tcMar>
            <w:vAlign w:val="bottom"/>
          </w:tcPr>
          <w:p w14:paraId="54067B75"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76"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77"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78"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79"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7A"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7B"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7C" w14:textId="77777777" w:rsidR="00611BDD" w:rsidRDefault="00611BDD">
            <w:pPr>
              <w:rPr>
                <w:rFonts w:ascii="宋体"/>
              </w:rPr>
            </w:pPr>
          </w:p>
        </w:tc>
      </w:tr>
      <w:tr w:rsidR="00611BDD" w14:paraId="54067B89" w14:textId="77777777">
        <w:tc>
          <w:tcPr>
            <w:tcW w:w="0" w:type="auto"/>
            <w:gridSpan w:val="3"/>
            <w:shd w:val="clear" w:color="auto" w:fill="auto"/>
            <w:tcMar>
              <w:top w:w="40" w:type="dxa"/>
              <w:left w:w="20" w:type="dxa"/>
              <w:bottom w:w="40" w:type="dxa"/>
              <w:right w:w="20" w:type="dxa"/>
            </w:tcMar>
          </w:tcPr>
          <w:p w14:paraId="54067B7E" w14:textId="77777777" w:rsidR="00611BDD" w:rsidRDefault="002E18C7">
            <w:pPr>
              <w:jc w:val="center"/>
              <w:textAlignment w:val="top"/>
            </w:pPr>
            <w:r>
              <w:rPr>
                <w:rFonts w:ascii="sans-serif" w:eastAsia="sans-serif" w:hAnsi="sans-serif" w:cs="sans-serif"/>
                <w:color w:val="000000"/>
                <w:sz w:val="20"/>
                <w:szCs w:val="20"/>
              </w:rPr>
              <w:t>101.DEF**</w:t>
            </w:r>
          </w:p>
        </w:tc>
        <w:tc>
          <w:tcPr>
            <w:tcW w:w="0" w:type="auto"/>
            <w:gridSpan w:val="3"/>
            <w:shd w:val="clear" w:color="auto" w:fill="auto"/>
            <w:tcMar>
              <w:top w:w="0" w:type="dxa"/>
              <w:left w:w="20" w:type="dxa"/>
              <w:bottom w:w="0" w:type="dxa"/>
              <w:right w:w="20" w:type="dxa"/>
            </w:tcMar>
            <w:vAlign w:val="bottom"/>
          </w:tcPr>
          <w:p w14:paraId="54067B7F"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B80" w14:textId="77777777" w:rsidR="00611BDD" w:rsidRDefault="002E18C7">
            <w:pPr>
              <w:textAlignment w:val="top"/>
            </w:pPr>
            <w:r>
              <w:rPr>
                <w:rFonts w:ascii="sans-serif" w:eastAsia="sans-serif" w:hAnsi="sans-serif" w:cs="sans-serif"/>
                <w:color w:val="000000"/>
                <w:sz w:val="20"/>
                <w:szCs w:val="20"/>
              </w:rPr>
              <w:t>Inline XBRL Taxonomy Extension Definition Linkbase Document</w:t>
            </w:r>
          </w:p>
        </w:tc>
        <w:tc>
          <w:tcPr>
            <w:tcW w:w="0" w:type="auto"/>
            <w:gridSpan w:val="3"/>
            <w:shd w:val="clear" w:color="auto" w:fill="auto"/>
            <w:tcMar>
              <w:top w:w="0" w:type="dxa"/>
              <w:left w:w="20" w:type="dxa"/>
              <w:bottom w:w="0" w:type="dxa"/>
              <w:right w:w="20" w:type="dxa"/>
            </w:tcMar>
            <w:vAlign w:val="bottom"/>
          </w:tcPr>
          <w:p w14:paraId="54067B81"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82"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83"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84"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85"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86"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87"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88" w14:textId="77777777" w:rsidR="00611BDD" w:rsidRDefault="00611BDD">
            <w:pPr>
              <w:rPr>
                <w:rFonts w:ascii="宋体"/>
              </w:rPr>
            </w:pPr>
          </w:p>
        </w:tc>
      </w:tr>
      <w:tr w:rsidR="00611BDD" w14:paraId="54067B95" w14:textId="77777777">
        <w:tc>
          <w:tcPr>
            <w:tcW w:w="0" w:type="auto"/>
            <w:gridSpan w:val="3"/>
            <w:shd w:val="clear" w:color="auto" w:fill="auto"/>
            <w:tcMar>
              <w:top w:w="40" w:type="dxa"/>
              <w:left w:w="20" w:type="dxa"/>
              <w:bottom w:w="40" w:type="dxa"/>
              <w:right w:w="20" w:type="dxa"/>
            </w:tcMar>
          </w:tcPr>
          <w:p w14:paraId="54067B8A" w14:textId="77777777" w:rsidR="00611BDD" w:rsidRDefault="002E18C7">
            <w:pPr>
              <w:jc w:val="center"/>
              <w:textAlignment w:val="top"/>
            </w:pPr>
            <w:r>
              <w:rPr>
                <w:rFonts w:ascii="sans-serif" w:eastAsia="sans-serif" w:hAnsi="sans-serif" w:cs="sans-serif"/>
                <w:color w:val="000000"/>
                <w:sz w:val="20"/>
                <w:szCs w:val="20"/>
              </w:rPr>
              <w:t>101.LAB**</w:t>
            </w:r>
          </w:p>
        </w:tc>
        <w:tc>
          <w:tcPr>
            <w:tcW w:w="0" w:type="auto"/>
            <w:gridSpan w:val="3"/>
            <w:shd w:val="clear" w:color="auto" w:fill="auto"/>
            <w:tcMar>
              <w:top w:w="0" w:type="dxa"/>
              <w:left w:w="20" w:type="dxa"/>
              <w:bottom w:w="0" w:type="dxa"/>
              <w:right w:w="20" w:type="dxa"/>
            </w:tcMar>
            <w:vAlign w:val="bottom"/>
          </w:tcPr>
          <w:p w14:paraId="54067B8B"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B8C" w14:textId="77777777" w:rsidR="00611BDD" w:rsidRDefault="002E18C7">
            <w:pPr>
              <w:textAlignment w:val="top"/>
            </w:pPr>
            <w:r>
              <w:rPr>
                <w:rFonts w:ascii="sans-serif" w:eastAsia="sans-serif" w:hAnsi="sans-serif" w:cs="sans-serif"/>
                <w:color w:val="000000"/>
                <w:sz w:val="20"/>
                <w:szCs w:val="20"/>
              </w:rPr>
              <w:t>Inline XBRL Taxonomy Extension Labels Linkbase Document</w:t>
            </w:r>
          </w:p>
        </w:tc>
        <w:tc>
          <w:tcPr>
            <w:tcW w:w="0" w:type="auto"/>
            <w:gridSpan w:val="3"/>
            <w:shd w:val="clear" w:color="auto" w:fill="auto"/>
            <w:tcMar>
              <w:top w:w="0" w:type="dxa"/>
              <w:left w:w="20" w:type="dxa"/>
              <w:bottom w:w="0" w:type="dxa"/>
              <w:right w:w="20" w:type="dxa"/>
            </w:tcMar>
            <w:vAlign w:val="bottom"/>
          </w:tcPr>
          <w:p w14:paraId="54067B8D"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8E"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8F"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90"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91"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92"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93"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94" w14:textId="77777777" w:rsidR="00611BDD" w:rsidRDefault="00611BDD">
            <w:pPr>
              <w:rPr>
                <w:rFonts w:ascii="宋体"/>
              </w:rPr>
            </w:pPr>
          </w:p>
        </w:tc>
      </w:tr>
      <w:tr w:rsidR="00611BDD" w14:paraId="54067BA1" w14:textId="77777777">
        <w:tc>
          <w:tcPr>
            <w:tcW w:w="0" w:type="auto"/>
            <w:gridSpan w:val="3"/>
            <w:shd w:val="clear" w:color="auto" w:fill="auto"/>
            <w:tcMar>
              <w:top w:w="40" w:type="dxa"/>
              <w:left w:w="20" w:type="dxa"/>
              <w:bottom w:w="40" w:type="dxa"/>
              <w:right w:w="20" w:type="dxa"/>
            </w:tcMar>
          </w:tcPr>
          <w:p w14:paraId="54067B96" w14:textId="77777777" w:rsidR="00611BDD" w:rsidRDefault="002E18C7">
            <w:pPr>
              <w:jc w:val="center"/>
              <w:textAlignment w:val="top"/>
            </w:pPr>
            <w:r>
              <w:rPr>
                <w:rFonts w:ascii="sans-serif" w:eastAsia="sans-serif" w:hAnsi="sans-serif" w:cs="sans-serif"/>
                <w:color w:val="000000"/>
                <w:sz w:val="20"/>
                <w:szCs w:val="20"/>
              </w:rPr>
              <w:t>101.PRE**</w:t>
            </w:r>
          </w:p>
        </w:tc>
        <w:tc>
          <w:tcPr>
            <w:tcW w:w="0" w:type="auto"/>
            <w:gridSpan w:val="3"/>
            <w:shd w:val="clear" w:color="auto" w:fill="auto"/>
            <w:tcMar>
              <w:top w:w="0" w:type="dxa"/>
              <w:left w:w="20" w:type="dxa"/>
              <w:bottom w:w="0" w:type="dxa"/>
              <w:right w:w="20" w:type="dxa"/>
            </w:tcMar>
            <w:vAlign w:val="bottom"/>
          </w:tcPr>
          <w:p w14:paraId="54067B97"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B98" w14:textId="77777777" w:rsidR="00611BDD" w:rsidRDefault="002E18C7">
            <w:pPr>
              <w:textAlignment w:val="top"/>
            </w:pPr>
            <w:r>
              <w:rPr>
                <w:rFonts w:ascii="sans-serif" w:eastAsia="sans-serif" w:hAnsi="sans-serif" w:cs="sans-serif"/>
                <w:color w:val="000000"/>
                <w:sz w:val="20"/>
                <w:szCs w:val="20"/>
              </w:rPr>
              <w:t xml:space="preserve">Inline XBRL </w:t>
            </w:r>
            <w:r>
              <w:rPr>
                <w:rFonts w:ascii="sans-serif" w:eastAsia="sans-serif" w:hAnsi="sans-serif" w:cs="sans-serif"/>
                <w:color w:val="000000"/>
                <w:sz w:val="20"/>
                <w:szCs w:val="20"/>
              </w:rPr>
              <w:t>Taxonomy Extension Presentation Linkbase Document</w:t>
            </w:r>
          </w:p>
        </w:tc>
        <w:tc>
          <w:tcPr>
            <w:tcW w:w="0" w:type="auto"/>
            <w:gridSpan w:val="3"/>
            <w:shd w:val="clear" w:color="auto" w:fill="auto"/>
            <w:tcMar>
              <w:top w:w="0" w:type="dxa"/>
              <w:left w:w="20" w:type="dxa"/>
              <w:bottom w:w="0" w:type="dxa"/>
              <w:right w:w="20" w:type="dxa"/>
            </w:tcMar>
            <w:vAlign w:val="bottom"/>
          </w:tcPr>
          <w:p w14:paraId="54067B99"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9A"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9B"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9C"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9D"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9E"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9F"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A0" w14:textId="77777777" w:rsidR="00611BDD" w:rsidRDefault="00611BDD">
            <w:pPr>
              <w:rPr>
                <w:rFonts w:ascii="宋体"/>
              </w:rPr>
            </w:pPr>
          </w:p>
        </w:tc>
      </w:tr>
      <w:tr w:rsidR="00611BDD" w14:paraId="54067BAD" w14:textId="77777777">
        <w:tc>
          <w:tcPr>
            <w:tcW w:w="0" w:type="auto"/>
            <w:gridSpan w:val="3"/>
            <w:shd w:val="clear" w:color="auto" w:fill="auto"/>
            <w:tcMar>
              <w:top w:w="40" w:type="dxa"/>
              <w:left w:w="20" w:type="dxa"/>
              <w:bottom w:w="40" w:type="dxa"/>
              <w:right w:w="20" w:type="dxa"/>
            </w:tcMar>
          </w:tcPr>
          <w:p w14:paraId="54067BA2" w14:textId="77777777" w:rsidR="00611BDD" w:rsidRDefault="002E18C7">
            <w:pPr>
              <w:jc w:val="center"/>
              <w:textAlignment w:val="top"/>
            </w:pPr>
            <w:r>
              <w:rPr>
                <w:rFonts w:ascii="sans-serif" w:eastAsia="sans-serif" w:hAnsi="sans-serif" w:cs="sans-serif"/>
                <w:color w:val="000000"/>
                <w:sz w:val="20"/>
                <w:szCs w:val="20"/>
              </w:rPr>
              <w:t>104</w:t>
            </w:r>
          </w:p>
        </w:tc>
        <w:tc>
          <w:tcPr>
            <w:tcW w:w="0" w:type="auto"/>
            <w:gridSpan w:val="3"/>
            <w:shd w:val="clear" w:color="auto" w:fill="auto"/>
            <w:tcMar>
              <w:top w:w="0" w:type="dxa"/>
              <w:left w:w="20" w:type="dxa"/>
              <w:bottom w:w="0" w:type="dxa"/>
              <w:right w:w="20" w:type="dxa"/>
            </w:tcMar>
            <w:vAlign w:val="bottom"/>
          </w:tcPr>
          <w:p w14:paraId="54067BA3" w14:textId="77777777" w:rsidR="00611BDD" w:rsidRDefault="00611BDD">
            <w:pPr>
              <w:rPr>
                <w:rFonts w:ascii="宋体"/>
              </w:rPr>
            </w:pPr>
          </w:p>
        </w:tc>
        <w:tc>
          <w:tcPr>
            <w:tcW w:w="0" w:type="auto"/>
            <w:gridSpan w:val="3"/>
            <w:shd w:val="clear" w:color="auto" w:fill="auto"/>
            <w:tcMar>
              <w:top w:w="40" w:type="dxa"/>
              <w:left w:w="20" w:type="dxa"/>
              <w:bottom w:w="40" w:type="dxa"/>
              <w:right w:w="20" w:type="dxa"/>
            </w:tcMar>
          </w:tcPr>
          <w:p w14:paraId="54067BA4" w14:textId="77777777" w:rsidR="00611BDD" w:rsidRDefault="002E18C7">
            <w:pPr>
              <w:textAlignment w:val="top"/>
            </w:pPr>
            <w:r>
              <w:rPr>
                <w:rFonts w:ascii="sans-serif" w:eastAsia="sans-serif" w:hAnsi="sans-serif" w:cs="sans-serif"/>
                <w:color w:val="000000"/>
                <w:sz w:val="20"/>
                <w:szCs w:val="20"/>
              </w:rPr>
              <w:t xml:space="preserve">Cover Page Interactive Data File - the cover page interactive data file does not appear in the Interactive Data File because its XBRL tags are embedded within the Inline XBRL </w:t>
            </w:r>
            <w:r>
              <w:rPr>
                <w:rFonts w:ascii="sans-serif" w:eastAsia="sans-serif" w:hAnsi="sans-serif" w:cs="sans-serif"/>
                <w:color w:val="000000"/>
                <w:sz w:val="20"/>
                <w:szCs w:val="20"/>
              </w:rPr>
              <w:t>document.</w:t>
            </w:r>
          </w:p>
        </w:tc>
        <w:tc>
          <w:tcPr>
            <w:tcW w:w="0" w:type="auto"/>
            <w:gridSpan w:val="3"/>
            <w:shd w:val="clear" w:color="auto" w:fill="auto"/>
            <w:tcMar>
              <w:top w:w="0" w:type="dxa"/>
              <w:left w:w="20" w:type="dxa"/>
              <w:bottom w:w="0" w:type="dxa"/>
              <w:right w:w="20" w:type="dxa"/>
            </w:tcMar>
            <w:vAlign w:val="bottom"/>
          </w:tcPr>
          <w:p w14:paraId="54067BA5"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A6"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A7"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A8"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A9"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AA"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AB" w14:textId="77777777" w:rsidR="00611BDD" w:rsidRDefault="00611BDD">
            <w:pPr>
              <w:rPr>
                <w:rFonts w:ascii="宋体"/>
              </w:rPr>
            </w:pPr>
          </w:p>
        </w:tc>
        <w:tc>
          <w:tcPr>
            <w:tcW w:w="0" w:type="auto"/>
            <w:gridSpan w:val="3"/>
            <w:shd w:val="clear" w:color="auto" w:fill="auto"/>
            <w:tcMar>
              <w:top w:w="0" w:type="dxa"/>
              <w:left w:w="20" w:type="dxa"/>
              <w:bottom w:w="0" w:type="dxa"/>
              <w:right w:w="20" w:type="dxa"/>
            </w:tcMar>
            <w:vAlign w:val="bottom"/>
          </w:tcPr>
          <w:p w14:paraId="54067BAC" w14:textId="77777777" w:rsidR="00611BDD" w:rsidRDefault="00611BDD">
            <w:pPr>
              <w:rPr>
                <w:rFonts w:ascii="宋体"/>
              </w:rPr>
            </w:pPr>
          </w:p>
        </w:tc>
      </w:tr>
    </w:tbl>
    <w:p w14:paraId="54067BAE" w14:textId="77777777" w:rsidR="00611BDD" w:rsidRDefault="002E18C7">
      <w:pPr>
        <w:spacing w:after="180"/>
        <w:jc w:val="both"/>
      </w:pPr>
      <w:r>
        <w:rPr>
          <w:rFonts w:ascii="sans-serif" w:eastAsia="sans-serif" w:hAnsi="sans-serif" w:cs="sans-serif"/>
          <w:color w:val="000000"/>
          <w:sz w:val="20"/>
          <w:szCs w:val="20"/>
        </w:rPr>
        <w:t>** Filed herewith.</w:t>
      </w:r>
    </w:p>
    <w:p w14:paraId="54067BAF" w14:textId="77777777" w:rsidR="00611BDD" w:rsidRDefault="002E18C7">
      <w:pPr>
        <w:spacing w:after="180"/>
        <w:jc w:val="both"/>
      </w:pPr>
      <w:r>
        <w:rPr>
          <w:rFonts w:ascii="sans-serif" w:eastAsia="sans-serif" w:hAnsi="sans-serif" w:cs="sans-serif"/>
          <w:color w:val="000000"/>
          <w:sz w:val="20"/>
          <w:szCs w:val="20"/>
        </w:rPr>
        <w:t>+ Management contract or compensatory plan or arrangement.</w:t>
      </w:r>
    </w:p>
    <w:p w14:paraId="54067BB0" w14:textId="77777777" w:rsidR="00611BDD" w:rsidRDefault="002E18C7">
      <w:pPr>
        <w:spacing w:after="180"/>
        <w:jc w:val="center"/>
      </w:pPr>
      <w:r>
        <w:rPr>
          <w:rFonts w:ascii="sans-serif" w:eastAsia="sans-serif" w:hAnsi="sans-serif" w:cs="sans-serif"/>
          <w:color w:val="000000"/>
          <w:sz w:val="20"/>
          <w:szCs w:val="20"/>
        </w:rPr>
        <w:t>38</w:t>
      </w:r>
    </w:p>
    <w:p w14:paraId="54067BB1" w14:textId="77777777" w:rsidR="00611BDD" w:rsidRDefault="002E18C7">
      <w:r>
        <w:pict w14:anchorId="54067C4A">
          <v:rect id="_x0000_i1062" style="width:415.3pt;height:1.5pt" o:hralign="center" o:hrstd="t" o:hr="t" fillcolor="#a0a0a0" stroked="f"/>
        </w:pict>
      </w:r>
    </w:p>
    <w:p w14:paraId="54067BB2" w14:textId="77777777" w:rsidR="00611BDD" w:rsidRDefault="00611BDD">
      <w:pPr>
        <w:spacing w:after="180"/>
        <w:jc w:val="both"/>
      </w:pPr>
    </w:p>
    <w:p w14:paraId="54067BB3" w14:textId="77777777" w:rsidR="00611BDD" w:rsidRDefault="00611BDD">
      <w:pPr>
        <w:spacing w:after="180"/>
        <w:jc w:val="both"/>
      </w:pPr>
    </w:p>
    <w:p w14:paraId="54067BB4" w14:textId="77777777" w:rsidR="00611BDD" w:rsidRDefault="00611BDD">
      <w:pPr>
        <w:spacing w:after="180"/>
        <w:jc w:val="both"/>
      </w:pPr>
    </w:p>
    <w:p w14:paraId="54067BB5" w14:textId="77777777" w:rsidR="00611BDD" w:rsidRDefault="002E18C7">
      <w:pPr>
        <w:spacing w:after="180"/>
        <w:jc w:val="both"/>
      </w:pPr>
      <w:r>
        <w:rPr>
          <w:rFonts w:ascii="sans-serif" w:eastAsia="sans-serif" w:hAnsi="sans-serif" w:cs="sans-serif"/>
          <w:color w:val="000000"/>
          <w:sz w:val="20"/>
          <w:szCs w:val="20"/>
        </w:rPr>
        <w:t xml:space="preserve"># In accordance with Item 601(b)(32)(ii) of Regulation S-K and SEC Release Nos. 33-8238 and 34-47986, Final Rule: Management's Reports on </w:t>
      </w:r>
      <w:r>
        <w:rPr>
          <w:rFonts w:ascii="sans-serif" w:eastAsia="sans-serif" w:hAnsi="sans-serif" w:cs="sans-serif"/>
          <w:color w:val="000000"/>
          <w:sz w:val="20"/>
          <w:szCs w:val="20"/>
        </w:rPr>
        <w:t>Internal Control Over Financial Reporting and Certification of Disclosure in Exchange Act Periodic Reports, the certifications furnished in Exhibits 32.1 and 32.2 hereto are deemed to accompany this Quarterly Report on Form 10-Q and will not be deemed “fil</w:t>
      </w:r>
      <w:r>
        <w:rPr>
          <w:rFonts w:ascii="sans-serif" w:eastAsia="sans-serif" w:hAnsi="sans-serif" w:cs="sans-serif"/>
          <w:color w:val="000000"/>
          <w:sz w:val="20"/>
          <w:szCs w:val="20"/>
        </w:rPr>
        <w:t>ed” for purpose of Section 18 of the Exchange Act. Such certifications will not be deemed to be incorporated by reference into any filing under the Securities Act or the Exchange Act, except to the extent that the registrant specifically incorporates it by</w:t>
      </w:r>
      <w:r>
        <w:rPr>
          <w:rFonts w:ascii="sans-serif" w:eastAsia="sans-serif" w:hAnsi="sans-serif" w:cs="sans-serif"/>
          <w:color w:val="000000"/>
          <w:sz w:val="20"/>
          <w:szCs w:val="20"/>
        </w:rPr>
        <w:t xml:space="preserve"> reference.</w:t>
      </w:r>
    </w:p>
    <w:p w14:paraId="54067BB6" w14:textId="77777777" w:rsidR="00611BDD" w:rsidRDefault="002E18C7">
      <w:pPr>
        <w:spacing w:after="180"/>
        <w:jc w:val="both"/>
      </w:pPr>
      <w:r>
        <w:rPr>
          <w:rFonts w:ascii="sans-serif" w:eastAsia="sans-serif" w:hAnsi="sans-serif" w:cs="sans-serif"/>
          <w:color w:val="000000"/>
          <w:sz w:val="20"/>
          <w:szCs w:val="20"/>
        </w:rPr>
        <w:t>Copies of above exhibits not contained herein are available to any shareholder upon written request to:</w:t>
      </w:r>
    </w:p>
    <w:p w14:paraId="54067BB7" w14:textId="77777777" w:rsidR="00611BDD" w:rsidRDefault="002E18C7">
      <w:pPr>
        <w:spacing w:after="180"/>
        <w:jc w:val="both"/>
      </w:pPr>
      <w:r>
        <w:rPr>
          <w:rFonts w:ascii="sans-serif" w:eastAsia="sans-serif" w:hAnsi="sans-serif" w:cs="sans-serif"/>
          <w:color w:val="000000"/>
          <w:sz w:val="20"/>
          <w:szCs w:val="20"/>
        </w:rPr>
        <w:t>Investor Relations: NVIDIA Corporation, 2788 San Tomas Expressway, Santa Clara, CA 95051.</w:t>
      </w:r>
    </w:p>
    <w:p w14:paraId="54067BB8" w14:textId="77777777" w:rsidR="00611BDD" w:rsidRDefault="002E18C7">
      <w:pPr>
        <w:spacing w:after="180"/>
        <w:jc w:val="center"/>
      </w:pPr>
      <w:r>
        <w:rPr>
          <w:rFonts w:ascii="sans-serif" w:eastAsia="sans-serif" w:hAnsi="sans-serif" w:cs="sans-serif"/>
          <w:color w:val="000000"/>
          <w:sz w:val="20"/>
          <w:szCs w:val="20"/>
        </w:rPr>
        <w:t>39</w:t>
      </w:r>
    </w:p>
    <w:p w14:paraId="54067BB9" w14:textId="77777777" w:rsidR="00611BDD" w:rsidRDefault="002E18C7">
      <w:r>
        <w:pict w14:anchorId="54067C4B">
          <v:rect id="_x0000_i1063" style="width:415.3pt;height:1.5pt" o:hralign="center" o:hrstd="t" o:hr="t" fillcolor="#a0a0a0" stroked="f"/>
        </w:pict>
      </w:r>
    </w:p>
    <w:p w14:paraId="54067BBA" w14:textId="77777777" w:rsidR="00611BDD" w:rsidRDefault="00611BDD">
      <w:pPr>
        <w:spacing w:after="180"/>
        <w:jc w:val="both"/>
      </w:pPr>
    </w:p>
    <w:p w14:paraId="54067BBB" w14:textId="77777777" w:rsidR="00611BDD" w:rsidRDefault="00611BDD">
      <w:pPr>
        <w:spacing w:after="180"/>
        <w:jc w:val="both"/>
      </w:pPr>
    </w:p>
    <w:p w14:paraId="54067BBC" w14:textId="77777777" w:rsidR="00611BDD" w:rsidRDefault="00611BDD">
      <w:pPr>
        <w:spacing w:after="180"/>
        <w:jc w:val="both"/>
      </w:pPr>
    </w:p>
    <w:p w14:paraId="54067BBD" w14:textId="77777777" w:rsidR="00611BDD" w:rsidRDefault="002E18C7">
      <w:pPr>
        <w:spacing w:after="180"/>
        <w:jc w:val="center"/>
      </w:pPr>
      <w:r>
        <w:rPr>
          <w:rFonts w:ascii="sans-serif" w:eastAsia="sans-serif" w:hAnsi="sans-serif" w:cs="sans-serif"/>
          <w:b/>
          <w:bCs/>
          <w:color w:val="000000"/>
          <w:sz w:val="20"/>
          <w:szCs w:val="20"/>
        </w:rPr>
        <w:t>SIGNATURE</w:t>
      </w:r>
    </w:p>
    <w:p w14:paraId="54067BBE" w14:textId="77777777" w:rsidR="00611BDD" w:rsidRDefault="002E18C7">
      <w:pPr>
        <w:spacing w:after="180"/>
        <w:jc w:val="both"/>
      </w:pPr>
      <w:r>
        <w:rPr>
          <w:rFonts w:ascii="sans-serif" w:eastAsia="sans-serif" w:hAnsi="sans-serif" w:cs="sans-serif"/>
          <w:color w:val="000000"/>
          <w:sz w:val="20"/>
          <w:szCs w:val="20"/>
        </w:rPr>
        <w:t xml:space="preserve">Pursuant to the requirements of </w:t>
      </w:r>
      <w:r>
        <w:rPr>
          <w:rFonts w:ascii="sans-serif" w:eastAsia="sans-serif" w:hAnsi="sans-serif" w:cs="sans-serif"/>
          <w:color w:val="000000"/>
          <w:sz w:val="20"/>
          <w:szCs w:val="20"/>
        </w:rPr>
        <w:t>the Securities Exchange Act of 1934, the registrant has duly caused this report to be signed on its behalf by the undersigned, thereunto duly authorized.</w:t>
      </w:r>
    </w:p>
    <w:p w14:paraId="54067BBF" w14:textId="77777777" w:rsidR="00611BDD" w:rsidRDefault="002E18C7">
      <w:pPr>
        <w:spacing w:after="180"/>
        <w:jc w:val="both"/>
      </w:pPr>
      <w:r>
        <w:rPr>
          <w:rFonts w:ascii="sans-serif" w:eastAsia="sans-serif" w:hAnsi="sans-serif" w:cs="sans-serif"/>
          <w:color w:val="000000"/>
          <w:sz w:val="20"/>
          <w:szCs w:val="20"/>
        </w:rPr>
        <w:t xml:space="preserve">Date: August 20, 2021 </w:t>
      </w:r>
    </w:p>
    <w:tbl>
      <w:tblPr>
        <w:tblW w:w="5000" w:type="pct"/>
        <w:tblCellMar>
          <w:top w:w="15" w:type="dxa"/>
          <w:left w:w="15" w:type="dxa"/>
          <w:bottom w:w="15" w:type="dxa"/>
          <w:right w:w="15" w:type="dxa"/>
        </w:tblCellMar>
        <w:tblLook w:val="04A0" w:firstRow="1" w:lastRow="0" w:firstColumn="1" w:lastColumn="0" w:noHBand="0" w:noVBand="1"/>
      </w:tblPr>
      <w:tblGrid>
        <w:gridCol w:w="69"/>
        <w:gridCol w:w="3472"/>
        <w:gridCol w:w="36"/>
        <w:gridCol w:w="69"/>
        <w:gridCol w:w="1480"/>
        <w:gridCol w:w="37"/>
        <w:gridCol w:w="69"/>
        <w:gridCol w:w="1481"/>
        <w:gridCol w:w="36"/>
        <w:gridCol w:w="70"/>
        <w:gridCol w:w="1481"/>
        <w:gridCol w:w="36"/>
      </w:tblGrid>
      <w:tr w:rsidR="00611BDD" w14:paraId="54067BCC" w14:textId="77777777">
        <w:tc>
          <w:tcPr>
            <w:tcW w:w="50" w:type="pct"/>
            <w:shd w:val="clear" w:color="auto" w:fill="auto"/>
            <w:vAlign w:val="bottom"/>
          </w:tcPr>
          <w:p w14:paraId="54067BC0" w14:textId="77777777" w:rsidR="00611BDD" w:rsidRDefault="00611BDD">
            <w:pPr>
              <w:rPr>
                <w:rFonts w:ascii="宋体"/>
              </w:rPr>
            </w:pPr>
          </w:p>
        </w:tc>
        <w:tc>
          <w:tcPr>
            <w:tcW w:w="2090" w:type="pct"/>
            <w:shd w:val="clear" w:color="auto" w:fill="auto"/>
            <w:vAlign w:val="bottom"/>
          </w:tcPr>
          <w:p w14:paraId="54067BC1" w14:textId="77777777" w:rsidR="00611BDD" w:rsidRDefault="00611BDD">
            <w:pPr>
              <w:rPr>
                <w:rFonts w:ascii="宋体"/>
              </w:rPr>
            </w:pPr>
          </w:p>
        </w:tc>
        <w:tc>
          <w:tcPr>
            <w:tcW w:w="5" w:type="pct"/>
            <w:shd w:val="clear" w:color="auto" w:fill="auto"/>
            <w:vAlign w:val="bottom"/>
          </w:tcPr>
          <w:p w14:paraId="54067BC2" w14:textId="77777777" w:rsidR="00611BDD" w:rsidRDefault="00611BDD">
            <w:pPr>
              <w:rPr>
                <w:rFonts w:ascii="宋体"/>
              </w:rPr>
            </w:pPr>
          </w:p>
        </w:tc>
        <w:tc>
          <w:tcPr>
            <w:tcW w:w="50" w:type="pct"/>
            <w:shd w:val="clear" w:color="auto" w:fill="auto"/>
            <w:vAlign w:val="bottom"/>
          </w:tcPr>
          <w:p w14:paraId="54067BC3" w14:textId="77777777" w:rsidR="00611BDD" w:rsidRDefault="00611BDD">
            <w:pPr>
              <w:rPr>
                <w:rFonts w:ascii="宋体"/>
              </w:rPr>
            </w:pPr>
          </w:p>
        </w:tc>
        <w:tc>
          <w:tcPr>
            <w:tcW w:w="896" w:type="pct"/>
            <w:shd w:val="clear" w:color="auto" w:fill="auto"/>
            <w:vAlign w:val="bottom"/>
          </w:tcPr>
          <w:p w14:paraId="54067BC4" w14:textId="77777777" w:rsidR="00611BDD" w:rsidRDefault="00611BDD">
            <w:pPr>
              <w:rPr>
                <w:rFonts w:ascii="宋体"/>
              </w:rPr>
            </w:pPr>
          </w:p>
        </w:tc>
        <w:tc>
          <w:tcPr>
            <w:tcW w:w="5" w:type="pct"/>
            <w:shd w:val="clear" w:color="auto" w:fill="auto"/>
            <w:vAlign w:val="bottom"/>
          </w:tcPr>
          <w:p w14:paraId="54067BC5" w14:textId="77777777" w:rsidR="00611BDD" w:rsidRDefault="00611BDD">
            <w:pPr>
              <w:rPr>
                <w:rFonts w:ascii="宋体"/>
              </w:rPr>
            </w:pPr>
          </w:p>
        </w:tc>
        <w:tc>
          <w:tcPr>
            <w:tcW w:w="50" w:type="pct"/>
            <w:shd w:val="clear" w:color="auto" w:fill="auto"/>
            <w:vAlign w:val="bottom"/>
          </w:tcPr>
          <w:p w14:paraId="54067BC6" w14:textId="77777777" w:rsidR="00611BDD" w:rsidRDefault="00611BDD">
            <w:pPr>
              <w:rPr>
                <w:rFonts w:ascii="宋体"/>
              </w:rPr>
            </w:pPr>
          </w:p>
        </w:tc>
        <w:tc>
          <w:tcPr>
            <w:tcW w:w="896" w:type="pct"/>
            <w:shd w:val="clear" w:color="auto" w:fill="auto"/>
            <w:vAlign w:val="bottom"/>
          </w:tcPr>
          <w:p w14:paraId="54067BC7" w14:textId="77777777" w:rsidR="00611BDD" w:rsidRDefault="00611BDD">
            <w:pPr>
              <w:rPr>
                <w:rFonts w:ascii="宋体"/>
              </w:rPr>
            </w:pPr>
          </w:p>
        </w:tc>
        <w:tc>
          <w:tcPr>
            <w:tcW w:w="5" w:type="pct"/>
            <w:shd w:val="clear" w:color="auto" w:fill="auto"/>
            <w:vAlign w:val="bottom"/>
          </w:tcPr>
          <w:p w14:paraId="54067BC8" w14:textId="77777777" w:rsidR="00611BDD" w:rsidRDefault="00611BDD">
            <w:pPr>
              <w:rPr>
                <w:rFonts w:ascii="宋体"/>
              </w:rPr>
            </w:pPr>
          </w:p>
        </w:tc>
        <w:tc>
          <w:tcPr>
            <w:tcW w:w="50" w:type="pct"/>
            <w:shd w:val="clear" w:color="auto" w:fill="auto"/>
            <w:vAlign w:val="bottom"/>
          </w:tcPr>
          <w:p w14:paraId="54067BC9" w14:textId="77777777" w:rsidR="00611BDD" w:rsidRDefault="00611BDD">
            <w:pPr>
              <w:rPr>
                <w:rFonts w:ascii="宋体"/>
              </w:rPr>
            </w:pPr>
          </w:p>
        </w:tc>
        <w:tc>
          <w:tcPr>
            <w:tcW w:w="896" w:type="pct"/>
            <w:shd w:val="clear" w:color="auto" w:fill="auto"/>
            <w:vAlign w:val="bottom"/>
          </w:tcPr>
          <w:p w14:paraId="54067BCA" w14:textId="77777777" w:rsidR="00611BDD" w:rsidRDefault="00611BDD">
            <w:pPr>
              <w:rPr>
                <w:rFonts w:ascii="宋体"/>
              </w:rPr>
            </w:pPr>
          </w:p>
        </w:tc>
        <w:tc>
          <w:tcPr>
            <w:tcW w:w="5" w:type="pct"/>
            <w:shd w:val="clear" w:color="auto" w:fill="auto"/>
            <w:vAlign w:val="bottom"/>
          </w:tcPr>
          <w:p w14:paraId="54067BCB" w14:textId="77777777" w:rsidR="00611BDD" w:rsidRDefault="00611BDD">
            <w:pPr>
              <w:rPr>
                <w:rFonts w:ascii="宋体"/>
              </w:rPr>
            </w:pPr>
          </w:p>
        </w:tc>
      </w:tr>
      <w:tr w:rsidR="00611BDD" w14:paraId="54067BCF" w14:textId="77777777">
        <w:tc>
          <w:tcPr>
            <w:tcW w:w="0" w:type="auto"/>
            <w:gridSpan w:val="3"/>
            <w:shd w:val="clear" w:color="auto" w:fill="auto"/>
            <w:tcMar>
              <w:top w:w="40" w:type="dxa"/>
              <w:left w:w="20" w:type="dxa"/>
              <w:bottom w:w="40" w:type="dxa"/>
              <w:right w:w="20" w:type="dxa"/>
            </w:tcMar>
          </w:tcPr>
          <w:p w14:paraId="54067BCD" w14:textId="77777777" w:rsidR="00611BDD" w:rsidRDefault="002E18C7">
            <w:pPr>
              <w:textAlignment w:val="top"/>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54067BCE" w14:textId="77777777" w:rsidR="00611BDD" w:rsidRDefault="002E18C7">
            <w:pPr>
              <w:textAlignment w:val="bottom"/>
            </w:pPr>
            <w:r>
              <w:rPr>
                <w:rFonts w:ascii="sans-serif" w:eastAsia="sans-serif" w:hAnsi="sans-serif" w:cs="sans-serif"/>
                <w:color w:val="000000"/>
                <w:sz w:val="20"/>
                <w:szCs w:val="20"/>
              </w:rPr>
              <w:t>NVIDIA Corporation </w:t>
            </w:r>
          </w:p>
        </w:tc>
      </w:tr>
      <w:tr w:rsidR="00611BDD" w14:paraId="54067BD3" w14:textId="77777777">
        <w:tc>
          <w:tcPr>
            <w:tcW w:w="0" w:type="auto"/>
            <w:gridSpan w:val="3"/>
            <w:shd w:val="clear" w:color="auto" w:fill="auto"/>
            <w:tcMar>
              <w:top w:w="40" w:type="dxa"/>
              <w:left w:w="20" w:type="dxa"/>
              <w:bottom w:w="40" w:type="dxa"/>
              <w:right w:w="20" w:type="dxa"/>
            </w:tcMar>
            <w:vAlign w:val="bottom"/>
          </w:tcPr>
          <w:p w14:paraId="54067BD0" w14:textId="77777777" w:rsidR="00611BDD" w:rsidRDefault="002E18C7">
            <w:pPr>
              <w:jc w:val="right"/>
              <w:textAlignment w:val="bottom"/>
            </w:pPr>
            <w:r>
              <w:rPr>
                <w:rFonts w:ascii="sans-serif" w:eastAsia="sans-serif" w:hAnsi="sans-serif" w:cs="sans-serif"/>
                <w:color w:val="000000"/>
                <w:sz w:val="20"/>
                <w:szCs w:val="20"/>
              </w:rPr>
              <w:t>By:  </w:t>
            </w:r>
          </w:p>
        </w:tc>
        <w:tc>
          <w:tcPr>
            <w:tcW w:w="0" w:type="auto"/>
            <w:gridSpan w:val="3"/>
            <w:shd w:val="clear" w:color="auto" w:fill="auto"/>
            <w:tcMar>
              <w:top w:w="40" w:type="dxa"/>
              <w:left w:w="20" w:type="dxa"/>
              <w:bottom w:w="40" w:type="dxa"/>
              <w:right w:w="20" w:type="dxa"/>
            </w:tcMar>
            <w:vAlign w:val="bottom"/>
          </w:tcPr>
          <w:p w14:paraId="54067BD1" w14:textId="77777777" w:rsidR="00611BDD" w:rsidRDefault="002E18C7">
            <w:pPr>
              <w:textAlignment w:val="bottom"/>
            </w:pPr>
            <w:r>
              <w:rPr>
                <w:rFonts w:ascii="sans-serif" w:eastAsia="sans-serif" w:hAnsi="sans-serif" w:cs="sans-serif"/>
                <w:color w:val="000000"/>
                <w:sz w:val="20"/>
                <w:szCs w:val="20"/>
              </w:rPr>
              <w:t> /s/ Colette M. Kress</w:t>
            </w:r>
          </w:p>
        </w:tc>
        <w:tc>
          <w:tcPr>
            <w:tcW w:w="0" w:type="auto"/>
            <w:gridSpan w:val="6"/>
            <w:shd w:val="clear" w:color="auto" w:fill="auto"/>
            <w:tcMar>
              <w:top w:w="0" w:type="dxa"/>
              <w:left w:w="20" w:type="dxa"/>
              <w:bottom w:w="0" w:type="dxa"/>
              <w:right w:w="20" w:type="dxa"/>
            </w:tcMar>
            <w:vAlign w:val="bottom"/>
          </w:tcPr>
          <w:p w14:paraId="54067BD2" w14:textId="77777777" w:rsidR="00611BDD" w:rsidRDefault="00611BDD">
            <w:pPr>
              <w:rPr>
                <w:rFonts w:ascii="宋体"/>
              </w:rPr>
            </w:pPr>
          </w:p>
        </w:tc>
      </w:tr>
      <w:tr w:rsidR="00611BDD" w14:paraId="54067BD7" w14:textId="77777777">
        <w:trPr>
          <w:trHeight w:val="60"/>
        </w:trPr>
        <w:tc>
          <w:tcPr>
            <w:tcW w:w="0" w:type="auto"/>
            <w:gridSpan w:val="3"/>
            <w:shd w:val="clear" w:color="auto" w:fill="auto"/>
            <w:tcMar>
              <w:top w:w="0" w:type="dxa"/>
              <w:left w:w="20" w:type="dxa"/>
              <w:bottom w:w="0" w:type="dxa"/>
              <w:right w:w="20" w:type="dxa"/>
            </w:tcMar>
            <w:vAlign w:val="bottom"/>
          </w:tcPr>
          <w:p w14:paraId="54067BD4" w14:textId="77777777" w:rsidR="00611BDD" w:rsidRDefault="00611BD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4067BD5" w14:textId="77777777" w:rsidR="00611BDD" w:rsidRDefault="00611BDD">
            <w:pPr>
              <w:rPr>
                <w:rFonts w:ascii="宋体"/>
              </w:rPr>
            </w:pPr>
          </w:p>
        </w:tc>
        <w:tc>
          <w:tcPr>
            <w:tcW w:w="0" w:type="auto"/>
            <w:gridSpan w:val="6"/>
            <w:shd w:val="clear" w:color="auto" w:fill="auto"/>
            <w:tcMar>
              <w:top w:w="0" w:type="dxa"/>
              <w:left w:w="20" w:type="dxa"/>
              <w:bottom w:w="0" w:type="dxa"/>
              <w:right w:w="20" w:type="dxa"/>
            </w:tcMar>
            <w:vAlign w:val="bottom"/>
          </w:tcPr>
          <w:p w14:paraId="54067BD6" w14:textId="77777777" w:rsidR="00611BDD" w:rsidRDefault="00611BDD">
            <w:pPr>
              <w:rPr>
                <w:rFonts w:ascii="宋体"/>
              </w:rPr>
            </w:pPr>
          </w:p>
        </w:tc>
      </w:tr>
      <w:tr w:rsidR="00611BDD" w14:paraId="54067BDA" w14:textId="77777777">
        <w:tc>
          <w:tcPr>
            <w:tcW w:w="0" w:type="auto"/>
            <w:gridSpan w:val="3"/>
            <w:shd w:val="clear" w:color="auto" w:fill="auto"/>
            <w:tcMar>
              <w:top w:w="40" w:type="dxa"/>
              <w:left w:w="20" w:type="dxa"/>
              <w:bottom w:w="40" w:type="dxa"/>
              <w:right w:w="20" w:type="dxa"/>
            </w:tcMar>
          </w:tcPr>
          <w:p w14:paraId="54067BD8" w14:textId="77777777" w:rsidR="00611BDD" w:rsidRDefault="002E18C7">
            <w:pPr>
              <w:textAlignment w:val="top"/>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54067BD9" w14:textId="77777777" w:rsidR="00611BDD" w:rsidRDefault="002E18C7">
            <w:pPr>
              <w:textAlignment w:val="bottom"/>
            </w:pPr>
            <w:r>
              <w:rPr>
                <w:rFonts w:ascii="sans-serif" w:eastAsia="sans-serif" w:hAnsi="sans-serif" w:cs="sans-serif"/>
                <w:color w:val="000000"/>
                <w:sz w:val="20"/>
                <w:szCs w:val="20"/>
              </w:rPr>
              <w:t>Colette M. Kress</w:t>
            </w:r>
          </w:p>
        </w:tc>
      </w:tr>
      <w:tr w:rsidR="00611BDD" w14:paraId="54067BDD" w14:textId="77777777">
        <w:tc>
          <w:tcPr>
            <w:tcW w:w="0" w:type="auto"/>
            <w:gridSpan w:val="3"/>
            <w:shd w:val="clear" w:color="auto" w:fill="auto"/>
            <w:tcMar>
              <w:top w:w="40" w:type="dxa"/>
              <w:left w:w="20" w:type="dxa"/>
              <w:bottom w:w="40" w:type="dxa"/>
              <w:right w:w="20" w:type="dxa"/>
            </w:tcMar>
          </w:tcPr>
          <w:p w14:paraId="54067BDB" w14:textId="77777777" w:rsidR="00611BDD" w:rsidRDefault="002E18C7">
            <w:pPr>
              <w:textAlignment w:val="top"/>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54067BDC" w14:textId="77777777" w:rsidR="00611BDD" w:rsidRDefault="002E18C7">
            <w:pPr>
              <w:textAlignment w:val="bottom"/>
            </w:pPr>
            <w:r>
              <w:rPr>
                <w:rFonts w:ascii="sans-serif" w:eastAsia="sans-serif" w:hAnsi="sans-serif" w:cs="sans-serif"/>
                <w:color w:val="000000"/>
                <w:sz w:val="20"/>
                <w:szCs w:val="20"/>
              </w:rPr>
              <w:t>Executive Vice President and Chief Financial Officer (Duly Authorized Officer and Principal Financial Officer)</w:t>
            </w:r>
          </w:p>
        </w:tc>
      </w:tr>
    </w:tbl>
    <w:p w14:paraId="54067BDE" w14:textId="77777777" w:rsidR="00611BDD" w:rsidRDefault="00611BDD">
      <w:pPr>
        <w:spacing w:after="180"/>
        <w:jc w:val="both"/>
      </w:pPr>
    </w:p>
    <w:p w14:paraId="54067BDF" w14:textId="77777777" w:rsidR="00611BDD" w:rsidRDefault="002E18C7">
      <w:pPr>
        <w:spacing w:after="180"/>
        <w:jc w:val="center"/>
      </w:pPr>
      <w:r>
        <w:rPr>
          <w:rFonts w:ascii="sans-serif" w:eastAsia="sans-serif" w:hAnsi="sans-serif" w:cs="sans-serif"/>
          <w:color w:val="000000"/>
          <w:sz w:val="20"/>
          <w:szCs w:val="20"/>
        </w:rPr>
        <w:t>40</w:t>
      </w:r>
    </w:p>
    <w:p w14:paraId="54067BE0" w14:textId="77777777" w:rsidR="00611BDD" w:rsidRDefault="002E18C7">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4067C4C" wp14:editId="54067C4D">
                <wp:extent cx="635" cy="0"/>
                <wp:effectExtent l="0" t="0" r="0" b="0"/>
                <wp:docPr id="58" name="矩形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RoBFRw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1BDD" w14:paraId="54067BE2" w14:textId="77777777">
        <w:trPr>
          <w:tblCellSpacing w:w="15" w:type="dxa"/>
        </w:trPr>
        <w:tc>
          <w:tcPr>
            <w:tcW w:w="0" w:type="auto"/>
            <w:shd w:val="clear" w:color="auto" w:fill="auto"/>
            <w:vAlign w:val="center"/>
          </w:tcPr>
          <w:p w14:paraId="54067BE1" w14:textId="77777777" w:rsidR="00611BDD" w:rsidRDefault="00611BDD">
            <w:pPr>
              <w:rPr>
                <w:rFonts w:ascii="宋体"/>
              </w:rPr>
            </w:pPr>
          </w:p>
        </w:tc>
      </w:tr>
    </w:tbl>
    <w:p w14:paraId="54067BE3" w14:textId="77777777" w:rsidR="00611BDD" w:rsidRDefault="00611BD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1BDD" w14:paraId="54067BE5" w14:textId="77777777">
        <w:trPr>
          <w:tblCellSpacing w:w="15" w:type="dxa"/>
        </w:trPr>
        <w:tc>
          <w:tcPr>
            <w:tcW w:w="0" w:type="auto"/>
            <w:shd w:val="clear" w:color="auto" w:fill="auto"/>
            <w:vAlign w:val="center"/>
          </w:tcPr>
          <w:p w14:paraId="54067BE4" w14:textId="77777777" w:rsidR="00611BDD" w:rsidRDefault="00611BDD">
            <w:pPr>
              <w:rPr>
                <w:rFonts w:ascii="宋体"/>
              </w:rPr>
            </w:pPr>
          </w:p>
        </w:tc>
      </w:tr>
    </w:tbl>
    <w:p w14:paraId="54067BE6" w14:textId="77777777" w:rsidR="00611BDD" w:rsidRDefault="00611BD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1BDD" w14:paraId="54067BE8" w14:textId="77777777">
        <w:trPr>
          <w:tblCellSpacing w:w="15" w:type="dxa"/>
        </w:trPr>
        <w:tc>
          <w:tcPr>
            <w:tcW w:w="0" w:type="auto"/>
            <w:shd w:val="clear" w:color="auto" w:fill="auto"/>
            <w:vAlign w:val="center"/>
          </w:tcPr>
          <w:p w14:paraId="54067BE7" w14:textId="77777777" w:rsidR="00611BDD" w:rsidRDefault="00611BDD">
            <w:pPr>
              <w:rPr>
                <w:rFonts w:ascii="宋体"/>
              </w:rPr>
            </w:pPr>
          </w:p>
        </w:tc>
      </w:tr>
    </w:tbl>
    <w:p w14:paraId="54067BE9" w14:textId="77777777" w:rsidR="00611BDD" w:rsidRDefault="00611BD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1BDD" w14:paraId="54067BEB" w14:textId="77777777">
        <w:trPr>
          <w:tblCellSpacing w:w="15" w:type="dxa"/>
        </w:trPr>
        <w:tc>
          <w:tcPr>
            <w:tcW w:w="0" w:type="auto"/>
            <w:shd w:val="clear" w:color="auto" w:fill="auto"/>
            <w:vAlign w:val="center"/>
          </w:tcPr>
          <w:p w14:paraId="54067BEA" w14:textId="77777777" w:rsidR="00611BDD" w:rsidRDefault="00611BDD">
            <w:pPr>
              <w:rPr>
                <w:rFonts w:ascii="宋体"/>
              </w:rPr>
            </w:pPr>
          </w:p>
        </w:tc>
      </w:tr>
    </w:tbl>
    <w:p w14:paraId="54067BEC" w14:textId="77777777" w:rsidR="00611BDD" w:rsidRDefault="002E18C7">
      <w:r>
        <w:rPr>
          <w:rFonts w:ascii="宋体" w:eastAsia="宋体" w:hAnsi="宋体" w:cs="宋体"/>
        </w:rPr>
        <w:t xml:space="preserve">Previous Next </w:t>
      </w:r>
    </w:p>
    <w:p w14:paraId="54067BED" w14:textId="77777777" w:rsidR="00611BDD" w:rsidRDefault="002E18C7">
      <w:pPr>
        <w:pStyle w:val="a3"/>
      </w:pPr>
      <w:r>
        <w:t>Settings</w:t>
      </w:r>
    </w:p>
    <w:p w14:paraId="54067BEE" w14:textId="77777777" w:rsidR="00611BDD" w:rsidRDefault="002E18C7">
      <w:pPr>
        <w:pStyle w:val="Style4"/>
      </w:pPr>
      <w:r>
        <w:t>窗体顶端</w:t>
      </w:r>
    </w:p>
    <w:p w14:paraId="54067BEF" w14:textId="77777777" w:rsidR="00611BDD" w:rsidRDefault="002E18C7">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54067C4E" wp14:editId="54067C4F">
                <wp:extent cx="635" cy="0"/>
                <wp:effectExtent l="0" t="0" r="0" b="0"/>
                <wp:docPr id="57" name="矩形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tUfhQ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54067BF0" w14:textId="77777777" w:rsidR="00611BDD" w:rsidRDefault="002E18C7">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54067C50" wp14:editId="54067C51">
                <wp:extent cx="635" cy="0"/>
                <wp:effectExtent l="0" t="0" r="0" b="0"/>
                <wp:docPr id="54" name="矩形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HduPGk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54067BF1" w14:textId="77777777" w:rsidR="00611BDD" w:rsidRDefault="002E18C7">
      <w:r>
        <w:pict w14:anchorId="54067C52">
          <v:rect id="_x0000_i1064" style="width:415.3pt;height:1.5pt" o:hralign="center" o:hrstd="t" o:hr="t" fillcolor="#a0a0a0" stroked="f"/>
        </w:pict>
      </w:r>
    </w:p>
    <w:p w14:paraId="54067BF2" w14:textId="77777777" w:rsidR="00611BDD" w:rsidRDefault="002E18C7">
      <w:r>
        <w:rPr>
          <w:rFonts w:ascii="宋体" w:eastAsia="宋体" w:hAnsi="宋体" w:cs="宋体"/>
        </w:rPr>
        <w:t xml:space="preserve">Tagged Data </w:t>
      </w:r>
    </w:p>
    <w:p w14:paraId="54067BF3" w14:textId="77777777" w:rsidR="00611BDD" w:rsidRDefault="002E18C7">
      <w:r>
        <w:rPr>
          <w:rFonts w:ascii="monospace" w:eastAsia="monospace" w:hAnsi="monospace" w:cs="monospace"/>
          <w:noProof/>
        </w:rPr>
        <mc:AlternateContent>
          <mc:Choice Requires="wps">
            <w:drawing>
              <wp:inline distT="0" distB="0" distL="114300" distR="114300" wp14:anchorId="54067C53" wp14:editId="54067C54">
                <wp:extent cx="635" cy="0"/>
                <wp:effectExtent l="0" t="0" r="0" b="0"/>
                <wp:docPr id="56" name="矩形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L+QiQACAAAaBAAADgAAAAAAAAAB&#10;ACAAAAAzAQAAZHJzL2Uyb0RvYy54bWxQSwUGAAAAAAYABgBZAQAApQUAAAAA&#10;">
                <v:path/>
                <v:fill on="f" focussize="0,0"/>
                <v:stroke/>
                <v:imagedata o:title=""/>
                <o:lock v:ext="edit" aspectratio="t"/>
                <w10:wrap type="none"/>
                <w10:anchorlock/>
              </v:rect>
            </w:pict>
          </mc:Fallback>
        </mc:AlternateContent>
      </w:r>
    </w:p>
    <w:p w14:paraId="54067BF4" w14:textId="77777777" w:rsidR="00611BDD" w:rsidRDefault="002E18C7">
      <w:r>
        <w:rPr>
          <w:rFonts w:ascii="宋体" w:eastAsia="宋体" w:hAnsi="宋体" w:cs="宋体"/>
        </w:rPr>
        <w:t>Save</w:t>
      </w:r>
    </w:p>
    <w:p w14:paraId="54067BF5" w14:textId="77777777" w:rsidR="00611BDD" w:rsidRDefault="002E18C7">
      <w:r>
        <w:rPr>
          <w:rFonts w:ascii="宋体" w:eastAsia="宋体" w:hAnsi="宋体" w:cs="宋体"/>
        </w:rPr>
        <w:t>Reset</w:t>
      </w:r>
    </w:p>
    <w:p w14:paraId="54067BF6" w14:textId="77777777" w:rsidR="00611BDD" w:rsidRDefault="002E18C7">
      <w:r>
        <w:pict w14:anchorId="54067C55">
          <v:rect id="_x0000_i1065" style="width:415.3pt;height:1.5pt" o:hralign="center" o:hrstd="t" o:hr="t" fillcolor="#a0a0a0" stroked="f"/>
        </w:pict>
      </w:r>
    </w:p>
    <w:p w14:paraId="54067BF7" w14:textId="77777777" w:rsidR="00611BDD" w:rsidRDefault="002E18C7">
      <w:r>
        <w:rPr>
          <w:rFonts w:ascii="宋体" w:eastAsia="宋体" w:hAnsi="宋体" w:cs="宋体"/>
        </w:rPr>
        <w:t xml:space="preserve">Search Results </w:t>
      </w:r>
    </w:p>
    <w:p w14:paraId="54067BF8" w14:textId="77777777" w:rsidR="00611BDD" w:rsidRDefault="002E18C7">
      <w:r>
        <w:rPr>
          <w:rFonts w:ascii="monospace" w:eastAsia="monospace" w:hAnsi="monospace" w:cs="monospace"/>
          <w:noProof/>
        </w:rPr>
        <mc:AlternateContent>
          <mc:Choice Requires="wps">
            <w:drawing>
              <wp:inline distT="0" distB="0" distL="114300" distR="114300" wp14:anchorId="54067C56" wp14:editId="54067C57">
                <wp:extent cx="635" cy="0"/>
                <wp:effectExtent l="0" t="0" r="0" b="0"/>
                <wp:docPr id="60" name="矩形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7dVoZwA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7dVoZwACAAAaBAAADgAAAAAAAAAB&#10;ACAAAAAzAQAAZHJzL2Uyb0RvYy54bWxQSwUGAAAAAAYABgBZAQAApQUAAAAA&#10;">
                <v:path/>
                <v:fill on="f" focussize="0,0"/>
                <v:stroke/>
                <v:imagedata o:title=""/>
                <o:lock v:ext="edit" aspectratio="t"/>
                <w10:wrap type="none"/>
                <w10:anchorlock/>
              </v:rect>
            </w:pict>
          </mc:Fallback>
        </mc:AlternateContent>
      </w:r>
    </w:p>
    <w:p w14:paraId="54067BF9" w14:textId="77777777" w:rsidR="00611BDD" w:rsidRDefault="002E18C7">
      <w:r>
        <w:rPr>
          <w:rFonts w:ascii="宋体" w:eastAsia="宋体" w:hAnsi="宋体" w:cs="宋体"/>
        </w:rPr>
        <w:t>Save</w:t>
      </w:r>
    </w:p>
    <w:p w14:paraId="54067BFA" w14:textId="77777777" w:rsidR="00611BDD" w:rsidRDefault="002E18C7">
      <w:r>
        <w:rPr>
          <w:rFonts w:ascii="宋体" w:eastAsia="宋体" w:hAnsi="宋体" w:cs="宋体"/>
        </w:rPr>
        <w:t>Reset</w:t>
      </w:r>
    </w:p>
    <w:p w14:paraId="54067BFB" w14:textId="77777777" w:rsidR="00611BDD" w:rsidRDefault="002E18C7">
      <w:r>
        <w:pict w14:anchorId="54067C58">
          <v:rect id="_x0000_i1066" style="width:415.3pt;height:1.5pt" o:hralign="center" o:hrstd="t" o:hr="t" fillcolor="#a0a0a0" stroked="f"/>
        </w:pict>
      </w:r>
    </w:p>
    <w:p w14:paraId="54067BFC" w14:textId="77777777" w:rsidR="00611BDD" w:rsidRDefault="002E18C7">
      <w:r>
        <w:rPr>
          <w:rFonts w:ascii="宋体" w:eastAsia="宋体" w:hAnsi="宋体" w:cs="宋体"/>
        </w:rPr>
        <w:t xml:space="preserve">Selected Fact </w:t>
      </w:r>
    </w:p>
    <w:p w14:paraId="54067BFD" w14:textId="77777777" w:rsidR="00611BDD" w:rsidRDefault="002E18C7">
      <w:r>
        <w:rPr>
          <w:rFonts w:ascii="monospace" w:eastAsia="monospace" w:hAnsi="monospace" w:cs="monospace"/>
          <w:noProof/>
        </w:rPr>
        <mc:AlternateContent>
          <mc:Choice Requires="wps">
            <w:drawing>
              <wp:inline distT="0" distB="0" distL="114300" distR="114300" wp14:anchorId="54067C59" wp14:editId="54067C5A">
                <wp:extent cx="635" cy="0"/>
                <wp:effectExtent l="0" t="0" r="0" b="0"/>
                <wp:docPr id="55" name="矩形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vIXS9AACAAAaBAAADgAAAAAAAAAB&#10;ACAAAAAzAQAAZHJzL2Uyb0RvYy54bWxQSwUGAAAAAAYABgBZAQAApQUAAAAA&#10;">
                <v:path/>
                <v:fill on="f" focussize="0,0"/>
                <v:stroke/>
                <v:imagedata o:title=""/>
                <o:lock v:ext="edit" aspectratio="t"/>
                <w10:wrap type="none"/>
                <w10:anchorlock/>
              </v:rect>
            </w:pict>
          </mc:Fallback>
        </mc:AlternateContent>
      </w:r>
    </w:p>
    <w:p w14:paraId="54067BFE" w14:textId="77777777" w:rsidR="00611BDD" w:rsidRDefault="002E18C7">
      <w:r>
        <w:rPr>
          <w:rFonts w:ascii="宋体" w:eastAsia="宋体" w:hAnsi="宋体" w:cs="宋体"/>
        </w:rPr>
        <w:t>Save</w:t>
      </w:r>
    </w:p>
    <w:p w14:paraId="54067BFF" w14:textId="77777777" w:rsidR="00611BDD" w:rsidRDefault="002E18C7">
      <w:r>
        <w:rPr>
          <w:rFonts w:ascii="宋体" w:eastAsia="宋体" w:hAnsi="宋体" w:cs="宋体"/>
        </w:rPr>
        <w:t>Reset</w:t>
      </w:r>
    </w:p>
    <w:p w14:paraId="54067C00" w14:textId="77777777" w:rsidR="00611BDD" w:rsidRDefault="002E18C7">
      <w:r>
        <w:pict w14:anchorId="54067C5B">
          <v:rect id="_x0000_i1067" style="width:415.3pt;height:1.5pt" o:hralign="center" o:hrstd="t" o:hr="t" fillcolor="#a0a0a0" stroked="f"/>
        </w:pict>
      </w:r>
    </w:p>
    <w:p w14:paraId="54067C01" w14:textId="77777777" w:rsidR="00611BDD" w:rsidRDefault="002E18C7">
      <w:r>
        <w:rPr>
          <w:rFonts w:ascii="宋体" w:eastAsia="宋体" w:hAnsi="宋体" w:cs="宋体"/>
        </w:rPr>
        <w:t xml:space="preserve">Tag Shading (hover) </w:t>
      </w:r>
    </w:p>
    <w:p w14:paraId="54067C02" w14:textId="77777777" w:rsidR="00611BDD" w:rsidRDefault="002E18C7">
      <w:r>
        <w:rPr>
          <w:rFonts w:ascii="monospace" w:eastAsia="monospace" w:hAnsi="monospace" w:cs="monospace"/>
          <w:noProof/>
        </w:rPr>
        <mc:AlternateContent>
          <mc:Choice Requires="wps">
            <w:drawing>
              <wp:inline distT="0" distB="0" distL="114300" distR="114300" wp14:anchorId="54067C5C" wp14:editId="54067C5D">
                <wp:extent cx="635" cy="0"/>
                <wp:effectExtent l="0" t="0" r="0" b="0"/>
                <wp:docPr id="59" name="矩形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1rq9oBAgAAGgQAAA4AAAAAAAAA&#10;AQAgAAAAMwEAAGRycy9lMm9Eb2MueG1sUEsFBgAAAAAGAAYAWQEAAKYFAAAAAA==&#10;">
                <v:path/>
                <v:fill on="f" focussize="0,0"/>
                <v:stroke/>
                <v:imagedata o:title=""/>
                <o:lock v:ext="edit" aspectratio="t"/>
                <w10:wrap type="none"/>
                <w10:anchorlock/>
              </v:rect>
            </w:pict>
          </mc:Fallback>
        </mc:AlternateContent>
      </w:r>
    </w:p>
    <w:p w14:paraId="54067C03" w14:textId="77777777" w:rsidR="00611BDD" w:rsidRDefault="002E18C7">
      <w:r>
        <w:rPr>
          <w:rFonts w:ascii="宋体" w:eastAsia="宋体" w:hAnsi="宋体" w:cs="宋体"/>
        </w:rPr>
        <w:t>Save</w:t>
      </w:r>
    </w:p>
    <w:p w14:paraId="54067C04" w14:textId="77777777" w:rsidR="00611BDD" w:rsidRDefault="002E18C7">
      <w:r>
        <w:rPr>
          <w:rFonts w:ascii="宋体" w:eastAsia="宋体" w:hAnsi="宋体" w:cs="宋体"/>
        </w:rPr>
        <w:t>Reset</w:t>
      </w:r>
    </w:p>
    <w:p w14:paraId="54067C05" w14:textId="77777777" w:rsidR="00611BDD" w:rsidRDefault="002E18C7">
      <w:pPr>
        <w:pStyle w:val="Style5"/>
      </w:pPr>
      <w:r>
        <w:t>窗体底端</w:t>
      </w:r>
    </w:p>
    <w:p w14:paraId="54067C06" w14:textId="77777777" w:rsidR="00611BDD" w:rsidRDefault="002E18C7">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4067C5E" wp14:editId="54067C5F">
                <wp:extent cx="635" cy="0"/>
                <wp:effectExtent l="0" t="0" r="0" b="0"/>
                <wp:docPr id="61" name="矩形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Jj6G+g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1BDD" w14:paraId="54067C08" w14:textId="77777777">
        <w:trPr>
          <w:tblCellSpacing w:w="15" w:type="dxa"/>
        </w:trPr>
        <w:tc>
          <w:tcPr>
            <w:tcW w:w="0" w:type="auto"/>
            <w:shd w:val="clear" w:color="auto" w:fill="auto"/>
            <w:vAlign w:val="center"/>
          </w:tcPr>
          <w:p w14:paraId="54067C07" w14:textId="77777777" w:rsidR="00611BDD" w:rsidRDefault="00611BDD">
            <w:pPr>
              <w:rPr>
                <w:rFonts w:ascii="宋体"/>
              </w:rPr>
            </w:pPr>
          </w:p>
        </w:tc>
      </w:tr>
    </w:tbl>
    <w:p w14:paraId="54067C09" w14:textId="77777777" w:rsidR="00611BDD" w:rsidRDefault="00611BD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1BDD" w14:paraId="54067C0B" w14:textId="77777777">
        <w:trPr>
          <w:tblCellSpacing w:w="15" w:type="dxa"/>
        </w:trPr>
        <w:tc>
          <w:tcPr>
            <w:tcW w:w="0" w:type="auto"/>
            <w:shd w:val="clear" w:color="auto" w:fill="auto"/>
            <w:vAlign w:val="center"/>
          </w:tcPr>
          <w:p w14:paraId="54067C0A" w14:textId="77777777" w:rsidR="00611BDD" w:rsidRDefault="00611BDD">
            <w:pPr>
              <w:rPr>
                <w:rFonts w:ascii="宋体"/>
              </w:rPr>
            </w:pPr>
          </w:p>
        </w:tc>
      </w:tr>
    </w:tbl>
    <w:p w14:paraId="54067C0C" w14:textId="77777777" w:rsidR="00611BDD" w:rsidRDefault="00611BD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1BDD" w14:paraId="54067C0E" w14:textId="77777777">
        <w:trPr>
          <w:tblCellSpacing w:w="15" w:type="dxa"/>
        </w:trPr>
        <w:tc>
          <w:tcPr>
            <w:tcW w:w="0" w:type="auto"/>
            <w:shd w:val="clear" w:color="auto" w:fill="auto"/>
            <w:vAlign w:val="center"/>
          </w:tcPr>
          <w:p w14:paraId="54067C0D" w14:textId="77777777" w:rsidR="00611BDD" w:rsidRDefault="00611BDD">
            <w:pPr>
              <w:rPr>
                <w:rFonts w:ascii="宋体"/>
              </w:rPr>
            </w:pPr>
          </w:p>
        </w:tc>
      </w:tr>
    </w:tbl>
    <w:p w14:paraId="54067C0F" w14:textId="77777777" w:rsidR="00611BDD" w:rsidRDefault="00611BD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1BDD" w14:paraId="54067C11" w14:textId="77777777">
        <w:trPr>
          <w:tblCellSpacing w:w="15" w:type="dxa"/>
        </w:trPr>
        <w:tc>
          <w:tcPr>
            <w:tcW w:w="0" w:type="auto"/>
            <w:shd w:val="clear" w:color="auto" w:fill="auto"/>
            <w:vAlign w:val="center"/>
          </w:tcPr>
          <w:p w14:paraId="54067C10" w14:textId="77777777" w:rsidR="00611BDD" w:rsidRDefault="00611BDD">
            <w:pPr>
              <w:rPr>
                <w:rFonts w:ascii="宋体"/>
              </w:rPr>
            </w:pPr>
          </w:p>
        </w:tc>
      </w:tr>
    </w:tbl>
    <w:p w14:paraId="54067C12" w14:textId="77777777" w:rsidR="00611BDD" w:rsidRDefault="002E18C7">
      <w:r>
        <w:rPr>
          <w:rFonts w:ascii="宋体" w:eastAsia="宋体" w:hAnsi="宋体" w:cs="宋体"/>
        </w:rPr>
        <w:t xml:space="preserve">Previous Next </w:t>
      </w:r>
    </w:p>
    <w:p w14:paraId="54067C13" w14:textId="77777777" w:rsidR="00611BDD" w:rsidRDefault="002E18C7">
      <w:pPr>
        <w:pStyle w:val="a3"/>
      </w:pPr>
      <w:r>
        <w:t xml:space="preserve">Nested Facts / </w:t>
      </w:r>
    </w:p>
    <w:p w14:paraId="54067C14" w14:textId="77777777" w:rsidR="00611BDD" w:rsidRDefault="002E18C7">
      <w:r>
        <w:rPr>
          <w:rFonts w:ascii="宋体" w:eastAsia="宋体" w:hAnsi="宋体" w:cs="宋体"/>
        </w:rPr>
        <w:t xml:space="preserve">Previous Next </w:t>
      </w:r>
    </w:p>
    <w:p w14:paraId="54067C15" w14:textId="77777777" w:rsidR="00611BDD" w:rsidRDefault="002E18C7">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4067C60" wp14:editId="54067C61">
                <wp:extent cx="635" cy="0"/>
                <wp:effectExtent l="0" t="0" r="0" b="0"/>
                <wp:docPr id="45" name="矩形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3D5+A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zvnzIGlif/7+fvvn1+MHKTOELCmoLtwGzM/DDde/EDm/FUPrlMfMZDGtEc5tnoUnA+4T9u2&#10;0eZ0Isy2Rf3dUX21TUyQ8+ItdSA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b3D5+A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1BDD" w14:paraId="54067C17" w14:textId="77777777">
        <w:trPr>
          <w:tblCellSpacing w:w="15" w:type="dxa"/>
        </w:trPr>
        <w:tc>
          <w:tcPr>
            <w:tcW w:w="0" w:type="auto"/>
            <w:shd w:val="clear" w:color="auto" w:fill="auto"/>
            <w:vAlign w:val="center"/>
          </w:tcPr>
          <w:p w14:paraId="54067C16" w14:textId="77777777" w:rsidR="00611BDD" w:rsidRDefault="00611BDD">
            <w:pPr>
              <w:rPr>
                <w:rFonts w:ascii="宋体"/>
              </w:rPr>
            </w:pPr>
          </w:p>
        </w:tc>
      </w:tr>
    </w:tbl>
    <w:p w14:paraId="54067C18" w14:textId="77777777" w:rsidR="00611BDD" w:rsidRDefault="00611BD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1BDD" w14:paraId="54067C1A" w14:textId="77777777">
        <w:trPr>
          <w:tblCellSpacing w:w="15" w:type="dxa"/>
        </w:trPr>
        <w:tc>
          <w:tcPr>
            <w:tcW w:w="0" w:type="auto"/>
            <w:shd w:val="clear" w:color="auto" w:fill="auto"/>
            <w:vAlign w:val="center"/>
          </w:tcPr>
          <w:p w14:paraId="54067C19" w14:textId="77777777" w:rsidR="00611BDD" w:rsidRDefault="00611BDD">
            <w:pPr>
              <w:rPr>
                <w:rFonts w:ascii="宋体"/>
              </w:rPr>
            </w:pPr>
          </w:p>
        </w:tc>
      </w:tr>
    </w:tbl>
    <w:p w14:paraId="54067C1B" w14:textId="77777777" w:rsidR="00611BDD" w:rsidRDefault="00611BD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1BDD" w14:paraId="54067C1D" w14:textId="77777777">
        <w:trPr>
          <w:tblCellSpacing w:w="15" w:type="dxa"/>
        </w:trPr>
        <w:tc>
          <w:tcPr>
            <w:tcW w:w="0" w:type="auto"/>
            <w:shd w:val="clear" w:color="auto" w:fill="auto"/>
            <w:vAlign w:val="center"/>
          </w:tcPr>
          <w:p w14:paraId="54067C1C" w14:textId="77777777" w:rsidR="00611BDD" w:rsidRDefault="00611BDD">
            <w:pPr>
              <w:rPr>
                <w:rFonts w:ascii="宋体"/>
              </w:rPr>
            </w:pPr>
          </w:p>
        </w:tc>
      </w:tr>
    </w:tbl>
    <w:p w14:paraId="54067C1E" w14:textId="77777777" w:rsidR="00611BDD" w:rsidRDefault="00611BD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1BDD" w14:paraId="54067C20" w14:textId="77777777">
        <w:trPr>
          <w:tblCellSpacing w:w="15" w:type="dxa"/>
        </w:trPr>
        <w:tc>
          <w:tcPr>
            <w:tcW w:w="0" w:type="auto"/>
            <w:shd w:val="clear" w:color="auto" w:fill="auto"/>
            <w:vAlign w:val="center"/>
          </w:tcPr>
          <w:p w14:paraId="54067C1F" w14:textId="77777777" w:rsidR="00611BDD" w:rsidRDefault="00611BDD">
            <w:pPr>
              <w:rPr>
                <w:rFonts w:ascii="宋体"/>
              </w:rPr>
            </w:pPr>
          </w:p>
        </w:tc>
      </w:tr>
    </w:tbl>
    <w:p w14:paraId="54067C21" w14:textId="77777777" w:rsidR="00611BDD" w:rsidRDefault="002E18C7">
      <w:r>
        <w:rPr>
          <w:rFonts w:ascii="宋体" w:eastAsia="宋体" w:hAnsi="宋体" w:cs="宋体"/>
        </w:rPr>
        <w:t xml:space="preserve">Previous Next </w:t>
      </w:r>
    </w:p>
    <w:p w14:paraId="54067C22" w14:textId="77777777" w:rsidR="00611BDD" w:rsidRDefault="00611BDD"/>
    <w:sectPr w:rsidR="00611BDD">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84E46" w14:textId="77777777" w:rsidR="002E18C7" w:rsidRDefault="002E18C7" w:rsidP="002E18C7">
      <w:r>
        <w:separator/>
      </w:r>
    </w:p>
  </w:endnote>
  <w:endnote w:type="continuationSeparator" w:id="0">
    <w:p w14:paraId="05241FCB" w14:textId="77777777" w:rsidR="002E18C7" w:rsidRDefault="002E18C7" w:rsidP="002E1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B9BE9" w14:textId="77777777" w:rsidR="002E18C7" w:rsidRDefault="002E18C7" w:rsidP="002E18C7">
      <w:r>
        <w:separator/>
      </w:r>
    </w:p>
  </w:footnote>
  <w:footnote w:type="continuationSeparator" w:id="0">
    <w:p w14:paraId="2CA8E31B" w14:textId="77777777" w:rsidR="002E18C7" w:rsidRDefault="002E18C7" w:rsidP="002E18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576B8A"/>
    <w:rsid w:val="002E18C7"/>
    <w:rsid w:val="00611BDD"/>
    <w:rsid w:val="7D576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065E6D"/>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pBdr>
        <w:top w:val="single" w:sz="18" w:space="0" w:color="FFFFFF"/>
        <w:left w:val="single" w:sz="18" w:space="0" w:color="FFFFFF"/>
        <w:bottom w:val="single" w:sz="18" w:space="0" w:color="FFFFFF"/>
        <w:right w:val="single" w:sz="18" w:space="0" w:color="FFFFFF"/>
      </w:pBdr>
    </w:pPr>
    <w:rPr>
      <w:rFonts w:asciiTheme="minorEastAsia" w:eastAsiaTheme="minorEastAsia" w:hAnsiTheme="minorEastAsia"/>
      <w:sz w:val="24"/>
      <w:szCs w:val="24"/>
    </w:rPr>
  </w:style>
  <w:style w:type="paragraph" w:styleId="2">
    <w:name w:val="heading 2"/>
    <w:basedOn w:val="a"/>
    <w:next w:val="a"/>
    <w:semiHidden/>
    <w:unhideWhenUsed/>
    <w:qFormat/>
    <w:pPr>
      <w:pBdr>
        <w:top w:val="none" w:sz="0" w:space="0" w:color="auto"/>
        <w:left w:val="none" w:sz="0" w:space="0" w:color="auto"/>
        <w:bottom w:val="none" w:sz="0" w:space="0" w:color="auto"/>
        <w:right w:val="none" w:sz="0" w:space="0" w:color="auto"/>
      </w:pBd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pBdr>
        <w:top w:val="none" w:sz="0" w:space="0" w:color="auto"/>
        <w:left w:val="none" w:sz="0" w:space="0" w:color="auto"/>
        <w:bottom w:val="none" w:sz="0" w:space="0" w:color="auto"/>
        <w:right w:val="none" w:sz="0" w:space="0" w:color="auto"/>
      </w:pBd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pBdr>
        <w:top w:val="none" w:sz="0" w:space="0" w:color="auto"/>
        <w:left w:val="none" w:sz="0" w:space="0" w:color="auto"/>
        <w:bottom w:val="none" w:sz="0" w:space="0" w:color="auto"/>
        <w:right w:val="none" w:sz="0" w:space="0" w:color="auto"/>
      </w:pBd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2E18C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2E18C7"/>
    <w:rPr>
      <w:rFonts w:asciiTheme="minorEastAsia" w:eastAsiaTheme="minorEastAsia" w:hAnsiTheme="minorEastAsia"/>
      <w:sz w:val="18"/>
      <w:szCs w:val="18"/>
    </w:rPr>
  </w:style>
  <w:style w:type="paragraph" w:styleId="a8">
    <w:name w:val="footer"/>
    <w:basedOn w:val="a"/>
    <w:link w:val="a9"/>
    <w:rsid w:val="002E18C7"/>
    <w:pPr>
      <w:tabs>
        <w:tab w:val="center" w:pos="4153"/>
        <w:tab w:val="right" w:pos="8306"/>
      </w:tabs>
      <w:snapToGrid w:val="0"/>
    </w:pPr>
    <w:rPr>
      <w:sz w:val="18"/>
      <w:szCs w:val="18"/>
    </w:rPr>
  </w:style>
  <w:style w:type="character" w:customStyle="1" w:styleId="a9">
    <w:name w:val="页脚 字符"/>
    <w:basedOn w:val="a0"/>
    <w:link w:val="a8"/>
    <w:rsid w:val="002E18C7"/>
    <w:rPr>
      <w:rFonts w:asciiTheme="minorEastAsia" w:eastAsiaTheme="minorEastAsia" w:hAnsi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sec.gov/ix?doc=/Archives/edgar/data/0001045810/000104581021000131/nvda-20210801.htm" TargetMode="External"/><Relationship Id="rId18" Type="http://schemas.openxmlformats.org/officeDocument/2006/relationships/hyperlink" Target="https://www.sec.gov/ix?doc=/Archives/edgar/data/0001045810/000104581021000131/nvda-20210801.htm" TargetMode="External"/><Relationship Id="rId26" Type="http://schemas.openxmlformats.org/officeDocument/2006/relationships/hyperlink" Target="https://www.sec.gov/ix?doc=/Archives/edgar/data/0001045810/000104581021000131/nvda-20210801.htm" TargetMode="External"/><Relationship Id="rId39" Type="http://schemas.openxmlformats.org/officeDocument/2006/relationships/hyperlink" Target="http://www.sec.gov/Archives/edgar/data/1045810/000119312521192149/d80739dex42.htm" TargetMode="External"/><Relationship Id="rId21" Type="http://schemas.openxmlformats.org/officeDocument/2006/relationships/hyperlink" Target="https://www.sec.gov/ix?doc=/Archives/edgar/data/0001045810/000104581021000131/nvda-20210801.htm" TargetMode="External"/><Relationship Id="rId34" Type="http://schemas.openxmlformats.org/officeDocument/2006/relationships/hyperlink" Target="http://www.sec.gov/Archives/edgar/data/1045810/000119312521192149/d80739dex42.htm" TargetMode="External"/><Relationship Id="rId42" Type="http://schemas.openxmlformats.org/officeDocument/2006/relationships/hyperlink" Target="http://www.sec.gov/Archives/edgar/data/1045810/000119312521192149/d80739dex42.htm" TargetMode="External"/><Relationship Id="rId47" Type="http://schemas.openxmlformats.org/officeDocument/2006/relationships/hyperlink" Target="https://www.sec.gov/Archives/edgar/data/0001045810/000104581021000131/nvda2022q2ex311.htm" TargetMode="External"/><Relationship Id="rId50" Type="http://schemas.openxmlformats.org/officeDocument/2006/relationships/hyperlink" Target="https://www.sec.gov/Archives/edgar/data/0001045810/000104581021000131/nvda2022q2ex322.htm" TargetMode="External"/><Relationship Id="rId7" Type="http://schemas.openxmlformats.org/officeDocument/2006/relationships/hyperlink" Target="https://www.sec.gov/ix?doc=/Archives/edgar/data/0001045810/000104581021000131/nvda-20210801.htm" TargetMode="External"/><Relationship Id="rId2" Type="http://schemas.openxmlformats.org/officeDocument/2006/relationships/settings" Target="settings.xml"/><Relationship Id="rId16" Type="http://schemas.openxmlformats.org/officeDocument/2006/relationships/hyperlink" Target="https://www.sec.gov/ix?doc=/Archives/edgar/data/0001045810/000104581021000131/nvda-20210801.htm" TargetMode="External"/><Relationship Id="rId29" Type="http://schemas.openxmlformats.org/officeDocument/2006/relationships/hyperlink" Target="https://www.sec.gov/ix?doc=/Archives/edgar/data/0001045810/000104581021000131/nvda-20210801.htm" TargetMode="External"/><Relationship Id="rId11" Type="http://schemas.openxmlformats.org/officeDocument/2006/relationships/hyperlink" Target="https://www.sec.gov/ix?doc=/Archives/edgar/data/0001045810/000104581021000131/nvda-20210801.htm" TargetMode="External"/><Relationship Id="rId24" Type="http://schemas.openxmlformats.org/officeDocument/2006/relationships/hyperlink" Target="https://www.sec.gov/ix?doc=/Archives/edgar/data/0001045810/000104581021000131/nvda-20210801.htm" TargetMode="External"/><Relationship Id="rId32" Type="http://schemas.openxmlformats.org/officeDocument/2006/relationships/hyperlink" Target="http://www.sec.gov/Archives/edgar/data/1045810/000104581021000075/exhibit31charteramendment.htm" TargetMode="External"/><Relationship Id="rId37" Type="http://schemas.openxmlformats.org/officeDocument/2006/relationships/hyperlink" Target="http://www.sec.gov/Archives/edgar/data/1045810/000119312521192149/d80739dex42.htm" TargetMode="External"/><Relationship Id="rId40" Type="http://schemas.openxmlformats.org/officeDocument/2006/relationships/hyperlink" Target="http://www.sec.gov/Archives/edgar/data/1045810/000119312521192149/d80739dex42.htm" TargetMode="External"/><Relationship Id="rId45" Type="http://schemas.openxmlformats.org/officeDocument/2006/relationships/hyperlink" Target="https://www.sec.gov/Archives/edgar/data/0001045810/000104581021000131/ar2007eipjuly2021-postxspl.htm" TargetMode="External"/><Relationship Id="rId5" Type="http://schemas.openxmlformats.org/officeDocument/2006/relationships/endnotes" Target="endnotes.xml"/><Relationship Id="rId15" Type="http://schemas.openxmlformats.org/officeDocument/2006/relationships/hyperlink" Target="https://www.sec.gov/ix?doc=/Archives/edgar/data/0001045810/000104581021000131/nvda-20210801.htm" TargetMode="External"/><Relationship Id="rId23" Type="http://schemas.openxmlformats.org/officeDocument/2006/relationships/hyperlink" Target="https://www.sec.gov/ix?doc=/Archives/edgar/data/0001045810/000104581021000131/nvda-20210801.htm" TargetMode="External"/><Relationship Id="rId28" Type="http://schemas.openxmlformats.org/officeDocument/2006/relationships/hyperlink" Target="https://www.sec.gov/ix?doc=/Archives/edgar/data/0001045810/000104581021000131/nvda-20210801.htm" TargetMode="External"/><Relationship Id="rId36" Type="http://schemas.openxmlformats.org/officeDocument/2006/relationships/hyperlink" Target="http://www.sec.gov/Archives/edgar/data/1045810/000119312521192149/d80739dex42.htm" TargetMode="External"/><Relationship Id="rId49" Type="http://schemas.openxmlformats.org/officeDocument/2006/relationships/hyperlink" Target="https://www.sec.gov/Archives/edgar/data/0001045810/000104581021000131/nvda2022q2ex321.htm" TargetMode="External"/><Relationship Id="rId10" Type="http://schemas.openxmlformats.org/officeDocument/2006/relationships/hyperlink" Target="https://www.sec.gov/ix?doc=/Archives/edgar/data/0001045810/000104581021000131/nvda-20210801.htm" TargetMode="External"/><Relationship Id="rId19" Type="http://schemas.openxmlformats.org/officeDocument/2006/relationships/hyperlink" Target="https://www.sec.gov/ix?doc=/Archives/edgar/data/0001045810/000104581021000131/nvda-20210801.htm" TargetMode="External"/><Relationship Id="rId31" Type="http://schemas.openxmlformats.org/officeDocument/2006/relationships/hyperlink" Target="https://www.sec.gov/ix?doc=/Archives/edgar/data/0001045810/000104581021000131/nvda-20210801.htm" TargetMode="External"/><Relationship Id="rId44" Type="http://schemas.openxmlformats.org/officeDocument/2006/relationships/hyperlink" Target="http://www.sec.gov/Archives/edgar/data/1045810/000119312521192149/d80739dex42.htm"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sec.gov/ix?doc=/Archives/edgar/data/0001045810/000104581021000131/nvda-20210801.htm" TargetMode="External"/><Relationship Id="rId14" Type="http://schemas.openxmlformats.org/officeDocument/2006/relationships/hyperlink" Target="https://www.sec.gov/ix?doc=/Archives/edgar/data/0001045810/000104581021000131/nvda-20210801.htm" TargetMode="External"/><Relationship Id="rId22" Type="http://schemas.openxmlformats.org/officeDocument/2006/relationships/hyperlink" Target="https://www.sec.gov/ix?doc=/Archives/edgar/data/0001045810/000104581021000131/nvda-20210801.htm" TargetMode="External"/><Relationship Id="rId27" Type="http://schemas.openxmlformats.org/officeDocument/2006/relationships/hyperlink" Target="https://www.sec.gov/ix?doc=/Archives/edgar/data/0001045810/000104581021000131/nvda-20210801.htm" TargetMode="External"/><Relationship Id="rId30" Type="http://schemas.openxmlformats.org/officeDocument/2006/relationships/hyperlink" Target="https://www.sec.gov/ix?doc=/Archives/edgar/data/0001045810/000104581021000131/nvda-20210801.htm" TargetMode="External"/><Relationship Id="rId35" Type="http://schemas.openxmlformats.org/officeDocument/2006/relationships/hyperlink" Target="http://www.sec.gov/Archives/edgar/data/1045810/000119312521192149/d80739dex42.htm" TargetMode="External"/><Relationship Id="rId43" Type="http://schemas.openxmlformats.org/officeDocument/2006/relationships/hyperlink" Target="http://www.sec.gov/Archives/edgar/data/1045810/000119312521192149/d80739dex42.htm" TargetMode="External"/><Relationship Id="rId48" Type="http://schemas.openxmlformats.org/officeDocument/2006/relationships/hyperlink" Target="https://www.sec.gov/Archives/edgar/data/0001045810/000104581021000131/nvda2022q2ex312.htm" TargetMode="External"/><Relationship Id="rId8" Type="http://schemas.openxmlformats.org/officeDocument/2006/relationships/hyperlink" Target="https://www.sec.gov/ix?doc=/Archives/edgar/data/0001045810/000104581021000131/nvda-20210801.htm"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www.sec.gov/ix?doc=/Archives/edgar/data/0001045810/000104581021000131/nvda-20210801.htm" TargetMode="External"/><Relationship Id="rId17" Type="http://schemas.openxmlformats.org/officeDocument/2006/relationships/hyperlink" Target="https://www.sec.gov/ix?doc=/Archives/edgar/data/0001045810/000104581021000131/nvda-20210801.htm" TargetMode="External"/><Relationship Id="rId25" Type="http://schemas.openxmlformats.org/officeDocument/2006/relationships/hyperlink" Target="https://www.sec.gov/ix?doc=/Archives/edgar/data/0001045810/000104581021000131/nvda-20210801.htm" TargetMode="External"/><Relationship Id="rId33" Type="http://schemas.openxmlformats.org/officeDocument/2006/relationships/hyperlink" Target="http://www.sec.gov/Archives/edgar/data/1045810/000104581021000075/exhibit31charteramendment.htm" TargetMode="External"/><Relationship Id="rId38" Type="http://schemas.openxmlformats.org/officeDocument/2006/relationships/hyperlink" Target="http://www.sec.gov/Archives/edgar/data/1045810/000119312521192149/d80739dex42.htm" TargetMode="External"/><Relationship Id="rId46" Type="http://schemas.openxmlformats.org/officeDocument/2006/relationships/hyperlink" Target="https://www.sec.gov/Archives/edgar/data/0001045810/000104581021000131/ar2012esppjuly2021post-spl.htm" TargetMode="External"/><Relationship Id="rId20" Type="http://schemas.openxmlformats.org/officeDocument/2006/relationships/hyperlink" Target="https://www.sec.gov/ix?doc=/Archives/edgar/data/0001045810/000104581021000131/nvda-20210801.htm" TargetMode="External"/><Relationship Id="rId41" Type="http://schemas.openxmlformats.org/officeDocument/2006/relationships/hyperlink" Target="http://www.sec.gov/Archives/edgar/data/1045810/000119312521192149/d80739dex42.htm"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18997</Words>
  <Characters>108284</Characters>
  <Application>Microsoft Office Word</Application>
  <DocSecurity>0</DocSecurity>
  <Lines>902</Lines>
  <Paragraphs>254</Paragraphs>
  <ScaleCrop>false</ScaleCrop>
  <Company/>
  <LinksUpToDate>false</LinksUpToDate>
  <CharactersWithSpaces>127027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2023-02-11T22:18:00Z</dcterms:created>
  <dcterms:modified xsi:type="dcterms:W3CDTF">2023-02-13T11:27:00Z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B9BE756576B8E93EA1A3E763310E3971</vt:lpwstr>
  </property>
</Properties>
</file>